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7.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8.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9.xml" ContentType="application/vnd.openxmlformats-officedocument.drawingml.chart+xml"/>
  <Override PartName="/word/charts/chart10.xml" ContentType="application/vnd.openxmlformats-officedocument.drawingml.chart+xml"/>
  <Override PartName="/word/charts/style7.xml" ContentType="application/vnd.ms-office.chartstyle+xml"/>
  <Override PartName="/word/charts/colors7.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75A8D" w:rsidRDefault="008A6A51">
      <w:pPr>
        <w:jc w:val="center"/>
        <w:rPr>
          <w:rFonts w:ascii="Times New Roman" w:hAnsi="Times New Roman" w:cs="Times New Roman"/>
          <w:sz w:val="28"/>
          <w:szCs w:val="28"/>
        </w:rPr>
      </w:pPr>
      <w:r>
        <w:rPr>
          <w:rFonts w:ascii="Times New Roman" w:hAnsi="Times New Roman" w:cs="Times New Roman"/>
          <w:sz w:val="28"/>
          <w:szCs w:val="28"/>
        </w:rPr>
        <w:t xml:space="preserve">НАО «Казахский Национальный медицинский университет </w:t>
      </w:r>
    </w:p>
    <w:p w:rsidR="00A75A8D" w:rsidRDefault="008A6A51">
      <w:pPr>
        <w:jc w:val="center"/>
        <w:rPr>
          <w:rFonts w:ascii="Times New Roman" w:hAnsi="Times New Roman" w:cs="Times New Roman"/>
          <w:color w:val="FF0000"/>
          <w:sz w:val="28"/>
          <w:szCs w:val="28"/>
        </w:rPr>
      </w:pPr>
      <w:r>
        <w:rPr>
          <w:rFonts w:ascii="Times New Roman" w:hAnsi="Times New Roman" w:cs="Times New Roman"/>
          <w:sz w:val="28"/>
          <w:szCs w:val="28"/>
        </w:rPr>
        <w:t>имени С.Д. Асфендиярова»</w:t>
      </w:r>
      <w:r>
        <w:rPr>
          <w:rFonts w:ascii="Times New Roman" w:hAnsi="Times New Roman" w:cs="Times New Roman"/>
          <w:color w:val="FF0000"/>
          <w:sz w:val="28"/>
          <w:szCs w:val="28"/>
        </w:rPr>
        <w:t xml:space="preserve"> </w:t>
      </w:r>
    </w:p>
    <w:p w:rsidR="00A75A8D" w:rsidRDefault="00A75A8D">
      <w:pPr>
        <w:rPr>
          <w:rFonts w:ascii="Times New Roman" w:hAnsi="Times New Roman" w:cs="Times New Roman"/>
          <w:sz w:val="28"/>
          <w:szCs w:val="28"/>
          <w:lang w:val="kk-KZ"/>
        </w:rPr>
      </w:pPr>
    </w:p>
    <w:p w:rsidR="00A75A8D" w:rsidRDefault="008A6A51">
      <w:pPr>
        <w:rPr>
          <w:rFonts w:ascii="Times New Roman" w:hAnsi="Times New Roman" w:cs="Times New Roman"/>
          <w:sz w:val="28"/>
          <w:szCs w:val="28"/>
          <w:lang w:val="kk-KZ"/>
        </w:rPr>
      </w:pPr>
      <w:r>
        <w:rPr>
          <w:rFonts w:ascii="Times New Roman" w:hAnsi="Times New Roman" w:cs="Times New Roman"/>
          <w:sz w:val="28"/>
          <w:szCs w:val="28"/>
        </w:rPr>
        <w:t xml:space="preserve">УДК: </w:t>
      </w:r>
      <w:r>
        <w:rPr>
          <w:rFonts w:ascii="Times New Roman" w:eastAsia="SimSun" w:hAnsi="Times New Roman" w:cs="Times New Roman"/>
          <w:color w:val="222222"/>
          <w:sz w:val="28"/>
          <w:szCs w:val="28"/>
          <w:shd w:val="clear" w:color="auto" w:fill="FFFFFF"/>
        </w:rPr>
        <w:t>616.24-006.6-073.756.8</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На правах рукописи </w:t>
      </w:r>
    </w:p>
    <w:p w:rsidR="00A75A8D" w:rsidRDefault="00A75A8D">
      <w:pPr>
        <w:rPr>
          <w:rFonts w:ascii="Times New Roman" w:hAnsi="Times New Roman" w:cs="Times New Roman"/>
          <w:sz w:val="28"/>
          <w:szCs w:val="28"/>
          <w:lang w:val="kk-KZ"/>
        </w:rPr>
      </w:pPr>
    </w:p>
    <w:p w:rsidR="00A75A8D" w:rsidRDefault="00A75A8D">
      <w:pPr>
        <w:rPr>
          <w:rFonts w:ascii="Times New Roman" w:hAnsi="Times New Roman" w:cs="Times New Roman"/>
          <w:sz w:val="28"/>
          <w:szCs w:val="28"/>
          <w:lang w:val="kk-KZ"/>
        </w:rPr>
      </w:pPr>
    </w:p>
    <w:p w:rsidR="00A75A8D" w:rsidRDefault="00A75A8D">
      <w:pPr>
        <w:rPr>
          <w:rFonts w:ascii="Times New Roman" w:hAnsi="Times New Roman" w:cs="Times New Roman"/>
          <w:sz w:val="28"/>
          <w:szCs w:val="28"/>
          <w:lang w:val="kk-KZ"/>
        </w:rPr>
      </w:pPr>
    </w:p>
    <w:p w:rsidR="00A75A8D" w:rsidRDefault="00A75A8D">
      <w:pPr>
        <w:rPr>
          <w:rFonts w:ascii="Times New Roman" w:hAnsi="Times New Roman" w:cs="Times New Roman"/>
          <w:sz w:val="28"/>
          <w:szCs w:val="28"/>
          <w:lang w:val="kk-KZ"/>
        </w:rPr>
      </w:pPr>
    </w:p>
    <w:p w:rsidR="00A75A8D" w:rsidRDefault="008A6A51">
      <w:pPr>
        <w:jc w:val="center"/>
        <w:rPr>
          <w:rFonts w:ascii="Times New Roman" w:hAnsi="Times New Roman" w:cs="Times New Roman"/>
          <w:b/>
          <w:bCs/>
          <w:sz w:val="28"/>
          <w:szCs w:val="28"/>
        </w:rPr>
      </w:pPr>
      <w:r>
        <w:rPr>
          <w:rFonts w:ascii="Times New Roman" w:hAnsi="Times New Roman" w:cs="Times New Roman"/>
          <w:b/>
          <w:bCs/>
          <w:sz w:val="28"/>
          <w:szCs w:val="28"/>
        </w:rPr>
        <w:t>ПАНИНА</w:t>
      </w:r>
      <w:r>
        <w:rPr>
          <w:rFonts w:ascii="Times New Roman" w:hAnsi="Times New Roman" w:cs="Times New Roman"/>
          <w:b/>
          <w:bCs/>
          <w:sz w:val="28"/>
          <w:szCs w:val="28"/>
          <w:lang w:val="kk-KZ"/>
        </w:rPr>
        <w:t xml:space="preserve"> АЛЕКСАНДРА СЕРГЕЕВНА</w:t>
      </w:r>
    </w:p>
    <w:p w:rsidR="00A75A8D" w:rsidRDefault="008A6A51">
      <w:pPr>
        <w:jc w:val="center"/>
        <w:rPr>
          <w:rFonts w:ascii="Times New Roman" w:hAnsi="Times New Roman" w:cs="Times New Roman"/>
          <w:b/>
          <w:sz w:val="28"/>
          <w:szCs w:val="28"/>
        </w:rPr>
      </w:pPr>
      <w:r>
        <w:rPr>
          <w:rFonts w:ascii="Times New Roman" w:hAnsi="Times New Roman" w:cs="Times New Roman"/>
          <w:b/>
          <w:sz w:val="28"/>
          <w:szCs w:val="28"/>
        </w:rPr>
        <w:t xml:space="preserve">Низкодозная компьютерная томография в ранней </w:t>
      </w:r>
      <w:r>
        <w:rPr>
          <w:rFonts w:ascii="Times New Roman" w:hAnsi="Times New Roman" w:cs="Times New Roman"/>
          <w:b/>
          <w:sz w:val="28"/>
          <w:szCs w:val="28"/>
        </w:rPr>
        <w:t>диагностике рака легкого</w:t>
      </w:r>
    </w:p>
    <w:p w:rsidR="00A75A8D" w:rsidRDefault="00A75A8D">
      <w:pPr>
        <w:jc w:val="center"/>
        <w:rPr>
          <w:rFonts w:ascii="Times New Roman" w:hAnsi="Times New Roman" w:cs="Times New Roman"/>
          <w:b/>
          <w:sz w:val="28"/>
          <w:szCs w:val="28"/>
        </w:rPr>
      </w:pPr>
    </w:p>
    <w:p w:rsidR="00A75A8D" w:rsidRDefault="008A6A51">
      <w:pPr>
        <w:jc w:val="center"/>
        <w:rPr>
          <w:rFonts w:ascii="Times New Roman" w:hAnsi="Times New Roman" w:cs="Times New Roman"/>
          <w:sz w:val="28"/>
          <w:szCs w:val="28"/>
        </w:rPr>
      </w:pPr>
      <w:r>
        <w:rPr>
          <w:rFonts w:ascii="Times New Roman" w:hAnsi="Times New Roman" w:cs="Times New Roman"/>
          <w:sz w:val="28"/>
          <w:szCs w:val="28"/>
        </w:rPr>
        <w:t>6D110100 – Медицина</w:t>
      </w:r>
    </w:p>
    <w:p w:rsidR="00A75A8D" w:rsidRDefault="008A6A51">
      <w:pPr>
        <w:spacing w:after="0"/>
        <w:jc w:val="center"/>
        <w:rPr>
          <w:rFonts w:ascii="Times New Roman" w:hAnsi="Times New Roman" w:cs="Times New Roman"/>
          <w:sz w:val="28"/>
          <w:szCs w:val="28"/>
        </w:rPr>
      </w:pPr>
      <w:r>
        <w:rPr>
          <w:rFonts w:ascii="Times New Roman" w:hAnsi="Times New Roman" w:cs="Times New Roman"/>
          <w:sz w:val="28"/>
          <w:szCs w:val="28"/>
        </w:rPr>
        <w:t xml:space="preserve">Диссертация на соискание степени </w:t>
      </w:r>
    </w:p>
    <w:p w:rsidR="00A75A8D" w:rsidRDefault="008A6A51">
      <w:pPr>
        <w:spacing w:after="0"/>
        <w:jc w:val="center"/>
        <w:rPr>
          <w:rFonts w:ascii="Times New Roman" w:hAnsi="Times New Roman" w:cs="Times New Roman"/>
          <w:sz w:val="28"/>
          <w:szCs w:val="28"/>
        </w:rPr>
      </w:pPr>
      <w:r>
        <w:rPr>
          <w:rFonts w:ascii="Times New Roman" w:hAnsi="Times New Roman" w:cs="Times New Roman"/>
          <w:sz w:val="28"/>
          <w:szCs w:val="28"/>
        </w:rPr>
        <w:t>доктора философии (PhD)</w:t>
      </w:r>
    </w:p>
    <w:p w:rsidR="00A75A8D" w:rsidRDefault="00A75A8D">
      <w:pPr>
        <w:rPr>
          <w:rFonts w:ascii="Times New Roman" w:hAnsi="Times New Roman" w:cs="Times New Roman"/>
          <w:sz w:val="28"/>
          <w:szCs w:val="28"/>
        </w:rPr>
      </w:pPr>
    </w:p>
    <w:p w:rsidR="00A75A8D" w:rsidRDefault="00A75A8D">
      <w:pPr>
        <w:rPr>
          <w:rFonts w:ascii="Times New Roman" w:hAnsi="Times New Roman" w:cs="Times New Roman"/>
          <w:sz w:val="28"/>
          <w:szCs w:val="28"/>
        </w:rPr>
      </w:pPr>
    </w:p>
    <w:p w:rsidR="00A75A8D" w:rsidRDefault="00A75A8D">
      <w:pPr>
        <w:rPr>
          <w:rFonts w:ascii="Times New Roman" w:hAnsi="Times New Roman" w:cs="Times New Roman"/>
          <w:sz w:val="28"/>
          <w:szCs w:val="28"/>
        </w:rPr>
      </w:pPr>
    </w:p>
    <w:p w:rsidR="00A75A8D" w:rsidRDefault="008A6A51">
      <w:pPr>
        <w:spacing w:after="0"/>
        <w:jc w:val="right"/>
        <w:rPr>
          <w:rFonts w:ascii="Times New Roman" w:hAnsi="Times New Roman" w:cs="Times New Roman"/>
          <w:sz w:val="28"/>
          <w:szCs w:val="28"/>
        </w:rPr>
      </w:pPr>
      <w:r>
        <w:rPr>
          <w:rFonts w:ascii="Times New Roman" w:hAnsi="Times New Roman" w:cs="Times New Roman"/>
          <w:sz w:val="28"/>
          <w:szCs w:val="28"/>
        </w:rPr>
        <w:t xml:space="preserve">Научные консультанты: </w:t>
      </w:r>
    </w:p>
    <w:p w:rsidR="00A75A8D" w:rsidRDefault="008A6A51">
      <w:pPr>
        <w:spacing w:after="0"/>
        <w:jc w:val="right"/>
        <w:rPr>
          <w:rFonts w:ascii="Times New Roman" w:hAnsi="Times New Roman" w:cs="Times New Roman"/>
          <w:sz w:val="28"/>
          <w:szCs w:val="28"/>
        </w:rPr>
      </w:pPr>
      <w:r>
        <w:rPr>
          <w:rFonts w:ascii="Times New Roman" w:hAnsi="Times New Roman" w:cs="Times New Roman"/>
          <w:sz w:val="28"/>
          <w:szCs w:val="28"/>
        </w:rPr>
        <w:t xml:space="preserve">Кайдарова Д.Р., д.м.н., </w:t>
      </w:r>
      <w:r>
        <w:rPr>
          <w:rFonts w:ascii="Times New Roman" w:hAnsi="Times New Roman" w:cs="Times New Roman"/>
          <w:sz w:val="28"/>
          <w:szCs w:val="28"/>
          <w:lang w:val="kk-KZ"/>
        </w:rPr>
        <w:t>академик НАН РК</w:t>
      </w:r>
      <w:r>
        <w:rPr>
          <w:rFonts w:ascii="Times New Roman" w:hAnsi="Times New Roman" w:cs="Times New Roman"/>
          <w:sz w:val="28"/>
          <w:szCs w:val="28"/>
        </w:rPr>
        <w:t xml:space="preserve"> </w:t>
      </w:r>
    </w:p>
    <w:p w:rsidR="00A75A8D" w:rsidRDefault="008A6A51">
      <w:pPr>
        <w:spacing w:after="0"/>
        <w:jc w:val="right"/>
        <w:rPr>
          <w:rFonts w:ascii="Times New Roman" w:hAnsi="Times New Roman" w:cs="Times New Roman"/>
          <w:sz w:val="28"/>
          <w:szCs w:val="28"/>
        </w:rPr>
      </w:pPr>
      <w:r>
        <w:rPr>
          <w:rFonts w:ascii="Times New Roman" w:hAnsi="Times New Roman" w:cs="Times New Roman"/>
          <w:sz w:val="28"/>
          <w:szCs w:val="28"/>
        </w:rPr>
        <w:t>Жолдыбай Ж.Ж.,</w:t>
      </w:r>
      <w:r>
        <w:rPr>
          <w:rFonts w:ascii="Times New Roman" w:hAnsi="Times New Roman" w:cs="Times New Roman"/>
          <w:spacing w:val="-3"/>
          <w:sz w:val="28"/>
          <w:szCs w:val="28"/>
        </w:rPr>
        <w:t xml:space="preserve"> </w:t>
      </w:r>
      <w:r>
        <w:rPr>
          <w:rFonts w:ascii="Times New Roman" w:hAnsi="Times New Roman" w:cs="Times New Roman"/>
          <w:sz w:val="28"/>
          <w:szCs w:val="28"/>
        </w:rPr>
        <w:t xml:space="preserve">д.м.н., </w:t>
      </w:r>
      <w:r>
        <w:rPr>
          <w:rFonts w:ascii="Times New Roman" w:hAnsi="Times New Roman" w:cs="Times New Roman"/>
          <w:sz w:val="28"/>
          <w:szCs w:val="28"/>
          <w:lang w:val="kk-KZ"/>
        </w:rPr>
        <w:t>профессор</w:t>
      </w:r>
      <w:r>
        <w:rPr>
          <w:rFonts w:ascii="Times New Roman" w:hAnsi="Times New Roman" w:cs="Times New Roman"/>
          <w:sz w:val="28"/>
          <w:szCs w:val="28"/>
        </w:rPr>
        <w:t xml:space="preserve"> </w:t>
      </w:r>
    </w:p>
    <w:p w:rsidR="00A75A8D" w:rsidRDefault="008A6A51">
      <w:pPr>
        <w:spacing w:after="0"/>
        <w:jc w:val="right"/>
        <w:rPr>
          <w:rFonts w:ascii="Times New Roman" w:hAnsi="Times New Roman" w:cs="Times New Roman"/>
          <w:spacing w:val="-3"/>
          <w:sz w:val="28"/>
          <w:szCs w:val="28"/>
        </w:rPr>
      </w:pPr>
      <w:r>
        <w:rPr>
          <w:rFonts w:ascii="Times New Roman" w:hAnsi="Times New Roman" w:cs="Times New Roman"/>
          <w:spacing w:val="-3"/>
          <w:sz w:val="28"/>
          <w:szCs w:val="28"/>
        </w:rPr>
        <w:t>Зарубежный научный консультант:</w:t>
      </w:r>
    </w:p>
    <w:p w:rsidR="00A75A8D" w:rsidRDefault="008A6A51">
      <w:pPr>
        <w:spacing w:after="0"/>
        <w:jc w:val="right"/>
        <w:rPr>
          <w:rFonts w:ascii="Times New Roman" w:hAnsi="Times New Roman" w:cs="Times New Roman"/>
          <w:sz w:val="28"/>
          <w:szCs w:val="28"/>
        </w:rPr>
      </w:pPr>
      <w:r>
        <w:rPr>
          <w:rFonts w:ascii="Times New Roman" w:hAnsi="Times New Roman" w:cs="Times New Roman"/>
          <w:spacing w:val="-3"/>
          <w:sz w:val="28"/>
          <w:szCs w:val="28"/>
        </w:rPr>
        <w:t xml:space="preserve">Тюрин И.Е., </w:t>
      </w:r>
      <w:r>
        <w:rPr>
          <w:rFonts w:ascii="Times New Roman" w:hAnsi="Times New Roman" w:cs="Times New Roman"/>
          <w:sz w:val="28"/>
          <w:szCs w:val="28"/>
        </w:rPr>
        <w:t xml:space="preserve">д.м.н., </w:t>
      </w:r>
      <w:r>
        <w:rPr>
          <w:rFonts w:ascii="Times New Roman" w:hAnsi="Times New Roman" w:cs="Times New Roman"/>
          <w:sz w:val="28"/>
          <w:szCs w:val="28"/>
          <w:lang w:val="kk-KZ"/>
        </w:rPr>
        <w:t>профессор</w:t>
      </w:r>
      <w:r>
        <w:rPr>
          <w:rFonts w:ascii="Times New Roman" w:hAnsi="Times New Roman" w:cs="Times New Roman"/>
          <w:sz w:val="28"/>
          <w:szCs w:val="28"/>
        </w:rPr>
        <w:t xml:space="preserve"> </w:t>
      </w:r>
    </w:p>
    <w:p w:rsidR="00A75A8D" w:rsidRDefault="00A75A8D">
      <w:pPr>
        <w:jc w:val="right"/>
        <w:rPr>
          <w:rFonts w:ascii="Times New Roman" w:hAnsi="Times New Roman" w:cs="Times New Roman"/>
          <w:sz w:val="28"/>
          <w:szCs w:val="28"/>
        </w:rPr>
      </w:pPr>
    </w:p>
    <w:p w:rsidR="00A75A8D" w:rsidRDefault="00A75A8D">
      <w:pPr>
        <w:jc w:val="right"/>
        <w:rPr>
          <w:rFonts w:ascii="Times New Roman" w:hAnsi="Times New Roman" w:cs="Times New Roman"/>
          <w:sz w:val="28"/>
          <w:szCs w:val="28"/>
        </w:rPr>
      </w:pPr>
    </w:p>
    <w:p w:rsidR="00A75A8D" w:rsidRDefault="00A75A8D">
      <w:pPr>
        <w:jc w:val="right"/>
        <w:rPr>
          <w:rFonts w:ascii="Times New Roman" w:hAnsi="Times New Roman" w:cs="Times New Roman"/>
          <w:sz w:val="28"/>
          <w:szCs w:val="28"/>
        </w:rPr>
      </w:pPr>
    </w:p>
    <w:p w:rsidR="00A75A8D" w:rsidRDefault="008A6A51">
      <w:pPr>
        <w:spacing w:after="0"/>
        <w:jc w:val="center"/>
        <w:rPr>
          <w:rFonts w:ascii="Times New Roman" w:hAnsi="Times New Roman" w:cs="Times New Roman"/>
          <w:sz w:val="28"/>
          <w:szCs w:val="28"/>
        </w:rPr>
      </w:pPr>
      <w:r>
        <w:rPr>
          <w:rFonts w:ascii="Times New Roman" w:hAnsi="Times New Roman" w:cs="Times New Roman"/>
          <w:sz w:val="28"/>
          <w:szCs w:val="28"/>
        </w:rPr>
        <w:t xml:space="preserve">Республика Казахстан </w:t>
      </w:r>
    </w:p>
    <w:p w:rsidR="00A75A8D" w:rsidRDefault="008A6A51">
      <w:pPr>
        <w:spacing w:after="0"/>
        <w:jc w:val="center"/>
        <w:rPr>
          <w:rFonts w:ascii="Times New Roman" w:hAnsi="Times New Roman" w:cs="Times New Roman"/>
          <w:sz w:val="28"/>
          <w:szCs w:val="28"/>
        </w:rPr>
      </w:pPr>
      <w:r>
        <w:rPr>
          <w:rFonts w:ascii="Times New Roman" w:hAnsi="Times New Roman" w:cs="Times New Roman"/>
          <w:sz w:val="28"/>
          <w:szCs w:val="28"/>
        </w:rPr>
        <w:t>Алматы, 202</w:t>
      </w:r>
      <w:r>
        <w:rPr>
          <w:rFonts w:ascii="Times New Roman" w:hAnsi="Times New Roman" w:cs="Times New Roman"/>
          <w:sz w:val="28"/>
          <w:szCs w:val="28"/>
        </w:rPr>
        <w:t>5</w:t>
      </w:r>
      <w:r>
        <w:rPr>
          <w:rFonts w:ascii="Times New Roman" w:hAnsi="Times New Roman" w:cs="Times New Roman"/>
          <w:sz w:val="28"/>
          <w:szCs w:val="28"/>
        </w:rPr>
        <w:t xml:space="preserve"> </w:t>
      </w:r>
    </w:p>
    <w:p w:rsidR="00A75A8D" w:rsidRDefault="00A75A8D">
      <w:pPr>
        <w:spacing w:after="0"/>
        <w:jc w:val="center"/>
        <w:rPr>
          <w:rFonts w:ascii="Times New Roman" w:hAnsi="Times New Roman" w:cs="Times New Roman"/>
          <w:sz w:val="28"/>
          <w:szCs w:val="28"/>
        </w:rPr>
      </w:pPr>
    </w:p>
    <w:p w:rsidR="00A75A8D" w:rsidRDefault="008A6A51">
      <w:pPr>
        <w:jc w:val="center"/>
        <w:rPr>
          <w:rFonts w:ascii="Times New Roman" w:hAnsi="Times New Roman" w:cs="Times New Roman"/>
          <w:color w:val="FF0000"/>
          <w:sz w:val="28"/>
          <w:szCs w:val="28"/>
        </w:rPr>
      </w:pPr>
      <w:r>
        <w:rPr>
          <w:rFonts w:ascii="Times New Roman" w:hAnsi="Times New Roman" w:cs="Times New Roman"/>
          <w:b/>
          <w:bCs/>
          <w:sz w:val="28"/>
          <w:szCs w:val="28"/>
        </w:rPr>
        <w:lastRenderedPageBreak/>
        <w:t>СОДЕРЖАНИЕ</w:t>
      </w:r>
    </w:p>
    <w:sdt>
      <w:sdtPr>
        <w:rPr>
          <w:rFonts w:asciiTheme="minorHAnsi" w:eastAsiaTheme="minorHAnsi" w:hAnsiTheme="minorHAnsi" w:cstheme="minorBidi"/>
          <w:color w:val="auto"/>
          <w:sz w:val="22"/>
          <w:szCs w:val="22"/>
          <w:lang w:eastAsia="en-US"/>
        </w:rPr>
        <w:id w:val="-1017000298"/>
        <w:docPartObj>
          <w:docPartGallery w:val="Table of Contents"/>
          <w:docPartUnique/>
        </w:docPartObj>
      </w:sdtPr>
      <w:sdtEndPr>
        <w:rPr>
          <w:rFonts w:ascii="Times New Roman" w:hAnsi="Times New Roman" w:cs="Times New Roman"/>
          <w:b/>
          <w:bCs/>
          <w:sz w:val="28"/>
          <w:szCs w:val="28"/>
        </w:rPr>
      </w:sdtEndPr>
      <w:sdtContent>
        <w:p w:rsidR="00A75A8D" w:rsidRDefault="00A75A8D">
          <w:pPr>
            <w:pStyle w:val="22"/>
          </w:pPr>
        </w:p>
        <w:p w:rsidR="00A75A8D" w:rsidRDefault="008A6A51">
          <w:pPr>
            <w:pStyle w:val="11"/>
            <w:tabs>
              <w:tab w:val="clear" w:pos="9769"/>
              <w:tab w:val="right" w:leader="dot" w:pos="9680"/>
            </w:tabs>
            <w:rPr>
              <w:rFonts w:ascii="Times New Roman" w:eastAsiaTheme="minorEastAsia" w:hAnsi="Times New Roman" w:cs="Times New Roman"/>
              <w:sz w:val="27"/>
              <w:szCs w:val="27"/>
              <w:lang w:eastAsia="ru-RU"/>
            </w:rPr>
          </w:pPr>
          <w:r>
            <w:rPr>
              <w:rFonts w:ascii="Times New Roman" w:hAnsi="Times New Roman" w:cs="Times New Roman"/>
              <w:sz w:val="27"/>
              <w:szCs w:val="27"/>
            </w:rPr>
            <w:fldChar w:fldCharType="begin"/>
          </w:r>
          <w:r>
            <w:rPr>
              <w:rFonts w:ascii="Times New Roman" w:hAnsi="Times New Roman" w:cs="Times New Roman"/>
              <w:sz w:val="27"/>
              <w:szCs w:val="27"/>
            </w:rPr>
            <w:instrText xml:space="preserve"> TOC \o "1-3" \h \z \u </w:instrText>
          </w:r>
          <w:r>
            <w:rPr>
              <w:rFonts w:ascii="Times New Roman" w:hAnsi="Times New Roman" w:cs="Times New Roman"/>
              <w:sz w:val="27"/>
              <w:szCs w:val="27"/>
            </w:rPr>
            <w:fldChar w:fldCharType="separate"/>
          </w:r>
          <w:hyperlink w:anchor="_Toc186925720" w:history="1">
            <w:r>
              <w:rPr>
                <w:rStyle w:val="a6"/>
                <w:rFonts w:ascii="Times New Roman" w:hAnsi="Times New Roman" w:cs="Times New Roman"/>
                <w:b/>
                <w:sz w:val="27"/>
                <w:szCs w:val="27"/>
              </w:rPr>
              <w:t>НОРМАТИВНЫЕ ССЫЛКИ</w:t>
            </w:r>
            <w:r>
              <w:rPr>
                <w:rFonts w:ascii="Times New Roman" w:hAnsi="Times New Roman" w:cs="Times New Roman"/>
                <w:sz w:val="27"/>
                <w:szCs w:val="27"/>
              </w:rPr>
              <w:tab/>
            </w:r>
            <w:r>
              <w:rPr>
                <w:rFonts w:ascii="Times New Roman" w:hAnsi="Times New Roman" w:cs="Times New Roman"/>
                <w:sz w:val="27"/>
                <w:szCs w:val="27"/>
              </w:rPr>
              <w:fldChar w:fldCharType="begin"/>
            </w:r>
            <w:r>
              <w:rPr>
                <w:rFonts w:ascii="Times New Roman" w:hAnsi="Times New Roman" w:cs="Times New Roman"/>
                <w:sz w:val="27"/>
                <w:szCs w:val="27"/>
              </w:rPr>
              <w:instrText xml:space="preserve"> PAGEREF _Toc186925720 \h </w:instrText>
            </w:r>
            <w:r>
              <w:rPr>
                <w:rFonts w:ascii="Times New Roman" w:hAnsi="Times New Roman" w:cs="Times New Roman"/>
                <w:sz w:val="27"/>
                <w:szCs w:val="27"/>
              </w:rPr>
            </w:r>
            <w:r>
              <w:rPr>
                <w:rFonts w:ascii="Times New Roman" w:hAnsi="Times New Roman" w:cs="Times New Roman"/>
                <w:sz w:val="27"/>
                <w:szCs w:val="27"/>
              </w:rPr>
              <w:fldChar w:fldCharType="separate"/>
            </w:r>
            <w:r>
              <w:rPr>
                <w:rFonts w:ascii="Times New Roman" w:hAnsi="Times New Roman" w:cs="Times New Roman"/>
                <w:sz w:val="27"/>
                <w:szCs w:val="27"/>
              </w:rPr>
              <w:t>3</w:t>
            </w:r>
            <w:r>
              <w:rPr>
                <w:rFonts w:ascii="Times New Roman" w:hAnsi="Times New Roman" w:cs="Times New Roman"/>
                <w:sz w:val="27"/>
                <w:szCs w:val="27"/>
              </w:rPr>
              <w:fldChar w:fldCharType="end"/>
            </w:r>
          </w:hyperlink>
        </w:p>
        <w:p w:rsidR="00A75A8D" w:rsidRDefault="008A6A51">
          <w:pPr>
            <w:pStyle w:val="11"/>
            <w:tabs>
              <w:tab w:val="clear" w:pos="9769"/>
              <w:tab w:val="right" w:leader="dot" w:pos="9680"/>
            </w:tabs>
            <w:rPr>
              <w:rFonts w:ascii="Times New Roman" w:eastAsiaTheme="minorEastAsia" w:hAnsi="Times New Roman" w:cs="Times New Roman"/>
              <w:sz w:val="27"/>
              <w:szCs w:val="27"/>
              <w:lang w:eastAsia="ru-RU"/>
            </w:rPr>
          </w:pPr>
          <w:hyperlink w:anchor="_Toc186925721" w:history="1">
            <w:r>
              <w:rPr>
                <w:rStyle w:val="a6"/>
                <w:rFonts w:ascii="Times New Roman" w:hAnsi="Times New Roman" w:cs="Times New Roman"/>
                <w:b/>
                <w:sz w:val="27"/>
                <w:szCs w:val="27"/>
              </w:rPr>
              <w:t>ОПРЕДЕЛЕНИЯ</w:t>
            </w:r>
            <w:r>
              <w:rPr>
                <w:rFonts w:ascii="Times New Roman" w:hAnsi="Times New Roman" w:cs="Times New Roman"/>
                <w:sz w:val="27"/>
                <w:szCs w:val="27"/>
              </w:rPr>
              <w:tab/>
            </w:r>
            <w:r>
              <w:rPr>
                <w:rFonts w:ascii="Times New Roman" w:hAnsi="Times New Roman" w:cs="Times New Roman"/>
                <w:sz w:val="27"/>
                <w:szCs w:val="27"/>
              </w:rPr>
              <w:fldChar w:fldCharType="begin"/>
            </w:r>
            <w:r>
              <w:rPr>
                <w:rFonts w:ascii="Times New Roman" w:hAnsi="Times New Roman" w:cs="Times New Roman"/>
                <w:sz w:val="27"/>
                <w:szCs w:val="27"/>
              </w:rPr>
              <w:instrText xml:space="preserve"> PAGEREF _Toc186925721 \h </w:instrText>
            </w:r>
            <w:r>
              <w:rPr>
                <w:rFonts w:ascii="Times New Roman" w:hAnsi="Times New Roman" w:cs="Times New Roman"/>
                <w:sz w:val="27"/>
                <w:szCs w:val="27"/>
              </w:rPr>
            </w:r>
            <w:r>
              <w:rPr>
                <w:rFonts w:ascii="Times New Roman" w:hAnsi="Times New Roman" w:cs="Times New Roman"/>
                <w:sz w:val="27"/>
                <w:szCs w:val="27"/>
              </w:rPr>
              <w:fldChar w:fldCharType="separate"/>
            </w:r>
            <w:r>
              <w:rPr>
                <w:rFonts w:ascii="Times New Roman" w:hAnsi="Times New Roman" w:cs="Times New Roman"/>
                <w:sz w:val="27"/>
                <w:szCs w:val="27"/>
              </w:rPr>
              <w:t>4</w:t>
            </w:r>
            <w:r>
              <w:rPr>
                <w:rFonts w:ascii="Times New Roman" w:hAnsi="Times New Roman" w:cs="Times New Roman"/>
                <w:sz w:val="27"/>
                <w:szCs w:val="27"/>
              </w:rPr>
              <w:fldChar w:fldCharType="end"/>
            </w:r>
          </w:hyperlink>
        </w:p>
        <w:p w:rsidR="00A75A8D" w:rsidRDefault="008A6A51">
          <w:pPr>
            <w:pStyle w:val="11"/>
            <w:tabs>
              <w:tab w:val="clear" w:pos="9769"/>
              <w:tab w:val="right" w:leader="dot" w:pos="9680"/>
            </w:tabs>
            <w:rPr>
              <w:rFonts w:ascii="Times New Roman" w:eastAsiaTheme="minorEastAsia" w:hAnsi="Times New Roman" w:cs="Times New Roman"/>
              <w:sz w:val="27"/>
              <w:szCs w:val="27"/>
              <w:lang w:eastAsia="ru-RU"/>
            </w:rPr>
          </w:pPr>
          <w:hyperlink w:anchor="_Toc186925722" w:history="1">
            <w:r>
              <w:rPr>
                <w:rStyle w:val="a6"/>
                <w:rFonts w:ascii="Times New Roman" w:hAnsi="Times New Roman" w:cs="Times New Roman"/>
                <w:b/>
                <w:sz w:val="27"/>
                <w:szCs w:val="27"/>
              </w:rPr>
              <w:t>ОБОЗНАЧЕНИЯ И СОКРАЩЕНИЯ</w:t>
            </w:r>
            <w:r>
              <w:rPr>
                <w:rFonts w:ascii="Times New Roman" w:hAnsi="Times New Roman" w:cs="Times New Roman"/>
                <w:sz w:val="27"/>
                <w:szCs w:val="27"/>
              </w:rPr>
              <w:tab/>
            </w:r>
            <w:r>
              <w:rPr>
                <w:rFonts w:ascii="Times New Roman" w:hAnsi="Times New Roman" w:cs="Times New Roman"/>
                <w:sz w:val="27"/>
                <w:szCs w:val="27"/>
              </w:rPr>
              <w:fldChar w:fldCharType="begin"/>
            </w:r>
            <w:r>
              <w:rPr>
                <w:rFonts w:ascii="Times New Roman" w:hAnsi="Times New Roman" w:cs="Times New Roman"/>
                <w:sz w:val="27"/>
                <w:szCs w:val="27"/>
              </w:rPr>
              <w:instrText xml:space="preserve"> PAGEREF _Toc186925722 \h </w:instrText>
            </w:r>
            <w:r>
              <w:rPr>
                <w:rFonts w:ascii="Times New Roman" w:hAnsi="Times New Roman" w:cs="Times New Roman"/>
                <w:sz w:val="27"/>
                <w:szCs w:val="27"/>
              </w:rPr>
            </w:r>
            <w:r>
              <w:rPr>
                <w:rFonts w:ascii="Times New Roman" w:hAnsi="Times New Roman" w:cs="Times New Roman"/>
                <w:sz w:val="27"/>
                <w:szCs w:val="27"/>
              </w:rPr>
              <w:fldChar w:fldCharType="separate"/>
            </w:r>
            <w:r>
              <w:rPr>
                <w:rFonts w:ascii="Times New Roman" w:hAnsi="Times New Roman" w:cs="Times New Roman"/>
                <w:sz w:val="27"/>
                <w:szCs w:val="27"/>
              </w:rPr>
              <w:t>5</w:t>
            </w:r>
            <w:r>
              <w:rPr>
                <w:rFonts w:ascii="Times New Roman" w:hAnsi="Times New Roman" w:cs="Times New Roman"/>
                <w:sz w:val="27"/>
                <w:szCs w:val="27"/>
              </w:rPr>
              <w:fldChar w:fldCharType="end"/>
            </w:r>
          </w:hyperlink>
        </w:p>
        <w:p w:rsidR="00A75A8D" w:rsidRDefault="008A6A51">
          <w:pPr>
            <w:pStyle w:val="11"/>
            <w:tabs>
              <w:tab w:val="clear" w:pos="9769"/>
              <w:tab w:val="right" w:leader="dot" w:pos="9680"/>
            </w:tabs>
            <w:rPr>
              <w:rFonts w:ascii="Times New Roman" w:eastAsiaTheme="minorEastAsia" w:hAnsi="Times New Roman" w:cs="Times New Roman"/>
              <w:sz w:val="27"/>
              <w:szCs w:val="27"/>
              <w:lang w:eastAsia="ru-RU"/>
            </w:rPr>
          </w:pPr>
          <w:hyperlink w:anchor="_Toc186925723" w:history="1">
            <w:r>
              <w:rPr>
                <w:rStyle w:val="a6"/>
                <w:rFonts w:ascii="Times New Roman" w:hAnsi="Times New Roman" w:cs="Times New Roman"/>
                <w:b/>
                <w:sz w:val="27"/>
                <w:szCs w:val="27"/>
              </w:rPr>
              <w:t>ВВЕД</w:t>
            </w:r>
            <w:r>
              <w:rPr>
                <w:rStyle w:val="a6"/>
                <w:rFonts w:ascii="Times New Roman" w:hAnsi="Times New Roman" w:cs="Times New Roman"/>
                <w:b/>
                <w:sz w:val="27"/>
                <w:szCs w:val="27"/>
              </w:rPr>
              <w:t>ЕНИЕ</w:t>
            </w:r>
            <w:r>
              <w:rPr>
                <w:rFonts w:ascii="Times New Roman" w:hAnsi="Times New Roman" w:cs="Times New Roman"/>
                <w:sz w:val="27"/>
                <w:szCs w:val="27"/>
              </w:rPr>
              <w:tab/>
            </w:r>
            <w:r>
              <w:rPr>
                <w:rFonts w:ascii="Times New Roman" w:hAnsi="Times New Roman" w:cs="Times New Roman"/>
                <w:sz w:val="27"/>
                <w:szCs w:val="27"/>
              </w:rPr>
              <w:fldChar w:fldCharType="begin"/>
            </w:r>
            <w:r>
              <w:rPr>
                <w:rFonts w:ascii="Times New Roman" w:hAnsi="Times New Roman" w:cs="Times New Roman"/>
                <w:sz w:val="27"/>
                <w:szCs w:val="27"/>
              </w:rPr>
              <w:instrText xml:space="preserve"> PAGEREF _Toc186925723 \h </w:instrText>
            </w:r>
            <w:r>
              <w:rPr>
                <w:rFonts w:ascii="Times New Roman" w:hAnsi="Times New Roman" w:cs="Times New Roman"/>
                <w:sz w:val="27"/>
                <w:szCs w:val="27"/>
              </w:rPr>
            </w:r>
            <w:r>
              <w:rPr>
                <w:rFonts w:ascii="Times New Roman" w:hAnsi="Times New Roman" w:cs="Times New Roman"/>
                <w:sz w:val="27"/>
                <w:szCs w:val="27"/>
              </w:rPr>
              <w:fldChar w:fldCharType="separate"/>
            </w:r>
            <w:r>
              <w:rPr>
                <w:rFonts w:ascii="Times New Roman" w:hAnsi="Times New Roman" w:cs="Times New Roman"/>
                <w:sz w:val="27"/>
                <w:szCs w:val="27"/>
              </w:rPr>
              <w:t>6</w:t>
            </w:r>
            <w:r>
              <w:rPr>
                <w:rFonts w:ascii="Times New Roman" w:hAnsi="Times New Roman" w:cs="Times New Roman"/>
                <w:sz w:val="27"/>
                <w:szCs w:val="27"/>
              </w:rPr>
              <w:fldChar w:fldCharType="end"/>
            </w:r>
          </w:hyperlink>
        </w:p>
        <w:p w:rsidR="00A75A8D" w:rsidRDefault="008A6A51">
          <w:pPr>
            <w:pStyle w:val="11"/>
            <w:tabs>
              <w:tab w:val="clear" w:pos="9769"/>
              <w:tab w:val="right" w:leader="dot" w:pos="9680"/>
            </w:tabs>
            <w:rPr>
              <w:rFonts w:ascii="Times New Roman" w:eastAsiaTheme="minorEastAsia" w:hAnsi="Times New Roman" w:cs="Times New Roman"/>
              <w:sz w:val="27"/>
              <w:szCs w:val="27"/>
              <w:lang w:eastAsia="ru-RU"/>
            </w:rPr>
          </w:pPr>
          <w:hyperlink w:anchor="_Toc186925724" w:history="1">
            <w:r>
              <w:rPr>
                <w:rStyle w:val="a6"/>
                <w:rFonts w:ascii="Times New Roman" w:hAnsi="Times New Roman" w:cs="Times New Roman"/>
                <w:b/>
                <w:sz w:val="27"/>
                <w:szCs w:val="27"/>
              </w:rPr>
              <w:t>1 АКТУАЛЬНОСТЬ ПРОБЛЕМЫ РАННЕЙ ДИАГНОСТИКИ РАКА ЛЕГКОГО (ОБЗОР ЛИТЕРАТУРЫ)</w:t>
            </w:r>
            <w:r>
              <w:rPr>
                <w:rFonts w:ascii="Times New Roman" w:hAnsi="Times New Roman" w:cs="Times New Roman"/>
                <w:sz w:val="27"/>
                <w:szCs w:val="27"/>
              </w:rPr>
              <w:tab/>
            </w:r>
            <w:r>
              <w:rPr>
                <w:rFonts w:ascii="Times New Roman" w:hAnsi="Times New Roman" w:cs="Times New Roman"/>
                <w:sz w:val="27"/>
                <w:szCs w:val="27"/>
              </w:rPr>
              <w:fldChar w:fldCharType="begin"/>
            </w:r>
            <w:r>
              <w:rPr>
                <w:rFonts w:ascii="Times New Roman" w:hAnsi="Times New Roman" w:cs="Times New Roman"/>
                <w:sz w:val="27"/>
                <w:szCs w:val="27"/>
              </w:rPr>
              <w:instrText xml:space="preserve"> PAGEREF _Toc186925724 \h </w:instrText>
            </w:r>
            <w:r>
              <w:rPr>
                <w:rFonts w:ascii="Times New Roman" w:hAnsi="Times New Roman" w:cs="Times New Roman"/>
                <w:sz w:val="27"/>
                <w:szCs w:val="27"/>
              </w:rPr>
            </w:r>
            <w:r>
              <w:rPr>
                <w:rFonts w:ascii="Times New Roman" w:hAnsi="Times New Roman" w:cs="Times New Roman"/>
                <w:sz w:val="27"/>
                <w:szCs w:val="27"/>
              </w:rPr>
              <w:fldChar w:fldCharType="separate"/>
            </w:r>
            <w:r>
              <w:rPr>
                <w:rFonts w:ascii="Times New Roman" w:hAnsi="Times New Roman" w:cs="Times New Roman"/>
                <w:sz w:val="27"/>
                <w:szCs w:val="27"/>
              </w:rPr>
              <w:t>11</w:t>
            </w:r>
            <w:r>
              <w:rPr>
                <w:rFonts w:ascii="Times New Roman" w:hAnsi="Times New Roman" w:cs="Times New Roman"/>
                <w:sz w:val="27"/>
                <w:szCs w:val="27"/>
              </w:rPr>
              <w:fldChar w:fldCharType="end"/>
            </w:r>
          </w:hyperlink>
        </w:p>
        <w:p w:rsidR="00A75A8D" w:rsidRDefault="008A6A51">
          <w:pPr>
            <w:pStyle w:val="21"/>
            <w:rPr>
              <w:rFonts w:eastAsiaTheme="minorEastAsia"/>
              <w:lang w:eastAsia="ru-RU"/>
            </w:rPr>
          </w:pPr>
          <w:hyperlink w:anchor="_Toc186925725" w:history="1">
            <w:r>
              <w:rPr>
                <w:rStyle w:val="a6"/>
              </w:rPr>
              <w:t>1.1 Эпидемиология рака легкого</w:t>
            </w:r>
            <w:r>
              <w:tab/>
            </w:r>
            <w:r>
              <w:fldChar w:fldCharType="begin"/>
            </w:r>
            <w:r>
              <w:instrText xml:space="preserve"> PAGEREF _Toc186925725 \h </w:instrText>
            </w:r>
            <w:r>
              <w:fldChar w:fldCharType="separate"/>
            </w:r>
            <w:r>
              <w:t>11</w:t>
            </w:r>
            <w:r>
              <w:fldChar w:fldCharType="end"/>
            </w:r>
          </w:hyperlink>
        </w:p>
        <w:p w:rsidR="00A75A8D" w:rsidRDefault="008A6A51">
          <w:pPr>
            <w:pStyle w:val="21"/>
            <w:rPr>
              <w:rFonts w:eastAsiaTheme="minorEastAsia"/>
              <w:lang w:eastAsia="ru-RU"/>
            </w:rPr>
          </w:pPr>
          <w:hyperlink w:anchor="_Toc186925726" w:history="1">
            <w:r>
              <w:rPr>
                <w:rStyle w:val="a6"/>
              </w:rPr>
              <w:t xml:space="preserve">1.2 Фактора </w:t>
            </w:r>
            <w:r>
              <w:rPr>
                <w:rStyle w:val="a6"/>
              </w:rPr>
              <w:t>риска развития рака легкого</w:t>
            </w:r>
            <w:r>
              <w:tab/>
            </w:r>
            <w:r>
              <w:fldChar w:fldCharType="begin"/>
            </w:r>
            <w:r>
              <w:instrText xml:space="preserve"> PAGEREF _Toc186925726 \h </w:instrText>
            </w:r>
            <w:r>
              <w:fldChar w:fldCharType="separate"/>
            </w:r>
            <w:r>
              <w:t>13</w:t>
            </w:r>
            <w:r>
              <w:fldChar w:fldCharType="end"/>
            </w:r>
          </w:hyperlink>
        </w:p>
        <w:p w:rsidR="00A75A8D" w:rsidRDefault="008A6A51">
          <w:pPr>
            <w:pStyle w:val="21"/>
            <w:rPr>
              <w:rFonts w:eastAsiaTheme="minorEastAsia"/>
              <w:lang w:eastAsia="ru-RU"/>
            </w:rPr>
          </w:pPr>
          <w:hyperlink w:anchor="_Toc186925727" w:history="1">
            <w:r>
              <w:rPr>
                <w:rStyle w:val="a6"/>
              </w:rPr>
              <w:t>1.3 Методы исследования в диагностике рака легкого</w:t>
            </w:r>
            <w:r>
              <w:tab/>
            </w:r>
            <w:r>
              <w:fldChar w:fldCharType="begin"/>
            </w:r>
            <w:r>
              <w:instrText xml:space="preserve"> PAGEREF _Toc186925727 \h </w:instrText>
            </w:r>
            <w:r>
              <w:fldChar w:fldCharType="separate"/>
            </w:r>
            <w:r>
              <w:t>19</w:t>
            </w:r>
            <w:r>
              <w:fldChar w:fldCharType="end"/>
            </w:r>
          </w:hyperlink>
        </w:p>
        <w:p w:rsidR="00A75A8D" w:rsidRDefault="008A6A51">
          <w:pPr>
            <w:pStyle w:val="21"/>
            <w:rPr>
              <w:rFonts w:eastAsiaTheme="minorEastAsia"/>
              <w:lang w:eastAsia="ru-RU"/>
            </w:rPr>
          </w:pPr>
          <w:hyperlink w:anchor="_Toc186925728" w:history="1">
            <w:r>
              <w:rPr>
                <w:rStyle w:val="a6"/>
                <w:b/>
              </w:rPr>
              <w:t>1.4 Низкодозная компьютерная томография в диагностике рака легкого</w:t>
            </w:r>
            <w:r>
              <w:tab/>
            </w:r>
            <w:r>
              <w:fldChar w:fldCharType="begin"/>
            </w:r>
            <w:r>
              <w:instrText xml:space="preserve"> PAGEREF _Toc186925728 \h </w:instrText>
            </w:r>
            <w:r>
              <w:fldChar w:fldCharType="separate"/>
            </w:r>
            <w:r>
              <w:t>21</w:t>
            </w:r>
            <w:r>
              <w:fldChar w:fldCharType="end"/>
            </w:r>
          </w:hyperlink>
        </w:p>
        <w:p w:rsidR="00A75A8D" w:rsidRDefault="008A6A51">
          <w:pPr>
            <w:pStyle w:val="11"/>
            <w:tabs>
              <w:tab w:val="clear" w:pos="9769"/>
              <w:tab w:val="right" w:leader="dot" w:pos="9680"/>
            </w:tabs>
            <w:ind w:rightChars="100" w:right="220"/>
            <w:rPr>
              <w:rFonts w:ascii="Times New Roman" w:eastAsiaTheme="minorEastAsia" w:hAnsi="Times New Roman" w:cs="Times New Roman"/>
              <w:sz w:val="27"/>
              <w:szCs w:val="27"/>
              <w:lang w:eastAsia="ru-RU"/>
            </w:rPr>
          </w:pPr>
          <w:hyperlink w:anchor="_Toc186925729" w:history="1">
            <w:r>
              <w:rPr>
                <w:rStyle w:val="a6"/>
                <w:rFonts w:ascii="Times New Roman" w:hAnsi="Times New Roman" w:cs="Times New Roman"/>
                <w:b/>
                <w:sz w:val="27"/>
                <w:szCs w:val="27"/>
              </w:rPr>
              <w:t>2 МАТЕРИАЛ И МЕТОДЫ ИССЛЕДОВАНИЯ</w:t>
            </w:r>
            <w:r>
              <w:rPr>
                <w:rFonts w:ascii="Times New Roman" w:hAnsi="Times New Roman" w:cs="Times New Roman"/>
                <w:sz w:val="27"/>
                <w:szCs w:val="27"/>
              </w:rPr>
              <w:fldChar w:fldCharType="begin"/>
            </w:r>
            <w:r>
              <w:rPr>
                <w:rFonts w:ascii="Times New Roman" w:hAnsi="Times New Roman" w:cs="Times New Roman"/>
                <w:sz w:val="27"/>
                <w:szCs w:val="27"/>
              </w:rPr>
              <w:instrText xml:space="preserve"> PAGEREF _Toc186925729 \h </w:instrText>
            </w:r>
            <w:r>
              <w:rPr>
                <w:rFonts w:ascii="Times New Roman" w:hAnsi="Times New Roman" w:cs="Times New Roman"/>
                <w:sz w:val="27"/>
                <w:szCs w:val="27"/>
              </w:rPr>
            </w:r>
            <w:r>
              <w:rPr>
                <w:rFonts w:ascii="Times New Roman" w:hAnsi="Times New Roman" w:cs="Times New Roman"/>
                <w:sz w:val="27"/>
                <w:szCs w:val="27"/>
              </w:rPr>
              <w:fldChar w:fldCharType="separate"/>
            </w:r>
            <w:r>
              <w:rPr>
                <w:rFonts w:ascii="Times New Roman" w:hAnsi="Times New Roman" w:cs="Times New Roman"/>
                <w:sz w:val="27"/>
                <w:szCs w:val="27"/>
              </w:rPr>
              <w:t>24</w:t>
            </w:r>
            <w:r>
              <w:rPr>
                <w:rFonts w:ascii="Times New Roman" w:hAnsi="Times New Roman" w:cs="Times New Roman"/>
                <w:sz w:val="27"/>
                <w:szCs w:val="27"/>
              </w:rPr>
              <w:fldChar w:fldCharType="end"/>
            </w:r>
          </w:hyperlink>
        </w:p>
        <w:p w:rsidR="00A75A8D" w:rsidRDefault="008A6A51">
          <w:pPr>
            <w:pStyle w:val="21"/>
            <w:rPr>
              <w:rFonts w:eastAsiaTheme="minorEastAsia"/>
              <w:lang w:eastAsia="ru-RU"/>
            </w:rPr>
          </w:pPr>
          <w:hyperlink w:anchor="_Toc186925730" w:history="1">
            <w:r>
              <w:rPr>
                <w:rStyle w:val="a6"/>
                <w:b/>
              </w:rPr>
              <w:t>2.1 Дизайн исследования</w:t>
            </w:r>
            <w:r>
              <w:tab/>
            </w:r>
            <w:r>
              <w:fldChar w:fldCharType="begin"/>
            </w:r>
            <w:r>
              <w:instrText xml:space="preserve"> PAGEREF _Toc186925730 \h </w:instrText>
            </w:r>
            <w:r>
              <w:fldChar w:fldCharType="separate"/>
            </w:r>
            <w:r>
              <w:t>24</w:t>
            </w:r>
            <w:r>
              <w:fldChar w:fldCharType="end"/>
            </w:r>
          </w:hyperlink>
        </w:p>
        <w:p w:rsidR="00A75A8D" w:rsidRDefault="008A6A51">
          <w:pPr>
            <w:pStyle w:val="21"/>
            <w:rPr>
              <w:rFonts w:eastAsiaTheme="minorEastAsia"/>
              <w:lang w:eastAsia="ru-RU"/>
            </w:rPr>
          </w:pPr>
          <w:hyperlink w:anchor="_Toc186925731" w:history="1">
            <w:r>
              <w:rPr>
                <w:rStyle w:val="a6"/>
                <w:b/>
              </w:rPr>
              <w:t>2.1.1 Дизайн</w:t>
            </w:r>
            <w:r>
              <w:tab/>
            </w:r>
            <w:r>
              <w:fldChar w:fldCharType="begin"/>
            </w:r>
            <w:r>
              <w:instrText xml:space="preserve"> PAGEREF _Toc186925731 \h </w:instrText>
            </w:r>
            <w:r>
              <w:fldChar w:fldCharType="separate"/>
            </w:r>
            <w:r>
              <w:t>24</w:t>
            </w:r>
            <w:r>
              <w:fldChar w:fldCharType="end"/>
            </w:r>
          </w:hyperlink>
        </w:p>
        <w:p w:rsidR="00A75A8D" w:rsidRDefault="008A6A51">
          <w:pPr>
            <w:pStyle w:val="21"/>
            <w:rPr>
              <w:rFonts w:eastAsiaTheme="minorEastAsia"/>
              <w:lang w:eastAsia="ru-RU"/>
            </w:rPr>
          </w:pPr>
          <w:hyperlink w:anchor="_Toc186925732" w:history="1">
            <w:r>
              <w:rPr>
                <w:rStyle w:val="a6"/>
                <w:b/>
              </w:rPr>
              <w:t>2.1.2 Расчет объема выборки</w:t>
            </w:r>
            <w:r>
              <w:tab/>
            </w:r>
            <w:r>
              <w:fldChar w:fldCharType="begin"/>
            </w:r>
            <w:r>
              <w:instrText xml:space="preserve"> PAGEREF _Toc186925732 \h </w:instrText>
            </w:r>
            <w:r>
              <w:fldChar w:fldCharType="separate"/>
            </w:r>
            <w:r>
              <w:t>24</w:t>
            </w:r>
            <w:r>
              <w:fldChar w:fldCharType="end"/>
            </w:r>
          </w:hyperlink>
        </w:p>
        <w:p w:rsidR="00A75A8D" w:rsidRDefault="008A6A51">
          <w:pPr>
            <w:pStyle w:val="21"/>
            <w:rPr>
              <w:rFonts w:eastAsiaTheme="minorEastAsia"/>
              <w:lang w:eastAsia="ru-RU"/>
            </w:rPr>
          </w:pPr>
          <w:hyperlink w:anchor="_Toc186925733" w:history="1">
            <w:r>
              <w:rPr>
                <w:rStyle w:val="a6"/>
                <w:b/>
                <w:u w:val="none"/>
              </w:rPr>
              <w:t>2.2 Материал исследования</w:t>
            </w:r>
            <w:r>
              <w:tab/>
            </w:r>
            <w:r>
              <w:fldChar w:fldCharType="begin"/>
            </w:r>
            <w:r>
              <w:instrText xml:space="preserve"> PAGEREF _Toc186925733 \h </w:instrText>
            </w:r>
            <w:r>
              <w:fldChar w:fldCharType="separate"/>
            </w:r>
            <w:r>
              <w:t>24</w:t>
            </w:r>
            <w:r>
              <w:fldChar w:fldCharType="end"/>
            </w:r>
          </w:hyperlink>
        </w:p>
        <w:p w:rsidR="00A75A8D" w:rsidRDefault="008A6A51">
          <w:pPr>
            <w:pStyle w:val="21"/>
            <w:rPr>
              <w:rFonts w:eastAsiaTheme="minorEastAsia"/>
              <w:lang w:eastAsia="ru-RU"/>
            </w:rPr>
          </w:pPr>
          <w:hyperlink w:anchor="_Toc186925734" w:history="1">
            <w:r>
              <w:rPr>
                <w:rStyle w:val="a6"/>
                <w:b/>
              </w:rPr>
              <w:t>2.3 Методы исследования</w:t>
            </w:r>
            <w:r>
              <w:tab/>
            </w:r>
            <w:r>
              <w:fldChar w:fldCharType="begin"/>
            </w:r>
            <w:r>
              <w:instrText xml:space="preserve"> PAGEREF _Toc186925734 \h </w:instrText>
            </w:r>
            <w:r>
              <w:fldChar w:fldCharType="separate"/>
            </w:r>
            <w:r>
              <w:t>26</w:t>
            </w:r>
            <w:r>
              <w:fldChar w:fldCharType="end"/>
            </w:r>
          </w:hyperlink>
        </w:p>
        <w:p w:rsidR="00A75A8D" w:rsidRDefault="008A6A51">
          <w:pPr>
            <w:pStyle w:val="21"/>
            <w:rPr>
              <w:rFonts w:eastAsiaTheme="minorEastAsia"/>
              <w:lang w:eastAsia="ru-RU"/>
            </w:rPr>
          </w:pPr>
          <w:hyperlink w:anchor="_Toc186925736" w:history="1">
            <w:r>
              <w:rPr>
                <w:rStyle w:val="a6"/>
                <w:b/>
              </w:rPr>
              <w:t>2.4 Интерпретация результатов НДКТ</w:t>
            </w:r>
            <w:r>
              <w:tab/>
            </w:r>
            <w:r>
              <w:fldChar w:fldCharType="begin"/>
            </w:r>
            <w:r>
              <w:instrText xml:space="preserve"> PAGEREF _Toc186925736 \h </w:instrText>
            </w:r>
            <w:r>
              <w:fldChar w:fldCharType="separate"/>
            </w:r>
            <w:r>
              <w:t>27</w:t>
            </w:r>
            <w:r>
              <w:fldChar w:fldCharType="end"/>
            </w:r>
          </w:hyperlink>
        </w:p>
        <w:p w:rsidR="00A75A8D" w:rsidRDefault="008A6A51">
          <w:pPr>
            <w:pStyle w:val="11"/>
            <w:tabs>
              <w:tab w:val="clear" w:pos="9769"/>
              <w:tab w:val="right" w:leader="dot" w:pos="9680"/>
            </w:tabs>
            <w:rPr>
              <w:rFonts w:ascii="Times New Roman" w:eastAsiaTheme="minorEastAsia" w:hAnsi="Times New Roman" w:cs="Times New Roman"/>
              <w:sz w:val="27"/>
              <w:szCs w:val="27"/>
              <w:lang w:eastAsia="ru-RU"/>
            </w:rPr>
          </w:pPr>
          <w:hyperlink w:anchor="_Toc186925738" w:history="1">
            <w:r>
              <w:rPr>
                <w:rStyle w:val="a6"/>
                <w:rFonts w:ascii="Times New Roman" w:hAnsi="Times New Roman" w:cs="Times New Roman"/>
                <w:b/>
                <w:sz w:val="27"/>
                <w:szCs w:val="27"/>
              </w:rPr>
              <w:t>3 РЕЗУЛЬТАТЫ СОБСТВЕННЫХ ИССЛЕДОВАНИЙ</w:t>
            </w:r>
            <w:r>
              <w:rPr>
                <w:rFonts w:ascii="Times New Roman" w:hAnsi="Times New Roman" w:cs="Times New Roman"/>
                <w:sz w:val="27"/>
                <w:szCs w:val="27"/>
              </w:rPr>
              <w:tab/>
            </w:r>
            <w:r>
              <w:rPr>
                <w:rFonts w:ascii="Times New Roman" w:hAnsi="Times New Roman" w:cs="Times New Roman"/>
                <w:sz w:val="27"/>
                <w:szCs w:val="27"/>
              </w:rPr>
              <w:fldChar w:fldCharType="begin"/>
            </w:r>
            <w:r>
              <w:rPr>
                <w:rFonts w:ascii="Times New Roman" w:hAnsi="Times New Roman" w:cs="Times New Roman"/>
                <w:sz w:val="27"/>
                <w:szCs w:val="27"/>
              </w:rPr>
              <w:instrText xml:space="preserve"> PAGEREF _Toc186925738 \h </w:instrText>
            </w:r>
            <w:r>
              <w:rPr>
                <w:rFonts w:ascii="Times New Roman" w:hAnsi="Times New Roman" w:cs="Times New Roman"/>
                <w:sz w:val="27"/>
                <w:szCs w:val="27"/>
              </w:rPr>
            </w:r>
            <w:r>
              <w:rPr>
                <w:rFonts w:ascii="Times New Roman" w:hAnsi="Times New Roman" w:cs="Times New Roman"/>
                <w:sz w:val="27"/>
                <w:szCs w:val="27"/>
              </w:rPr>
              <w:fldChar w:fldCharType="separate"/>
            </w:r>
            <w:r>
              <w:rPr>
                <w:rFonts w:ascii="Times New Roman" w:hAnsi="Times New Roman" w:cs="Times New Roman"/>
                <w:sz w:val="27"/>
                <w:szCs w:val="27"/>
              </w:rPr>
              <w:t>34</w:t>
            </w:r>
            <w:r>
              <w:rPr>
                <w:rFonts w:ascii="Times New Roman" w:hAnsi="Times New Roman" w:cs="Times New Roman"/>
                <w:sz w:val="27"/>
                <w:szCs w:val="27"/>
              </w:rPr>
              <w:fldChar w:fldCharType="end"/>
            </w:r>
          </w:hyperlink>
        </w:p>
        <w:p w:rsidR="00A75A8D" w:rsidRDefault="008A6A51">
          <w:pPr>
            <w:pStyle w:val="21"/>
            <w:rPr>
              <w:rFonts w:eastAsiaTheme="minorEastAsia"/>
              <w:lang w:eastAsia="ru-RU"/>
            </w:rPr>
          </w:pPr>
          <w:hyperlink w:anchor="_Toc186925739" w:history="1">
            <w:r>
              <w:rPr>
                <w:rStyle w:val="a6"/>
              </w:rPr>
              <w:t>3.1 Эпидемиологические аспекты заболеваемости и смертности от рака легкого в Казахстане</w:t>
            </w:r>
            <w:r>
              <w:tab/>
            </w:r>
            <w:r>
              <w:fldChar w:fldCharType="begin"/>
            </w:r>
            <w:r>
              <w:instrText xml:space="preserve"> PAGEREF _Toc186925739 \h </w:instrText>
            </w:r>
            <w:r>
              <w:fldChar w:fldCharType="separate"/>
            </w:r>
            <w:r>
              <w:t>34</w:t>
            </w:r>
            <w:r>
              <w:fldChar w:fldCharType="end"/>
            </w:r>
          </w:hyperlink>
        </w:p>
        <w:p w:rsidR="00A75A8D" w:rsidRDefault="008A6A51">
          <w:pPr>
            <w:pStyle w:val="21"/>
            <w:rPr>
              <w:rFonts w:eastAsiaTheme="minorEastAsia"/>
              <w:lang w:eastAsia="ru-RU"/>
            </w:rPr>
          </w:pPr>
          <w:hyperlink w:anchor="_Toc186925740" w:history="1">
            <w:r>
              <w:rPr>
                <w:rStyle w:val="a6"/>
              </w:rPr>
              <w:t xml:space="preserve">3.2 Общая характеристика </w:t>
            </w:r>
            <w:r>
              <w:rPr>
                <w:rStyle w:val="a6"/>
              </w:rPr>
              <w:t>выявленных легочных узлов при проведении низкодозной компьютерной томографии легких с определением диагностической эффективности метода</w:t>
            </w:r>
            <w:r>
              <w:tab/>
            </w:r>
            <w:r>
              <w:fldChar w:fldCharType="begin"/>
            </w:r>
            <w:r>
              <w:instrText xml:space="preserve"> PAGEREF _Toc186925740 \h </w:instrText>
            </w:r>
            <w:r>
              <w:fldChar w:fldCharType="separate"/>
            </w:r>
            <w:r>
              <w:t>47</w:t>
            </w:r>
            <w:r>
              <w:fldChar w:fldCharType="end"/>
            </w:r>
          </w:hyperlink>
        </w:p>
        <w:p w:rsidR="00A75A8D" w:rsidRDefault="008A6A51">
          <w:pPr>
            <w:pStyle w:val="21"/>
            <w:rPr>
              <w:rFonts w:eastAsiaTheme="minorEastAsia"/>
              <w:lang w:eastAsia="ru-RU"/>
            </w:rPr>
          </w:pPr>
          <w:hyperlink w:anchor="_Toc186925741" w:history="1">
            <w:r>
              <w:rPr>
                <w:rStyle w:val="a6"/>
              </w:rPr>
              <w:t xml:space="preserve">3.3 </w:t>
            </w:r>
            <w:r>
              <w:rPr>
                <w:rStyle w:val="a6"/>
                <w:lang w:eastAsia="ru-RU"/>
              </w:rPr>
              <w:t>Результаты изучения семиотики рака легкого при проведении низкодозной компьютерной томографии с определением его патогномоничной картины.</w:t>
            </w:r>
            <w:r>
              <w:tab/>
            </w:r>
            <w:r>
              <w:fldChar w:fldCharType="begin"/>
            </w:r>
            <w:r>
              <w:instrText xml:space="preserve"> PAGEREF _Toc186925741 \h </w:instrText>
            </w:r>
            <w:r>
              <w:fldChar w:fldCharType="separate"/>
            </w:r>
            <w:r>
              <w:t>59</w:t>
            </w:r>
            <w:r>
              <w:fldChar w:fldCharType="end"/>
            </w:r>
          </w:hyperlink>
        </w:p>
        <w:p w:rsidR="00A75A8D" w:rsidRDefault="008A6A51">
          <w:pPr>
            <w:pStyle w:val="21"/>
            <w:rPr>
              <w:rFonts w:eastAsiaTheme="minorEastAsia"/>
              <w:lang w:eastAsia="ru-RU"/>
            </w:rPr>
          </w:pPr>
          <w:hyperlink w:anchor="_Toc186925742" w:history="1">
            <w:r>
              <w:rPr>
                <w:rStyle w:val="a6"/>
              </w:rPr>
              <w:t>3.4 Оптимизация ранней диагностики рака легкого с применением низкодозной компьютерной томографии и DL-CАD</w:t>
            </w:r>
            <w:r>
              <w:tab/>
            </w:r>
            <w:r>
              <w:fldChar w:fldCharType="begin"/>
            </w:r>
            <w:r>
              <w:instrText xml:space="preserve"> PAGEREF _Toc186925742 \h </w:instrText>
            </w:r>
            <w:r>
              <w:fldChar w:fldCharType="separate"/>
            </w:r>
            <w:r>
              <w:t>62</w:t>
            </w:r>
            <w:r>
              <w:fldChar w:fldCharType="end"/>
            </w:r>
          </w:hyperlink>
        </w:p>
        <w:p w:rsidR="00A75A8D" w:rsidRDefault="008A6A51">
          <w:pPr>
            <w:pStyle w:val="11"/>
            <w:tabs>
              <w:tab w:val="clear" w:pos="9769"/>
              <w:tab w:val="right" w:leader="dot" w:pos="9680"/>
            </w:tabs>
            <w:rPr>
              <w:rFonts w:ascii="Times New Roman" w:eastAsiaTheme="minorEastAsia" w:hAnsi="Times New Roman" w:cs="Times New Roman"/>
              <w:sz w:val="27"/>
              <w:szCs w:val="27"/>
              <w:lang w:eastAsia="ru-RU"/>
            </w:rPr>
          </w:pPr>
          <w:hyperlink w:anchor="_Toc186925743" w:history="1">
            <w:r>
              <w:rPr>
                <w:rStyle w:val="a6"/>
                <w:rFonts w:ascii="Times New Roman" w:hAnsi="Times New Roman" w:cs="Times New Roman"/>
                <w:b/>
                <w:sz w:val="27"/>
                <w:szCs w:val="27"/>
              </w:rPr>
              <w:t>4 ОБСУЖДЕНИЕ</w:t>
            </w:r>
            <w:r>
              <w:rPr>
                <w:rFonts w:ascii="Times New Roman" w:hAnsi="Times New Roman" w:cs="Times New Roman"/>
                <w:sz w:val="27"/>
                <w:szCs w:val="27"/>
              </w:rPr>
              <w:tab/>
            </w:r>
            <w:r>
              <w:rPr>
                <w:rFonts w:ascii="Times New Roman" w:hAnsi="Times New Roman" w:cs="Times New Roman"/>
                <w:sz w:val="27"/>
                <w:szCs w:val="27"/>
              </w:rPr>
              <w:fldChar w:fldCharType="begin"/>
            </w:r>
            <w:r>
              <w:rPr>
                <w:rFonts w:ascii="Times New Roman" w:hAnsi="Times New Roman" w:cs="Times New Roman"/>
                <w:sz w:val="27"/>
                <w:szCs w:val="27"/>
              </w:rPr>
              <w:instrText xml:space="preserve"> PAGEREF _Toc186925743 \h </w:instrText>
            </w:r>
            <w:r>
              <w:rPr>
                <w:rFonts w:ascii="Times New Roman" w:hAnsi="Times New Roman" w:cs="Times New Roman"/>
                <w:sz w:val="27"/>
                <w:szCs w:val="27"/>
              </w:rPr>
            </w:r>
            <w:r>
              <w:rPr>
                <w:rFonts w:ascii="Times New Roman" w:hAnsi="Times New Roman" w:cs="Times New Roman"/>
                <w:sz w:val="27"/>
                <w:szCs w:val="27"/>
              </w:rPr>
              <w:fldChar w:fldCharType="separate"/>
            </w:r>
            <w:r>
              <w:rPr>
                <w:rFonts w:ascii="Times New Roman" w:hAnsi="Times New Roman" w:cs="Times New Roman"/>
                <w:sz w:val="27"/>
                <w:szCs w:val="27"/>
              </w:rPr>
              <w:t>67</w:t>
            </w:r>
            <w:r>
              <w:rPr>
                <w:rFonts w:ascii="Times New Roman" w:hAnsi="Times New Roman" w:cs="Times New Roman"/>
                <w:sz w:val="27"/>
                <w:szCs w:val="27"/>
              </w:rPr>
              <w:fldChar w:fldCharType="end"/>
            </w:r>
          </w:hyperlink>
        </w:p>
        <w:p w:rsidR="00A75A8D" w:rsidRDefault="008A6A51">
          <w:pPr>
            <w:pStyle w:val="11"/>
            <w:tabs>
              <w:tab w:val="clear" w:pos="9769"/>
              <w:tab w:val="right" w:leader="dot" w:pos="9680"/>
            </w:tabs>
            <w:rPr>
              <w:rFonts w:ascii="Times New Roman" w:eastAsiaTheme="minorEastAsia" w:hAnsi="Times New Roman" w:cs="Times New Roman"/>
              <w:sz w:val="27"/>
              <w:szCs w:val="27"/>
              <w:lang w:eastAsia="ru-RU"/>
            </w:rPr>
          </w:pPr>
          <w:hyperlink w:anchor="_Toc186925744" w:history="1">
            <w:r>
              <w:rPr>
                <w:rStyle w:val="a6"/>
                <w:rFonts w:ascii="Times New Roman" w:hAnsi="Times New Roman" w:cs="Times New Roman"/>
                <w:b/>
                <w:sz w:val="27"/>
                <w:szCs w:val="27"/>
                <w:lang w:eastAsia="zh-CN"/>
              </w:rPr>
              <w:t>СПИСОК</w:t>
            </w:r>
            <w:r>
              <w:rPr>
                <w:rStyle w:val="a6"/>
                <w:rFonts w:ascii="Times New Roman" w:hAnsi="Times New Roman" w:cs="Times New Roman"/>
                <w:b/>
                <w:sz w:val="27"/>
                <w:szCs w:val="27"/>
                <w:lang w:val="en-US" w:eastAsia="zh-CN"/>
              </w:rPr>
              <w:t xml:space="preserve"> </w:t>
            </w:r>
            <w:r>
              <w:rPr>
                <w:rStyle w:val="a6"/>
                <w:rFonts w:ascii="Times New Roman" w:hAnsi="Times New Roman" w:cs="Times New Roman"/>
                <w:b/>
                <w:sz w:val="27"/>
                <w:szCs w:val="27"/>
                <w:lang w:eastAsia="zh-CN"/>
              </w:rPr>
              <w:t>ИСПОЛЬЗОВАННЫХ</w:t>
            </w:r>
            <w:r>
              <w:rPr>
                <w:rStyle w:val="a6"/>
                <w:rFonts w:ascii="Times New Roman" w:hAnsi="Times New Roman" w:cs="Times New Roman"/>
                <w:b/>
                <w:sz w:val="27"/>
                <w:szCs w:val="27"/>
                <w:lang w:val="en-US" w:eastAsia="zh-CN"/>
              </w:rPr>
              <w:t xml:space="preserve"> </w:t>
            </w:r>
            <w:r>
              <w:rPr>
                <w:rStyle w:val="a6"/>
                <w:rFonts w:ascii="Times New Roman" w:hAnsi="Times New Roman" w:cs="Times New Roman"/>
                <w:b/>
                <w:sz w:val="27"/>
                <w:szCs w:val="27"/>
                <w:lang w:eastAsia="zh-CN"/>
              </w:rPr>
              <w:t>ИСТОЧНИКОВ</w:t>
            </w:r>
            <w:r>
              <w:rPr>
                <w:rFonts w:ascii="Times New Roman" w:hAnsi="Times New Roman" w:cs="Times New Roman"/>
                <w:sz w:val="27"/>
                <w:szCs w:val="27"/>
              </w:rPr>
              <w:tab/>
            </w:r>
            <w:r>
              <w:rPr>
                <w:rFonts w:ascii="Times New Roman" w:hAnsi="Times New Roman" w:cs="Times New Roman"/>
                <w:sz w:val="27"/>
                <w:szCs w:val="27"/>
              </w:rPr>
              <w:fldChar w:fldCharType="begin"/>
            </w:r>
            <w:r>
              <w:rPr>
                <w:rFonts w:ascii="Times New Roman" w:hAnsi="Times New Roman" w:cs="Times New Roman"/>
                <w:sz w:val="27"/>
                <w:szCs w:val="27"/>
              </w:rPr>
              <w:instrText xml:space="preserve"> PAGEREF _Toc186925744 \h </w:instrText>
            </w:r>
            <w:r>
              <w:rPr>
                <w:rFonts w:ascii="Times New Roman" w:hAnsi="Times New Roman" w:cs="Times New Roman"/>
                <w:sz w:val="27"/>
                <w:szCs w:val="27"/>
              </w:rPr>
            </w:r>
            <w:r>
              <w:rPr>
                <w:rFonts w:ascii="Times New Roman" w:hAnsi="Times New Roman" w:cs="Times New Roman"/>
                <w:sz w:val="27"/>
                <w:szCs w:val="27"/>
              </w:rPr>
              <w:fldChar w:fldCharType="separate"/>
            </w:r>
            <w:r>
              <w:rPr>
                <w:rFonts w:ascii="Times New Roman" w:hAnsi="Times New Roman" w:cs="Times New Roman"/>
                <w:sz w:val="27"/>
                <w:szCs w:val="27"/>
              </w:rPr>
              <w:t>84</w:t>
            </w:r>
            <w:r>
              <w:rPr>
                <w:rFonts w:ascii="Times New Roman" w:hAnsi="Times New Roman" w:cs="Times New Roman"/>
                <w:sz w:val="27"/>
                <w:szCs w:val="27"/>
              </w:rPr>
              <w:fldChar w:fldCharType="end"/>
            </w:r>
          </w:hyperlink>
        </w:p>
        <w:p w:rsidR="00A75A8D" w:rsidRDefault="008A6A51">
          <w:pPr>
            <w:pStyle w:val="11"/>
            <w:tabs>
              <w:tab w:val="clear" w:pos="9769"/>
              <w:tab w:val="right" w:leader="dot" w:pos="9680"/>
            </w:tabs>
            <w:rPr>
              <w:rFonts w:ascii="Times New Roman" w:eastAsiaTheme="minorEastAsia" w:hAnsi="Times New Roman" w:cs="Times New Roman"/>
              <w:sz w:val="27"/>
              <w:szCs w:val="27"/>
              <w:lang w:eastAsia="ru-RU"/>
            </w:rPr>
          </w:pPr>
          <w:hyperlink w:anchor="_Toc186925745" w:history="1">
            <w:r>
              <w:rPr>
                <w:rStyle w:val="a6"/>
                <w:rFonts w:ascii="Times New Roman" w:hAnsi="Times New Roman" w:cs="Times New Roman"/>
                <w:b/>
                <w:bCs/>
                <w:sz w:val="27"/>
                <w:szCs w:val="27"/>
              </w:rPr>
              <w:t>ПРИЛОЖЕНИЯ</w:t>
            </w:r>
            <w:r>
              <w:rPr>
                <w:rFonts w:ascii="Times New Roman" w:hAnsi="Times New Roman" w:cs="Times New Roman"/>
                <w:sz w:val="27"/>
                <w:szCs w:val="27"/>
              </w:rPr>
              <w:tab/>
            </w:r>
            <w:r>
              <w:rPr>
                <w:rFonts w:ascii="Times New Roman" w:hAnsi="Times New Roman" w:cs="Times New Roman"/>
                <w:sz w:val="27"/>
                <w:szCs w:val="27"/>
              </w:rPr>
              <w:fldChar w:fldCharType="begin"/>
            </w:r>
            <w:r>
              <w:rPr>
                <w:rFonts w:ascii="Times New Roman" w:hAnsi="Times New Roman" w:cs="Times New Roman"/>
                <w:sz w:val="27"/>
                <w:szCs w:val="27"/>
              </w:rPr>
              <w:instrText xml:space="preserve"> PAGEREF _Toc186925745 \h </w:instrText>
            </w:r>
            <w:r>
              <w:rPr>
                <w:rFonts w:ascii="Times New Roman" w:hAnsi="Times New Roman" w:cs="Times New Roman"/>
                <w:sz w:val="27"/>
                <w:szCs w:val="27"/>
              </w:rPr>
            </w:r>
            <w:r>
              <w:rPr>
                <w:rFonts w:ascii="Times New Roman" w:hAnsi="Times New Roman" w:cs="Times New Roman"/>
                <w:sz w:val="27"/>
                <w:szCs w:val="27"/>
              </w:rPr>
              <w:fldChar w:fldCharType="separate"/>
            </w:r>
            <w:r>
              <w:rPr>
                <w:rFonts w:ascii="Times New Roman" w:hAnsi="Times New Roman" w:cs="Times New Roman"/>
                <w:sz w:val="27"/>
                <w:szCs w:val="27"/>
              </w:rPr>
              <w:t>10</w:t>
            </w:r>
            <w:r>
              <w:rPr>
                <w:rFonts w:ascii="Times New Roman" w:hAnsi="Times New Roman" w:cs="Times New Roman"/>
                <w:sz w:val="27"/>
                <w:szCs w:val="27"/>
              </w:rPr>
              <w:fldChar w:fldCharType="end"/>
            </w:r>
          </w:hyperlink>
          <w:r>
            <w:rPr>
              <w:rFonts w:ascii="Times New Roman" w:hAnsi="Times New Roman" w:cs="Times New Roman"/>
              <w:sz w:val="27"/>
              <w:szCs w:val="27"/>
            </w:rPr>
            <w:t>0</w:t>
          </w:r>
        </w:p>
        <w:p w:rsidR="00A75A8D" w:rsidRDefault="00A75A8D">
          <w:pPr>
            <w:pStyle w:val="11"/>
            <w:rPr>
              <w:rFonts w:ascii="Times New Roman" w:eastAsiaTheme="minorEastAsia" w:hAnsi="Times New Roman" w:cs="Times New Roman"/>
              <w:sz w:val="27"/>
              <w:szCs w:val="27"/>
              <w:lang w:eastAsia="ru-RU"/>
            </w:rPr>
          </w:pPr>
        </w:p>
        <w:p w:rsidR="00A75A8D" w:rsidRDefault="008A6A51">
          <w:pPr>
            <w:rPr>
              <w:rFonts w:ascii="Times New Roman" w:hAnsi="Times New Roman" w:cs="Times New Roman"/>
              <w:sz w:val="28"/>
              <w:szCs w:val="28"/>
            </w:rPr>
          </w:pPr>
          <w:r>
            <w:rPr>
              <w:rFonts w:ascii="Times New Roman" w:hAnsi="Times New Roman" w:cs="Times New Roman"/>
              <w:b/>
              <w:bCs/>
              <w:sz w:val="27"/>
              <w:szCs w:val="27"/>
            </w:rPr>
            <w:fldChar w:fldCharType="end"/>
          </w:r>
        </w:p>
      </w:sdtContent>
    </w:sdt>
    <w:p w:rsidR="00A75A8D" w:rsidRDefault="008A6A51">
      <w:pPr>
        <w:pStyle w:val="1"/>
        <w:numPr>
          <w:ilvl w:val="0"/>
          <w:numId w:val="0"/>
        </w:numPr>
        <w:jc w:val="center"/>
        <w:rPr>
          <w:rStyle w:val="element-citation"/>
          <w:rFonts w:ascii="Times New Roman" w:hAnsi="Times New Roman" w:cs="Times New Roman"/>
          <w:b/>
          <w:color w:val="auto"/>
          <w:sz w:val="28"/>
          <w:szCs w:val="28"/>
        </w:rPr>
      </w:pPr>
      <w:r>
        <w:rPr>
          <w:rFonts w:ascii="Times New Roman" w:hAnsi="Times New Roman" w:cs="Times New Roman"/>
          <w:b/>
          <w:color w:val="auto"/>
          <w:sz w:val="28"/>
          <w:szCs w:val="28"/>
        </w:rPr>
        <w:br w:type="page"/>
      </w:r>
      <w:bookmarkStart w:id="0" w:name="_Toc186925720"/>
      <w:r>
        <w:rPr>
          <w:rStyle w:val="element-citation"/>
          <w:rFonts w:ascii="Times New Roman" w:hAnsi="Times New Roman" w:cs="Times New Roman"/>
          <w:b/>
          <w:color w:val="auto"/>
          <w:sz w:val="28"/>
        </w:rPr>
        <w:lastRenderedPageBreak/>
        <w:t>НОРМАТИВНЫЕ ССЫЛКИ</w:t>
      </w:r>
      <w:bookmarkEnd w:id="0"/>
    </w:p>
    <w:p w:rsidR="00A75A8D" w:rsidRDefault="00A75A8D"/>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 xml:space="preserve">В настоящей диссертации использованы ссылки на следующие стандарты:  </w:t>
      </w:r>
    </w:p>
    <w:p w:rsidR="00A75A8D" w:rsidRDefault="008A6A51">
      <w:pPr>
        <w:numPr>
          <w:ilvl w:val="0"/>
          <w:numId w:val="3"/>
        </w:num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Приказ Министра здравоохранения Республики Казахстан от 15 декабря 2020 года № ҚР ДСМ-275/2020 об утверждении Санитарных правил «Санитарно- эпидемиологические требования к обеспечению ра</w:t>
      </w:r>
      <w:r>
        <w:rPr>
          <w:rFonts w:ascii="Times New Roman" w:hAnsi="Times New Roman" w:cs="Times New Roman"/>
          <w:sz w:val="28"/>
          <w:szCs w:val="28"/>
        </w:rPr>
        <w:t xml:space="preserve">диационной безопасности»; </w:t>
      </w:r>
    </w:p>
    <w:p w:rsidR="00A75A8D" w:rsidRDefault="008A6A51">
      <w:pPr>
        <w:numPr>
          <w:ilvl w:val="0"/>
          <w:numId w:val="3"/>
        </w:num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 xml:space="preserve">Клинический протокол диагностики и лечения «Рак легкого» одобрен Объединенной комиссией по качеству медицинских услуг Министерства здравоохранения Республики Казахстан от 01 июля 2022 протокол №164; </w:t>
      </w:r>
    </w:p>
    <w:p w:rsidR="00A75A8D" w:rsidRDefault="008A6A51">
      <w:pPr>
        <w:numPr>
          <w:ilvl w:val="0"/>
          <w:numId w:val="3"/>
        </w:numPr>
        <w:spacing w:after="0" w:line="240" w:lineRule="auto"/>
        <w:ind w:firstLine="563"/>
        <w:jc w:val="both"/>
        <w:rPr>
          <w:rFonts w:ascii="Times New Roman" w:hAnsi="Times New Roman" w:cs="Times New Roman"/>
          <w:sz w:val="28"/>
          <w:szCs w:val="28"/>
        </w:rPr>
      </w:pPr>
      <w:r>
        <w:rPr>
          <w:rFonts w:ascii="Times New Roman" w:hAnsi="Times New Roman" w:cs="Times New Roman"/>
          <w:sz w:val="28"/>
          <w:szCs w:val="28"/>
        </w:rPr>
        <w:t>Приказ Министра здравоохранен</w:t>
      </w:r>
      <w:r>
        <w:rPr>
          <w:rFonts w:ascii="Times New Roman" w:hAnsi="Times New Roman" w:cs="Times New Roman"/>
          <w:sz w:val="28"/>
          <w:szCs w:val="28"/>
        </w:rPr>
        <w:t>ия Республики Казахстан от 25 августа 2022 года № ҚР ДСМ-90 Об утверждении Санитарных правил «Санитарно эпидемиологические требования к радиационно-опасным объектам»;</w:t>
      </w:r>
    </w:p>
    <w:p w:rsidR="00A75A8D" w:rsidRDefault="008A6A51">
      <w:pPr>
        <w:numPr>
          <w:ilvl w:val="0"/>
          <w:numId w:val="3"/>
        </w:num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Приказ Министра здравоохранения Республики Казахстан «Об утверждении целевых групп лиц, п</w:t>
      </w:r>
      <w:r>
        <w:rPr>
          <w:rFonts w:ascii="Times New Roman" w:hAnsi="Times New Roman" w:cs="Times New Roman"/>
          <w:sz w:val="28"/>
          <w:szCs w:val="28"/>
        </w:rPr>
        <w:t xml:space="preserve">одлежащих скрининговым исследованиям, а также правил, объема и периодичности проведения данных исследований» от 30 октября 2020 года № ҚР ДСМ-174/2020. Зарегистрирован в Министерстве юстиции Республики Казахстан 2 ноября 2020 года № 21572; </w:t>
      </w:r>
    </w:p>
    <w:p w:rsidR="00A75A8D" w:rsidRDefault="008A6A51">
      <w:pPr>
        <w:numPr>
          <w:ilvl w:val="0"/>
          <w:numId w:val="3"/>
        </w:num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br w:type="page"/>
      </w:r>
    </w:p>
    <w:p w:rsidR="00A75A8D" w:rsidRDefault="008A6A51">
      <w:pPr>
        <w:pStyle w:val="1"/>
        <w:numPr>
          <w:ilvl w:val="0"/>
          <w:numId w:val="0"/>
        </w:numPr>
        <w:jc w:val="center"/>
        <w:rPr>
          <w:rStyle w:val="element-citation"/>
          <w:rFonts w:ascii="Times New Roman" w:hAnsi="Times New Roman" w:cs="Times New Roman"/>
          <w:b/>
          <w:color w:val="auto"/>
          <w:sz w:val="28"/>
        </w:rPr>
      </w:pPr>
      <w:bookmarkStart w:id="1" w:name="_Toc186925721"/>
      <w:r>
        <w:rPr>
          <w:rStyle w:val="element-citation"/>
          <w:rFonts w:ascii="Times New Roman" w:hAnsi="Times New Roman" w:cs="Times New Roman"/>
          <w:b/>
          <w:color w:val="auto"/>
          <w:sz w:val="28"/>
        </w:rPr>
        <w:lastRenderedPageBreak/>
        <w:t>ОПРЕДЕЛЕНИЯ</w:t>
      </w:r>
      <w:bookmarkEnd w:id="1"/>
    </w:p>
    <w:p w:rsidR="00A75A8D" w:rsidRDefault="00A75A8D"/>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bCs/>
          <w:sz w:val="28"/>
          <w:szCs w:val="28"/>
          <w:lang w:eastAsia="zh-CN"/>
        </w:rPr>
        <w:t>В настоящей диссертации применены следующие термины с соответствующи</w:t>
      </w:r>
      <w:r>
        <w:rPr>
          <w:rFonts w:ascii="Times New Roman" w:hAnsi="Times New Roman" w:cs="Times New Roman"/>
          <w:sz w:val="28"/>
          <w:szCs w:val="28"/>
          <w:lang w:eastAsia="zh-CN"/>
        </w:rPr>
        <w:t>ми определениями:</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b/>
          <w:bCs/>
          <w:sz w:val="28"/>
          <w:szCs w:val="28"/>
        </w:rPr>
        <w:t>Узел</w:t>
      </w:r>
      <w:r>
        <w:rPr>
          <w:rFonts w:ascii="Times New Roman" w:hAnsi="Times New Roman" w:cs="Times New Roman"/>
          <w:sz w:val="28"/>
          <w:szCs w:val="28"/>
        </w:rPr>
        <w:t xml:space="preserve"> - уплотнение легочной паренхимы, округлой или близкой к ней формы, с четкими или нечеткими контурами, размером до 3 см в диаметре.</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b/>
          <w:bCs/>
          <w:sz w:val="28"/>
          <w:szCs w:val="28"/>
        </w:rPr>
        <w:t>Образование</w:t>
      </w:r>
      <w:r>
        <w:rPr>
          <w:rFonts w:ascii="Times New Roman" w:hAnsi="Times New Roman" w:cs="Times New Roman"/>
          <w:sz w:val="28"/>
          <w:szCs w:val="28"/>
        </w:rPr>
        <w:t xml:space="preserve"> - легочные узлы размер</w:t>
      </w:r>
      <w:r>
        <w:rPr>
          <w:rFonts w:ascii="Times New Roman" w:hAnsi="Times New Roman" w:cs="Times New Roman"/>
          <w:sz w:val="28"/>
          <w:szCs w:val="28"/>
        </w:rPr>
        <w:t>ом более 3 см.</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b/>
          <w:bCs/>
          <w:sz w:val="28"/>
          <w:szCs w:val="28"/>
        </w:rPr>
        <w:t>Малигнизация</w:t>
      </w:r>
      <w:r>
        <w:rPr>
          <w:rFonts w:ascii="Times New Roman" w:hAnsi="Times New Roman" w:cs="Times New Roman"/>
          <w:sz w:val="28"/>
          <w:szCs w:val="28"/>
        </w:rPr>
        <w:t xml:space="preserve"> - процесс трансформации доброкачественных клеток в злокачественный.</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b/>
          <w:bCs/>
          <w:sz w:val="28"/>
          <w:szCs w:val="28"/>
        </w:rPr>
        <w:t>Скрининг</w:t>
      </w:r>
      <w:r>
        <w:rPr>
          <w:rFonts w:ascii="Times New Roman" w:hAnsi="Times New Roman" w:cs="Times New Roman"/>
          <w:sz w:val="28"/>
          <w:szCs w:val="28"/>
        </w:rPr>
        <w:t xml:space="preserve"> - комплекс обследования бессимптомного населения с целью выявления лиц с более высоким риском заболевания.</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b/>
          <w:bCs/>
          <w:sz w:val="28"/>
          <w:szCs w:val="28"/>
        </w:rPr>
        <w:t>Зиверт</w:t>
      </w:r>
      <w:r>
        <w:rPr>
          <w:rFonts w:ascii="Times New Roman" w:hAnsi="Times New Roman" w:cs="Times New Roman"/>
          <w:sz w:val="28"/>
          <w:szCs w:val="28"/>
        </w:rPr>
        <w:t xml:space="preserve"> - единица измерения эффективной и эквивалентной доз ионизирующего излучения в Международной системе единиц.</w:t>
      </w:r>
      <w:r>
        <w:rPr>
          <w:rFonts w:ascii="Times New Roman" w:hAnsi="Times New Roman" w:cs="Times New Roman"/>
          <w:sz w:val="28"/>
          <w:szCs w:val="28"/>
        </w:rPr>
        <w:t xml:space="preserve"> </w:t>
      </w:r>
    </w:p>
    <w:p w:rsidR="00A75A8D" w:rsidRDefault="00A75A8D">
      <w:pPr>
        <w:spacing w:after="0" w:line="240" w:lineRule="auto"/>
        <w:ind w:firstLine="567"/>
        <w:jc w:val="both"/>
        <w:rPr>
          <w:rFonts w:ascii="Times New Roman" w:hAnsi="Times New Roman" w:cs="Times New Roman"/>
          <w:sz w:val="28"/>
          <w:szCs w:val="28"/>
        </w:rPr>
      </w:pPr>
    </w:p>
    <w:p w:rsidR="00A75A8D" w:rsidRDefault="00A75A8D">
      <w:pPr>
        <w:rPr>
          <w:rFonts w:ascii="Times New Roman" w:hAnsi="Times New Roman" w:cs="Times New Roman"/>
          <w:sz w:val="28"/>
          <w:szCs w:val="28"/>
        </w:rPr>
      </w:pPr>
    </w:p>
    <w:p w:rsidR="00A75A8D" w:rsidRDefault="00A75A8D">
      <w:pPr>
        <w:rPr>
          <w:rFonts w:ascii="Times New Roman" w:hAnsi="Times New Roman" w:cs="Times New Roman"/>
          <w:b/>
          <w:sz w:val="28"/>
          <w:szCs w:val="28"/>
        </w:rPr>
      </w:pPr>
    </w:p>
    <w:p w:rsidR="00A75A8D" w:rsidRDefault="00A75A8D">
      <w:pPr>
        <w:rPr>
          <w:rFonts w:ascii="Times New Roman" w:hAnsi="Times New Roman" w:cs="Times New Roman"/>
          <w:b/>
          <w:sz w:val="28"/>
          <w:szCs w:val="28"/>
        </w:rPr>
      </w:pPr>
    </w:p>
    <w:p w:rsidR="00A75A8D" w:rsidRDefault="008A6A51">
      <w:pPr>
        <w:jc w:val="both"/>
        <w:rPr>
          <w:rFonts w:ascii="Times New Roman" w:hAnsi="Times New Roman" w:cs="Times New Roman"/>
          <w:b/>
          <w:sz w:val="28"/>
          <w:szCs w:val="28"/>
        </w:rPr>
      </w:pPr>
      <w:r>
        <w:rPr>
          <w:rFonts w:ascii="Times New Roman" w:hAnsi="Times New Roman" w:cs="Times New Roman"/>
          <w:b/>
          <w:sz w:val="28"/>
          <w:szCs w:val="28"/>
        </w:rPr>
        <w:br w:type="page"/>
      </w:r>
    </w:p>
    <w:p w:rsidR="00A75A8D" w:rsidRDefault="008A6A51">
      <w:pPr>
        <w:pStyle w:val="1"/>
        <w:numPr>
          <w:ilvl w:val="0"/>
          <w:numId w:val="0"/>
        </w:numPr>
        <w:jc w:val="center"/>
        <w:rPr>
          <w:rStyle w:val="element-citation"/>
          <w:rFonts w:ascii="Times New Roman" w:hAnsi="Times New Roman" w:cs="Times New Roman"/>
          <w:b/>
          <w:color w:val="auto"/>
          <w:sz w:val="28"/>
        </w:rPr>
      </w:pPr>
      <w:bookmarkStart w:id="2" w:name="_Toc186925722"/>
      <w:r>
        <w:rPr>
          <w:rStyle w:val="element-citation"/>
          <w:rFonts w:ascii="Times New Roman" w:hAnsi="Times New Roman" w:cs="Times New Roman"/>
          <w:b/>
          <w:color w:val="auto"/>
          <w:sz w:val="28"/>
        </w:rPr>
        <w:lastRenderedPageBreak/>
        <w:t>ОБОЗНАЧЕНИЯ И СОКРАЩЕНИЯ</w:t>
      </w:r>
      <w:bookmarkEnd w:id="2"/>
    </w:p>
    <w:tbl>
      <w:tblPr>
        <w:tblW w:w="9781" w:type="dxa"/>
        <w:tblLook w:val="04A0" w:firstRow="1" w:lastRow="0" w:firstColumn="1" w:lastColumn="0" w:noHBand="0" w:noVBand="1"/>
      </w:tblPr>
      <w:tblGrid>
        <w:gridCol w:w="2500"/>
        <w:gridCol w:w="7281"/>
      </w:tblGrid>
      <w:tr w:rsidR="00A75A8D">
        <w:trPr>
          <w:trHeight w:val="375"/>
        </w:trPr>
        <w:tc>
          <w:tcPr>
            <w:tcW w:w="2500" w:type="dxa"/>
            <w:tcBorders>
              <w:top w:val="nil"/>
              <w:left w:val="nil"/>
              <w:bottom w:val="nil"/>
              <w:right w:val="nil"/>
            </w:tcBorders>
            <w:shd w:val="clear" w:color="auto" w:fill="auto"/>
            <w:noWrap/>
            <w:vAlign w:val="center"/>
          </w:tcPr>
          <w:p w:rsidR="00A75A8D" w:rsidRDefault="008A6A51">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ВОЗ</w:t>
            </w:r>
          </w:p>
        </w:tc>
        <w:tc>
          <w:tcPr>
            <w:tcW w:w="7281" w:type="dxa"/>
            <w:tcBorders>
              <w:top w:val="nil"/>
              <w:left w:val="nil"/>
              <w:bottom w:val="nil"/>
              <w:right w:val="nil"/>
            </w:tcBorders>
            <w:shd w:val="clear" w:color="auto" w:fill="auto"/>
            <w:noWrap/>
            <w:vAlign w:val="center"/>
          </w:tcPr>
          <w:p w:rsidR="00A75A8D" w:rsidRDefault="008A6A51">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Всемирная Организация Здравоохранения</w:t>
            </w:r>
          </w:p>
        </w:tc>
      </w:tr>
      <w:tr w:rsidR="00A75A8D">
        <w:trPr>
          <w:trHeight w:val="375"/>
        </w:trPr>
        <w:tc>
          <w:tcPr>
            <w:tcW w:w="2500" w:type="dxa"/>
            <w:tcBorders>
              <w:top w:val="nil"/>
              <w:left w:val="nil"/>
              <w:bottom w:val="nil"/>
              <w:right w:val="nil"/>
            </w:tcBorders>
            <w:shd w:val="clear" w:color="auto" w:fill="auto"/>
            <w:noWrap/>
            <w:vAlign w:val="center"/>
          </w:tcPr>
          <w:p w:rsidR="00A75A8D" w:rsidRDefault="008A6A51">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ДНК</w:t>
            </w:r>
          </w:p>
        </w:tc>
        <w:tc>
          <w:tcPr>
            <w:tcW w:w="7281" w:type="dxa"/>
            <w:tcBorders>
              <w:top w:val="nil"/>
              <w:left w:val="nil"/>
              <w:bottom w:val="nil"/>
              <w:right w:val="nil"/>
            </w:tcBorders>
            <w:shd w:val="clear" w:color="auto" w:fill="auto"/>
            <w:noWrap/>
            <w:vAlign w:val="center"/>
          </w:tcPr>
          <w:p w:rsidR="00A75A8D" w:rsidRDefault="008A6A51">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дезоксирибонуклеиновая кислота</w:t>
            </w:r>
          </w:p>
        </w:tc>
      </w:tr>
      <w:tr w:rsidR="00A75A8D">
        <w:trPr>
          <w:trHeight w:val="375"/>
        </w:trPr>
        <w:tc>
          <w:tcPr>
            <w:tcW w:w="2500" w:type="dxa"/>
            <w:tcBorders>
              <w:top w:val="nil"/>
              <w:left w:val="nil"/>
              <w:bottom w:val="nil"/>
              <w:right w:val="nil"/>
            </w:tcBorders>
            <w:shd w:val="clear" w:color="auto" w:fill="auto"/>
            <w:noWrap/>
            <w:vAlign w:val="center"/>
          </w:tcPr>
          <w:p w:rsidR="00A75A8D" w:rsidRDefault="008A6A51">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КТ</w:t>
            </w:r>
          </w:p>
        </w:tc>
        <w:tc>
          <w:tcPr>
            <w:tcW w:w="7281" w:type="dxa"/>
            <w:tcBorders>
              <w:top w:val="nil"/>
              <w:left w:val="nil"/>
              <w:bottom w:val="nil"/>
              <w:right w:val="nil"/>
            </w:tcBorders>
            <w:shd w:val="clear" w:color="auto" w:fill="auto"/>
            <w:noWrap/>
            <w:vAlign w:val="center"/>
          </w:tcPr>
          <w:p w:rsidR="00A75A8D" w:rsidRDefault="008A6A51">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компьютерная томография</w:t>
            </w:r>
          </w:p>
        </w:tc>
      </w:tr>
      <w:tr w:rsidR="00A75A8D">
        <w:trPr>
          <w:trHeight w:val="375"/>
        </w:trPr>
        <w:tc>
          <w:tcPr>
            <w:tcW w:w="2500" w:type="dxa"/>
            <w:tcBorders>
              <w:top w:val="nil"/>
              <w:left w:val="nil"/>
              <w:bottom w:val="nil"/>
              <w:right w:val="nil"/>
            </w:tcBorders>
            <w:shd w:val="clear" w:color="auto" w:fill="auto"/>
            <w:noWrap/>
            <w:vAlign w:val="center"/>
          </w:tcPr>
          <w:p w:rsidR="00A75A8D" w:rsidRDefault="008A6A51">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МАИР</w:t>
            </w:r>
          </w:p>
        </w:tc>
        <w:tc>
          <w:tcPr>
            <w:tcW w:w="7281" w:type="dxa"/>
            <w:tcBorders>
              <w:top w:val="nil"/>
              <w:left w:val="nil"/>
              <w:bottom w:val="nil"/>
              <w:right w:val="nil"/>
            </w:tcBorders>
            <w:shd w:val="clear" w:color="auto" w:fill="auto"/>
            <w:noWrap/>
            <w:vAlign w:val="center"/>
          </w:tcPr>
          <w:p w:rsidR="00A75A8D" w:rsidRDefault="008A6A51">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международное агентство по изучению рака</w:t>
            </w:r>
          </w:p>
        </w:tc>
      </w:tr>
      <w:tr w:rsidR="00A75A8D">
        <w:trPr>
          <w:trHeight w:val="375"/>
        </w:trPr>
        <w:tc>
          <w:tcPr>
            <w:tcW w:w="2500" w:type="dxa"/>
            <w:tcBorders>
              <w:top w:val="nil"/>
              <w:left w:val="nil"/>
              <w:bottom w:val="nil"/>
              <w:right w:val="nil"/>
            </w:tcBorders>
            <w:shd w:val="clear" w:color="auto" w:fill="auto"/>
            <w:noWrap/>
            <w:vAlign w:val="center"/>
          </w:tcPr>
          <w:p w:rsidR="00A75A8D" w:rsidRDefault="008A6A51">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НДКТ</w:t>
            </w:r>
          </w:p>
        </w:tc>
        <w:tc>
          <w:tcPr>
            <w:tcW w:w="7281" w:type="dxa"/>
            <w:tcBorders>
              <w:top w:val="nil"/>
              <w:left w:val="nil"/>
              <w:bottom w:val="nil"/>
              <w:right w:val="nil"/>
            </w:tcBorders>
            <w:shd w:val="clear" w:color="auto" w:fill="auto"/>
            <w:noWrap/>
            <w:vAlign w:val="center"/>
          </w:tcPr>
          <w:p w:rsidR="00A75A8D" w:rsidRDefault="008A6A51">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низкодозная компьютерная томография</w:t>
            </w:r>
          </w:p>
        </w:tc>
      </w:tr>
      <w:tr w:rsidR="00A75A8D">
        <w:trPr>
          <w:trHeight w:val="375"/>
        </w:trPr>
        <w:tc>
          <w:tcPr>
            <w:tcW w:w="2500" w:type="dxa"/>
            <w:tcBorders>
              <w:top w:val="nil"/>
              <w:left w:val="nil"/>
              <w:bottom w:val="nil"/>
              <w:right w:val="nil"/>
            </w:tcBorders>
            <w:shd w:val="clear" w:color="auto" w:fill="auto"/>
            <w:noWrap/>
            <w:vAlign w:val="center"/>
          </w:tcPr>
          <w:p w:rsidR="00A75A8D" w:rsidRDefault="008A6A51">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НМРЛ</w:t>
            </w:r>
          </w:p>
        </w:tc>
        <w:tc>
          <w:tcPr>
            <w:tcW w:w="7281" w:type="dxa"/>
            <w:tcBorders>
              <w:top w:val="nil"/>
              <w:left w:val="nil"/>
              <w:bottom w:val="nil"/>
              <w:right w:val="nil"/>
            </w:tcBorders>
            <w:shd w:val="clear" w:color="auto" w:fill="auto"/>
            <w:noWrap/>
            <w:vAlign w:val="center"/>
          </w:tcPr>
          <w:p w:rsidR="00A75A8D" w:rsidRDefault="008A6A51">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немелкоклеточный рак легкого</w:t>
            </w:r>
          </w:p>
        </w:tc>
      </w:tr>
      <w:tr w:rsidR="00A75A8D">
        <w:trPr>
          <w:trHeight w:val="375"/>
        </w:trPr>
        <w:tc>
          <w:tcPr>
            <w:tcW w:w="2500" w:type="dxa"/>
            <w:tcBorders>
              <w:top w:val="nil"/>
              <w:left w:val="nil"/>
              <w:bottom w:val="nil"/>
              <w:right w:val="nil"/>
            </w:tcBorders>
            <w:shd w:val="clear" w:color="auto" w:fill="auto"/>
            <w:noWrap/>
            <w:vAlign w:val="center"/>
          </w:tcPr>
          <w:p w:rsidR="00A75A8D" w:rsidRDefault="008A6A51">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РК</w:t>
            </w:r>
          </w:p>
        </w:tc>
        <w:tc>
          <w:tcPr>
            <w:tcW w:w="7281" w:type="dxa"/>
            <w:tcBorders>
              <w:top w:val="nil"/>
              <w:left w:val="nil"/>
              <w:bottom w:val="nil"/>
              <w:right w:val="nil"/>
            </w:tcBorders>
            <w:shd w:val="clear" w:color="auto" w:fill="auto"/>
            <w:noWrap/>
            <w:vAlign w:val="center"/>
          </w:tcPr>
          <w:p w:rsidR="00A75A8D" w:rsidRDefault="008A6A51">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Республика Казахстан</w:t>
            </w:r>
          </w:p>
        </w:tc>
      </w:tr>
      <w:tr w:rsidR="00A75A8D">
        <w:trPr>
          <w:trHeight w:val="375"/>
        </w:trPr>
        <w:tc>
          <w:tcPr>
            <w:tcW w:w="2500" w:type="dxa"/>
            <w:tcBorders>
              <w:top w:val="nil"/>
              <w:left w:val="nil"/>
              <w:bottom w:val="nil"/>
              <w:right w:val="nil"/>
            </w:tcBorders>
            <w:shd w:val="clear" w:color="auto" w:fill="auto"/>
            <w:noWrap/>
            <w:vAlign w:val="center"/>
          </w:tcPr>
          <w:p w:rsidR="00A75A8D" w:rsidRDefault="008A6A51">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США</w:t>
            </w:r>
          </w:p>
        </w:tc>
        <w:tc>
          <w:tcPr>
            <w:tcW w:w="7281" w:type="dxa"/>
            <w:tcBorders>
              <w:top w:val="nil"/>
              <w:left w:val="nil"/>
              <w:bottom w:val="nil"/>
              <w:right w:val="nil"/>
            </w:tcBorders>
            <w:shd w:val="clear" w:color="auto" w:fill="auto"/>
            <w:noWrap/>
            <w:vAlign w:val="center"/>
          </w:tcPr>
          <w:p w:rsidR="00A75A8D" w:rsidRDefault="008A6A51">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Соединенные Штаты Америки</w:t>
            </w:r>
          </w:p>
        </w:tc>
      </w:tr>
      <w:tr w:rsidR="00A75A8D">
        <w:trPr>
          <w:trHeight w:val="375"/>
        </w:trPr>
        <w:tc>
          <w:tcPr>
            <w:tcW w:w="2500" w:type="dxa"/>
            <w:tcBorders>
              <w:top w:val="nil"/>
              <w:left w:val="nil"/>
              <w:bottom w:val="nil"/>
              <w:right w:val="nil"/>
            </w:tcBorders>
            <w:shd w:val="clear" w:color="auto" w:fill="auto"/>
            <w:noWrap/>
            <w:vAlign w:val="center"/>
          </w:tcPr>
          <w:p w:rsidR="00A75A8D" w:rsidRDefault="008A6A51">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ACR</w:t>
            </w:r>
          </w:p>
        </w:tc>
        <w:tc>
          <w:tcPr>
            <w:tcW w:w="7281" w:type="dxa"/>
            <w:tcBorders>
              <w:top w:val="nil"/>
              <w:left w:val="nil"/>
              <w:bottom w:val="nil"/>
              <w:right w:val="nil"/>
            </w:tcBorders>
            <w:shd w:val="clear" w:color="auto" w:fill="auto"/>
            <w:noWrap/>
            <w:vAlign w:val="center"/>
          </w:tcPr>
          <w:p w:rsidR="00A75A8D" w:rsidRDefault="008A6A51">
            <w:pPr>
              <w:spacing w:after="0" w:line="240" w:lineRule="auto"/>
              <w:jc w:val="both"/>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eastAsia="ru-RU"/>
              </w:rPr>
              <w:t>Американская</w:t>
            </w:r>
            <w:r>
              <w:rPr>
                <w:rFonts w:ascii="Times New Roman" w:eastAsia="Times New Roman" w:hAnsi="Times New Roman" w:cs="Times New Roman"/>
                <w:color w:val="000000"/>
                <w:sz w:val="28"/>
                <w:szCs w:val="28"/>
                <w:lang w:val="en-US" w:eastAsia="ru-RU"/>
              </w:rPr>
              <w:t xml:space="preserve"> </w:t>
            </w:r>
            <w:r>
              <w:rPr>
                <w:rFonts w:ascii="Times New Roman" w:eastAsia="Times New Roman" w:hAnsi="Times New Roman" w:cs="Times New Roman"/>
                <w:color w:val="000000"/>
                <w:sz w:val="28"/>
                <w:szCs w:val="28"/>
                <w:lang w:eastAsia="ru-RU"/>
              </w:rPr>
              <w:t>коллегия</w:t>
            </w:r>
            <w:r>
              <w:rPr>
                <w:rFonts w:ascii="Times New Roman" w:eastAsia="Times New Roman" w:hAnsi="Times New Roman" w:cs="Times New Roman"/>
                <w:color w:val="000000"/>
                <w:sz w:val="28"/>
                <w:szCs w:val="28"/>
                <w:lang w:val="en-US" w:eastAsia="ru-RU"/>
              </w:rPr>
              <w:t xml:space="preserve"> </w:t>
            </w:r>
            <w:r>
              <w:rPr>
                <w:rFonts w:ascii="Times New Roman" w:eastAsia="Times New Roman" w:hAnsi="Times New Roman" w:cs="Times New Roman"/>
                <w:color w:val="000000"/>
                <w:sz w:val="28"/>
                <w:szCs w:val="28"/>
                <w:lang w:eastAsia="ru-RU"/>
              </w:rPr>
              <w:t>радиологии</w:t>
            </w:r>
            <w:r>
              <w:rPr>
                <w:rFonts w:ascii="Times New Roman" w:eastAsia="Times New Roman" w:hAnsi="Times New Roman" w:cs="Times New Roman"/>
                <w:color w:val="000000"/>
                <w:sz w:val="28"/>
                <w:szCs w:val="28"/>
                <w:lang w:val="en-US" w:eastAsia="ru-RU"/>
              </w:rPr>
              <w:t xml:space="preserve"> (American College of Radiology)</w:t>
            </w:r>
          </w:p>
        </w:tc>
      </w:tr>
      <w:tr w:rsidR="00A75A8D">
        <w:trPr>
          <w:trHeight w:val="375"/>
        </w:trPr>
        <w:tc>
          <w:tcPr>
            <w:tcW w:w="2500" w:type="dxa"/>
            <w:tcBorders>
              <w:top w:val="nil"/>
              <w:left w:val="nil"/>
              <w:bottom w:val="nil"/>
              <w:right w:val="nil"/>
            </w:tcBorders>
            <w:shd w:val="clear" w:color="auto" w:fill="auto"/>
            <w:noWrap/>
            <w:vAlign w:val="bottom"/>
          </w:tcPr>
          <w:p w:rsidR="00A75A8D" w:rsidRDefault="008A6A51">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ACS</w:t>
            </w:r>
          </w:p>
        </w:tc>
        <w:tc>
          <w:tcPr>
            <w:tcW w:w="7281" w:type="dxa"/>
            <w:tcBorders>
              <w:top w:val="nil"/>
              <w:left w:val="nil"/>
              <w:bottom w:val="nil"/>
              <w:right w:val="nil"/>
            </w:tcBorders>
            <w:shd w:val="clear" w:color="auto" w:fill="auto"/>
            <w:noWrap/>
            <w:vAlign w:val="bottom"/>
          </w:tcPr>
          <w:p w:rsidR="00A75A8D" w:rsidRDefault="008A6A51">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Американское онкологическое общество (American Cancer Society)</w:t>
            </w:r>
          </w:p>
        </w:tc>
      </w:tr>
      <w:tr w:rsidR="00A75A8D">
        <w:trPr>
          <w:trHeight w:val="375"/>
        </w:trPr>
        <w:tc>
          <w:tcPr>
            <w:tcW w:w="2500" w:type="dxa"/>
            <w:tcBorders>
              <w:top w:val="nil"/>
              <w:left w:val="nil"/>
              <w:bottom w:val="nil"/>
              <w:right w:val="nil"/>
            </w:tcBorders>
            <w:shd w:val="clear" w:color="auto" w:fill="auto"/>
            <w:noWrap/>
            <w:vAlign w:val="center"/>
          </w:tcPr>
          <w:p w:rsidR="00A75A8D" w:rsidRDefault="008A6A51">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CDR</w:t>
            </w:r>
          </w:p>
        </w:tc>
        <w:tc>
          <w:tcPr>
            <w:tcW w:w="7281" w:type="dxa"/>
            <w:tcBorders>
              <w:top w:val="nil"/>
              <w:left w:val="nil"/>
              <w:bottom w:val="nil"/>
              <w:right w:val="nil"/>
            </w:tcBorders>
            <w:shd w:val="clear" w:color="auto" w:fill="auto"/>
            <w:noWrap/>
            <w:vAlign w:val="center"/>
          </w:tcPr>
          <w:p w:rsidR="00A75A8D" w:rsidRDefault="008A6A51">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cancer detection rate</w:t>
            </w:r>
          </w:p>
        </w:tc>
      </w:tr>
      <w:tr w:rsidR="00A75A8D">
        <w:trPr>
          <w:trHeight w:val="1125"/>
        </w:trPr>
        <w:tc>
          <w:tcPr>
            <w:tcW w:w="2500" w:type="dxa"/>
            <w:tcBorders>
              <w:top w:val="nil"/>
              <w:left w:val="nil"/>
              <w:bottom w:val="nil"/>
              <w:right w:val="nil"/>
            </w:tcBorders>
            <w:shd w:val="clear" w:color="auto" w:fill="auto"/>
            <w:noWrap/>
            <w:vAlign w:val="center"/>
          </w:tcPr>
          <w:p w:rsidR="00A75A8D" w:rsidRDefault="008A6A51">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DL-CАD</w:t>
            </w:r>
          </w:p>
        </w:tc>
        <w:tc>
          <w:tcPr>
            <w:tcW w:w="7281" w:type="dxa"/>
            <w:tcBorders>
              <w:top w:val="nil"/>
              <w:left w:val="nil"/>
              <w:bottom w:val="nil"/>
              <w:right w:val="nil"/>
            </w:tcBorders>
            <w:shd w:val="clear" w:color="auto" w:fill="auto"/>
            <w:noWrap/>
            <w:vAlign w:val="center"/>
          </w:tcPr>
          <w:p w:rsidR="00A75A8D" w:rsidRDefault="008A6A51">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система компьютерной диагностики на основе глубокого обучения для обнаружения и определения характеристики легочных узлов (deep learning‐based computer‐aided </w:t>
            </w:r>
            <w:r>
              <w:rPr>
                <w:rFonts w:ascii="Times New Roman" w:eastAsia="Times New Roman" w:hAnsi="Times New Roman" w:cs="Times New Roman"/>
                <w:color w:val="000000"/>
                <w:sz w:val="28"/>
                <w:szCs w:val="28"/>
                <w:lang w:eastAsia="ru-RU"/>
              </w:rPr>
              <w:t xml:space="preserve">diagnosis) </w:t>
            </w:r>
          </w:p>
        </w:tc>
      </w:tr>
      <w:tr w:rsidR="00A75A8D">
        <w:trPr>
          <w:trHeight w:val="375"/>
        </w:trPr>
        <w:tc>
          <w:tcPr>
            <w:tcW w:w="2500" w:type="dxa"/>
            <w:tcBorders>
              <w:top w:val="nil"/>
              <w:left w:val="nil"/>
              <w:bottom w:val="nil"/>
              <w:right w:val="nil"/>
            </w:tcBorders>
            <w:shd w:val="clear" w:color="auto" w:fill="auto"/>
            <w:noWrap/>
            <w:vAlign w:val="center"/>
          </w:tcPr>
          <w:p w:rsidR="00A75A8D" w:rsidRDefault="008A6A51">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HU</w:t>
            </w:r>
          </w:p>
        </w:tc>
        <w:tc>
          <w:tcPr>
            <w:tcW w:w="7281" w:type="dxa"/>
            <w:tcBorders>
              <w:top w:val="nil"/>
              <w:left w:val="nil"/>
              <w:bottom w:val="nil"/>
              <w:right w:val="nil"/>
            </w:tcBorders>
            <w:shd w:val="clear" w:color="auto" w:fill="auto"/>
            <w:noWrap/>
            <w:vAlign w:val="center"/>
          </w:tcPr>
          <w:p w:rsidR="00A75A8D" w:rsidRDefault="008A6A51">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единица Хаунсфидла (Hounsfield Unit) </w:t>
            </w:r>
          </w:p>
        </w:tc>
      </w:tr>
      <w:tr w:rsidR="00A75A8D" w:rsidRPr="00511EAA">
        <w:trPr>
          <w:trHeight w:val="375"/>
        </w:trPr>
        <w:tc>
          <w:tcPr>
            <w:tcW w:w="2500" w:type="dxa"/>
            <w:tcBorders>
              <w:top w:val="nil"/>
              <w:left w:val="nil"/>
              <w:bottom w:val="nil"/>
              <w:right w:val="nil"/>
            </w:tcBorders>
            <w:shd w:val="clear" w:color="auto" w:fill="auto"/>
            <w:noWrap/>
            <w:vAlign w:val="center"/>
          </w:tcPr>
          <w:p w:rsidR="00A75A8D" w:rsidRDefault="008A6A51">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LUNG-Rads</w:t>
            </w:r>
          </w:p>
        </w:tc>
        <w:tc>
          <w:tcPr>
            <w:tcW w:w="7281" w:type="dxa"/>
            <w:tcBorders>
              <w:top w:val="nil"/>
              <w:left w:val="nil"/>
              <w:bottom w:val="nil"/>
              <w:right w:val="nil"/>
            </w:tcBorders>
            <w:shd w:val="clear" w:color="auto" w:fill="auto"/>
            <w:noWrap/>
            <w:vAlign w:val="center"/>
          </w:tcPr>
          <w:p w:rsidR="00A75A8D" w:rsidRDefault="008A6A51">
            <w:pPr>
              <w:spacing w:after="0" w:line="240" w:lineRule="auto"/>
              <w:jc w:val="both"/>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val="en-US" w:eastAsia="ru-RU"/>
              </w:rPr>
              <w:t>Lung Reporting and Data System</w:t>
            </w:r>
          </w:p>
        </w:tc>
      </w:tr>
      <w:tr w:rsidR="00A75A8D" w:rsidRPr="00511EAA">
        <w:trPr>
          <w:trHeight w:val="375"/>
        </w:trPr>
        <w:tc>
          <w:tcPr>
            <w:tcW w:w="2500" w:type="dxa"/>
            <w:tcBorders>
              <w:top w:val="nil"/>
              <w:left w:val="nil"/>
              <w:bottom w:val="nil"/>
              <w:right w:val="nil"/>
            </w:tcBorders>
            <w:shd w:val="clear" w:color="auto" w:fill="auto"/>
            <w:noWrap/>
            <w:vAlign w:val="center"/>
          </w:tcPr>
          <w:p w:rsidR="00A75A8D" w:rsidRDefault="008A6A51">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NELSON</w:t>
            </w:r>
          </w:p>
        </w:tc>
        <w:tc>
          <w:tcPr>
            <w:tcW w:w="7281" w:type="dxa"/>
            <w:tcBorders>
              <w:top w:val="nil"/>
              <w:left w:val="nil"/>
              <w:bottom w:val="nil"/>
              <w:right w:val="nil"/>
            </w:tcBorders>
            <w:shd w:val="clear" w:color="auto" w:fill="auto"/>
            <w:noWrap/>
            <w:vAlign w:val="center"/>
          </w:tcPr>
          <w:p w:rsidR="00A75A8D" w:rsidRDefault="008A6A51">
            <w:pPr>
              <w:spacing w:after="0" w:line="240" w:lineRule="auto"/>
              <w:jc w:val="both"/>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val="en-US" w:eastAsia="ru-RU"/>
              </w:rPr>
              <w:t>Nederlands-Leuvens Longkanker Screenings Onderzoek Study</w:t>
            </w:r>
          </w:p>
        </w:tc>
      </w:tr>
      <w:tr w:rsidR="00A75A8D" w:rsidRPr="00511EAA">
        <w:trPr>
          <w:trHeight w:val="375"/>
        </w:trPr>
        <w:tc>
          <w:tcPr>
            <w:tcW w:w="2500" w:type="dxa"/>
            <w:tcBorders>
              <w:top w:val="nil"/>
              <w:left w:val="nil"/>
              <w:bottom w:val="nil"/>
              <w:right w:val="nil"/>
            </w:tcBorders>
            <w:shd w:val="clear" w:color="auto" w:fill="auto"/>
            <w:noWrap/>
            <w:vAlign w:val="center"/>
          </w:tcPr>
          <w:p w:rsidR="00A75A8D" w:rsidRDefault="008A6A51">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NLST</w:t>
            </w:r>
          </w:p>
        </w:tc>
        <w:tc>
          <w:tcPr>
            <w:tcW w:w="7281" w:type="dxa"/>
            <w:tcBorders>
              <w:top w:val="nil"/>
              <w:left w:val="nil"/>
              <w:bottom w:val="nil"/>
              <w:right w:val="nil"/>
            </w:tcBorders>
            <w:shd w:val="clear" w:color="auto" w:fill="auto"/>
            <w:noWrap/>
            <w:vAlign w:val="center"/>
          </w:tcPr>
          <w:p w:rsidR="00A75A8D" w:rsidRDefault="008A6A51">
            <w:pPr>
              <w:spacing w:after="0" w:line="240" w:lineRule="auto"/>
              <w:jc w:val="both"/>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val="en-US" w:eastAsia="ru-RU"/>
              </w:rPr>
              <w:t>The National Lung Screening Trial</w:t>
            </w:r>
          </w:p>
        </w:tc>
      </w:tr>
      <w:tr w:rsidR="00A75A8D">
        <w:trPr>
          <w:trHeight w:val="750"/>
        </w:trPr>
        <w:tc>
          <w:tcPr>
            <w:tcW w:w="2500" w:type="dxa"/>
            <w:tcBorders>
              <w:top w:val="nil"/>
              <w:left w:val="nil"/>
              <w:bottom w:val="nil"/>
              <w:right w:val="nil"/>
            </w:tcBorders>
            <w:shd w:val="clear" w:color="auto" w:fill="auto"/>
            <w:noWrap/>
            <w:vAlign w:val="center"/>
          </w:tcPr>
          <w:p w:rsidR="00A75A8D" w:rsidRDefault="008A6A51">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USPSTF</w:t>
            </w:r>
          </w:p>
        </w:tc>
        <w:tc>
          <w:tcPr>
            <w:tcW w:w="7281" w:type="dxa"/>
            <w:tcBorders>
              <w:top w:val="nil"/>
              <w:left w:val="nil"/>
              <w:bottom w:val="nil"/>
              <w:right w:val="nil"/>
            </w:tcBorders>
            <w:shd w:val="clear" w:color="auto" w:fill="auto"/>
            <w:noWrap/>
            <w:vAlign w:val="center"/>
          </w:tcPr>
          <w:p w:rsidR="00A75A8D" w:rsidRDefault="008A6A51">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Американская рабочая группа по профилактическим</w:t>
            </w:r>
            <w:r>
              <w:rPr>
                <w:rFonts w:ascii="Times New Roman" w:eastAsia="Times New Roman" w:hAnsi="Times New Roman" w:cs="Times New Roman"/>
                <w:color w:val="000000"/>
                <w:sz w:val="28"/>
                <w:szCs w:val="28"/>
                <w:lang w:eastAsia="ru-RU"/>
              </w:rPr>
              <w:t xml:space="preserve"> мероприятиям</w:t>
            </w:r>
          </w:p>
        </w:tc>
      </w:tr>
      <w:tr w:rsidR="00A75A8D" w:rsidRPr="00511EAA">
        <w:trPr>
          <w:trHeight w:val="375"/>
        </w:trPr>
        <w:tc>
          <w:tcPr>
            <w:tcW w:w="2500" w:type="dxa"/>
            <w:tcBorders>
              <w:top w:val="nil"/>
              <w:left w:val="nil"/>
              <w:bottom w:val="nil"/>
              <w:right w:val="nil"/>
            </w:tcBorders>
            <w:shd w:val="clear" w:color="auto" w:fill="auto"/>
            <w:noWrap/>
            <w:vAlign w:val="center"/>
          </w:tcPr>
          <w:p w:rsidR="00A75A8D" w:rsidRDefault="008A6A51">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VDT</w:t>
            </w:r>
          </w:p>
        </w:tc>
        <w:tc>
          <w:tcPr>
            <w:tcW w:w="7281" w:type="dxa"/>
            <w:tcBorders>
              <w:top w:val="nil"/>
              <w:left w:val="nil"/>
              <w:bottom w:val="nil"/>
              <w:right w:val="nil"/>
            </w:tcBorders>
            <w:shd w:val="clear" w:color="auto" w:fill="auto"/>
            <w:noWrap/>
            <w:vAlign w:val="center"/>
          </w:tcPr>
          <w:p w:rsidR="00A75A8D" w:rsidRDefault="008A6A51">
            <w:pPr>
              <w:spacing w:after="0" w:line="240" w:lineRule="auto"/>
              <w:jc w:val="both"/>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eastAsia="ru-RU"/>
              </w:rPr>
              <w:t>время</w:t>
            </w:r>
            <w:r>
              <w:rPr>
                <w:rFonts w:ascii="Times New Roman" w:eastAsia="Times New Roman" w:hAnsi="Times New Roman" w:cs="Times New Roman"/>
                <w:color w:val="000000"/>
                <w:sz w:val="28"/>
                <w:szCs w:val="28"/>
                <w:lang w:val="en-US" w:eastAsia="ru-RU"/>
              </w:rPr>
              <w:t xml:space="preserve"> </w:t>
            </w:r>
            <w:r>
              <w:rPr>
                <w:rFonts w:ascii="Times New Roman" w:eastAsia="Times New Roman" w:hAnsi="Times New Roman" w:cs="Times New Roman"/>
                <w:color w:val="000000"/>
                <w:sz w:val="28"/>
                <w:szCs w:val="28"/>
                <w:lang w:eastAsia="ru-RU"/>
              </w:rPr>
              <w:t>удвоения</w:t>
            </w:r>
            <w:r>
              <w:rPr>
                <w:rFonts w:ascii="Times New Roman" w:eastAsia="Times New Roman" w:hAnsi="Times New Roman" w:cs="Times New Roman"/>
                <w:color w:val="000000"/>
                <w:sz w:val="28"/>
                <w:szCs w:val="28"/>
                <w:lang w:val="en-US" w:eastAsia="ru-RU"/>
              </w:rPr>
              <w:t xml:space="preserve"> </w:t>
            </w:r>
            <w:r>
              <w:rPr>
                <w:rFonts w:ascii="Times New Roman" w:eastAsia="Times New Roman" w:hAnsi="Times New Roman" w:cs="Times New Roman"/>
                <w:color w:val="000000"/>
                <w:sz w:val="28"/>
                <w:szCs w:val="28"/>
                <w:lang w:eastAsia="ru-RU"/>
              </w:rPr>
              <w:t>объема</w:t>
            </w:r>
            <w:r>
              <w:rPr>
                <w:rFonts w:ascii="Times New Roman" w:eastAsia="Times New Roman" w:hAnsi="Times New Roman" w:cs="Times New Roman"/>
                <w:color w:val="000000"/>
                <w:sz w:val="28"/>
                <w:szCs w:val="28"/>
                <w:lang w:val="en-US" w:eastAsia="ru-RU"/>
              </w:rPr>
              <w:t xml:space="preserve"> (volume double time)</w:t>
            </w:r>
          </w:p>
        </w:tc>
      </w:tr>
    </w:tbl>
    <w:p w:rsidR="00A75A8D" w:rsidRDefault="00A75A8D">
      <w:pPr>
        <w:spacing w:after="0" w:line="240" w:lineRule="auto"/>
        <w:ind w:firstLine="567"/>
        <w:jc w:val="both"/>
        <w:rPr>
          <w:rFonts w:ascii="Times New Roman" w:hAnsi="Times New Roman" w:cs="Times New Roman"/>
          <w:sz w:val="28"/>
          <w:szCs w:val="28"/>
          <w:lang w:val="en-US"/>
        </w:rPr>
      </w:pPr>
    </w:p>
    <w:p w:rsidR="00A75A8D" w:rsidRDefault="00A75A8D">
      <w:pPr>
        <w:spacing w:after="0" w:line="240" w:lineRule="auto"/>
        <w:ind w:firstLine="567"/>
        <w:jc w:val="both"/>
        <w:rPr>
          <w:rFonts w:ascii="Times New Roman" w:hAnsi="Times New Roman" w:cs="Times New Roman"/>
          <w:sz w:val="28"/>
          <w:szCs w:val="28"/>
          <w:lang w:val="en-US"/>
        </w:rPr>
      </w:pPr>
    </w:p>
    <w:p w:rsidR="00A75A8D" w:rsidRDefault="00A75A8D">
      <w:pPr>
        <w:spacing w:after="0" w:line="240" w:lineRule="auto"/>
        <w:ind w:firstLine="567"/>
        <w:jc w:val="both"/>
        <w:rPr>
          <w:rFonts w:ascii="Times New Roman" w:hAnsi="Times New Roman" w:cs="Times New Roman"/>
          <w:sz w:val="28"/>
          <w:szCs w:val="28"/>
          <w:lang w:val="en-US"/>
        </w:rPr>
      </w:pPr>
    </w:p>
    <w:p w:rsidR="00A75A8D" w:rsidRDefault="00A75A8D">
      <w:pPr>
        <w:jc w:val="both"/>
        <w:rPr>
          <w:rFonts w:ascii="Times New Roman" w:hAnsi="Times New Roman" w:cs="Times New Roman"/>
          <w:bCs/>
          <w:sz w:val="28"/>
          <w:szCs w:val="28"/>
          <w:lang w:val="en-US"/>
        </w:rPr>
      </w:pPr>
    </w:p>
    <w:p w:rsidR="00A75A8D" w:rsidRDefault="008A6A51">
      <w:pPr>
        <w:jc w:val="both"/>
        <w:rPr>
          <w:rFonts w:ascii="Times New Roman" w:hAnsi="Times New Roman" w:cs="Times New Roman"/>
          <w:sz w:val="28"/>
          <w:szCs w:val="28"/>
          <w:lang w:val="en-US"/>
        </w:rPr>
      </w:pPr>
      <w:r>
        <w:rPr>
          <w:rFonts w:ascii="Times New Roman" w:hAnsi="Times New Roman" w:cs="Times New Roman"/>
          <w:sz w:val="28"/>
          <w:szCs w:val="28"/>
          <w:lang w:val="en-US"/>
        </w:rPr>
        <w:br w:type="page"/>
      </w:r>
    </w:p>
    <w:p w:rsidR="00A75A8D" w:rsidRDefault="008A6A51">
      <w:pPr>
        <w:pStyle w:val="1"/>
        <w:numPr>
          <w:ilvl w:val="0"/>
          <w:numId w:val="0"/>
        </w:numPr>
        <w:jc w:val="center"/>
        <w:rPr>
          <w:rStyle w:val="element-citation"/>
          <w:rFonts w:ascii="Times New Roman" w:hAnsi="Times New Roman" w:cs="Times New Roman"/>
          <w:b/>
          <w:color w:val="auto"/>
          <w:sz w:val="28"/>
        </w:rPr>
      </w:pPr>
      <w:bookmarkStart w:id="3" w:name="_Toc186925723"/>
      <w:r>
        <w:rPr>
          <w:rStyle w:val="element-citation"/>
          <w:rFonts w:ascii="Times New Roman" w:hAnsi="Times New Roman" w:cs="Times New Roman"/>
          <w:b/>
          <w:color w:val="auto"/>
          <w:sz w:val="28"/>
        </w:rPr>
        <w:lastRenderedPageBreak/>
        <w:t>ВВЕДЕНИЕ</w:t>
      </w:r>
      <w:bookmarkEnd w:id="3"/>
    </w:p>
    <w:p w:rsidR="00A75A8D" w:rsidRDefault="00A75A8D">
      <w:pPr>
        <w:spacing w:after="0" w:line="240" w:lineRule="auto"/>
        <w:ind w:firstLine="567"/>
        <w:jc w:val="both"/>
        <w:rPr>
          <w:rFonts w:ascii="Times New Roman" w:hAnsi="Times New Roman" w:cs="Times New Roman"/>
          <w:b/>
          <w:sz w:val="28"/>
          <w:szCs w:val="28"/>
        </w:rPr>
      </w:pPr>
    </w:p>
    <w:p w:rsidR="00A75A8D" w:rsidRDefault="008A6A51">
      <w:pPr>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 xml:space="preserve">Актуальность темы исследования </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Рак легкого представляет медицинскую и социальную проблему как во всем мире, так и в Казахстане. Актуальность проблемы связана с высокими показателями заболеваемости и смертности. Согласно мировым статистическим данным </w:t>
      </w:r>
      <w:r>
        <w:rPr>
          <w:rFonts w:ascii="Times New Roman" w:hAnsi="Times New Roman" w:cs="Times New Roman"/>
          <w:sz w:val="28"/>
          <w:szCs w:val="28"/>
          <w:lang w:val="en-US"/>
        </w:rPr>
        <w:t>GLOBOCAN</w:t>
      </w:r>
      <w:r>
        <w:rPr>
          <w:rFonts w:ascii="Times New Roman" w:hAnsi="Times New Roman" w:cs="Times New Roman"/>
          <w:sz w:val="28"/>
          <w:szCs w:val="28"/>
        </w:rPr>
        <w:t xml:space="preserve"> (2022) рак легкого является </w:t>
      </w:r>
      <w:r>
        <w:rPr>
          <w:rFonts w:ascii="Times New Roman" w:hAnsi="Times New Roman" w:cs="Times New Roman"/>
          <w:sz w:val="28"/>
          <w:szCs w:val="28"/>
        </w:rPr>
        <w:t xml:space="preserve">наиболее часто встречающимся онкологическим заболеванием (12,4% от общего числа случаев) и основной причиной смерти в структуре онкопатологии (18,7% от общего числа случаев) [1]. </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По статистическим данным онкологической службы Республики Казахстан (РК) за </w:t>
      </w:r>
      <w:r>
        <w:rPr>
          <w:rFonts w:ascii="Times New Roman" w:hAnsi="Times New Roman" w:cs="Times New Roman"/>
          <w:sz w:val="28"/>
          <w:szCs w:val="28"/>
        </w:rPr>
        <w:t>2022 год рак легкого занимает второе ранговое место в структуре заболеваемости (17,6 на 100 000 населения), а в структуре смертности – первое (10,9 на 100 000 населения). Несмотря на тенденцию к снижению показателей заболеваемости и смертности, остается вы</w:t>
      </w:r>
      <w:r>
        <w:rPr>
          <w:rFonts w:ascii="Times New Roman" w:hAnsi="Times New Roman" w:cs="Times New Roman"/>
          <w:sz w:val="28"/>
          <w:szCs w:val="28"/>
        </w:rPr>
        <w:t xml:space="preserve">соким процент выявления рака легкого на поздних стадиях (74,2%), с низким удельным весом ранних стадий [2]. </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улучшении результатов лечения и снижении показателей смертности важное значение имеет выявление рака легкого на ранних стадиях. Выживаемость знач</w:t>
      </w:r>
      <w:r>
        <w:rPr>
          <w:rFonts w:ascii="Times New Roman" w:hAnsi="Times New Roman" w:cs="Times New Roman"/>
          <w:sz w:val="28"/>
          <w:szCs w:val="28"/>
        </w:rPr>
        <w:t xml:space="preserve">ительно уменьшается с увеличением стадии развития [3,4,5]. </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Для ранней диагностики рака легкого применялись рентгенография органов грудной клетки и цитологическое исследование мокроты. Однако, проведенные международные исследования не доказали эффективност</w:t>
      </w:r>
      <w:r>
        <w:rPr>
          <w:rFonts w:ascii="Times New Roman" w:hAnsi="Times New Roman" w:cs="Times New Roman"/>
          <w:sz w:val="28"/>
          <w:szCs w:val="28"/>
        </w:rPr>
        <w:t xml:space="preserve">ь этих методов в раннем выявлении рака легкого [6,7]. </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По результатам проведенных исследований, мультиспиральная компьютерная томография высокого разрешения является информативным методом диагностики рака легкого [8,9]. Однако, ограничением для применения </w:t>
      </w:r>
      <w:r>
        <w:rPr>
          <w:rFonts w:ascii="Times New Roman" w:hAnsi="Times New Roman" w:cs="Times New Roman"/>
          <w:sz w:val="28"/>
          <w:szCs w:val="28"/>
        </w:rPr>
        <w:t xml:space="preserve">компьютерно-томографической диагностики в раннем выявлении рака легкого является лучевая нагрузка на пациента при проведении исследования. </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Так, для ранней диагностики рака легкого предлагается применение низкодозной компьютерной томографии (НДКТ), позволя</w:t>
      </w:r>
      <w:r>
        <w:rPr>
          <w:rFonts w:ascii="Times New Roman" w:hAnsi="Times New Roman" w:cs="Times New Roman"/>
          <w:sz w:val="28"/>
          <w:szCs w:val="28"/>
        </w:rPr>
        <w:t>ющей проводить диагностическое исследование условно здоровому населению, с дозой ионизирующего излучения не более 3 мЗв</w:t>
      </w:r>
      <w:r>
        <w:rPr>
          <w:rFonts w:ascii="Times New Roman" w:hAnsi="Times New Roman"/>
          <w:sz w:val="28"/>
          <w:szCs w:val="28"/>
        </w:rPr>
        <w:t xml:space="preserve"> [10].</w:t>
      </w:r>
    </w:p>
    <w:p w:rsidR="00A75A8D" w:rsidRDefault="008A6A51">
      <w:pPr>
        <w:spacing w:after="0" w:line="240" w:lineRule="auto"/>
        <w:ind w:firstLine="567"/>
        <w:jc w:val="both"/>
        <w:rPr>
          <w:rFonts w:ascii="Times New Roman" w:hAnsi="Times New Roman"/>
          <w:sz w:val="28"/>
          <w:szCs w:val="28"/>
        </w:rPr>
      </w:pPr>
      <w:r>
        <w:rPr>
          <w:rFonts w:ascii="Times New Roman" w:hAnsi="Times New Roman"/>
          <w:sz w:val="28"/>
          <w:szCs w:val="28"/>
        </w:rPr>
        <w:t xml:space="preserve">Согласно </w:t>
      </w:r>
      <w:r>
        <w:rPr>
          <w:rFonts w:ascii="Times New Roman" w:hAnsi="Times New Roman"/>
          <w:sz w:val="28"/>
          <w:szCs w:val="28"/>
        </w:rPr>
        <w:t>первым</w:t>
      </w:r>
      <w:r>
        <w:rPr>
          <w:rFonts w:ascii="Times New Roman" w:hAnsi="Times New Roman"/>
          <w:sz w:val="28"/>
          <w:szCs w:val="28"/>
        </w:rPr>
        <w:t xml:space="preserve"> </w:t>
      </w:r>
      <w:r>
        <w:rPr>
          <w:rFonts w:ascii="Times New Roman" w:hAnsi="Times New Roman"/>
          <w:sz w:val="28"/>
          <w:szCs w:val="28"/>
        </w:rPr>
        <w:t xml:space="preserve">опубликованным </w:t>
      </w:r>
      <w:r>
        <w:rPr>
          <w:rFonts w:ascii="Times New Roman" w:hAnsi="Times New Roman"/>
          <w:sz w:val="28"/>
          <w:szCs w:val="28"/>
        </w:rPr>
        <w:t>результатам</w:t>
      </w:r>
      <w:r>
        <w:rPr>
          <w:rFonts w:ascii="Times New Roman" w:hAnsi="Times New Roman"/>
          <w:sz w:val="28"/>
          <w:szCs w:val="28"/>
        </w:rPr>
        <w:t xml:space="preserve"> по изучению</w:t>
      </w:r>
      <w:r>
        <w:rPr>
          <w:rFonts w:ascii="Times New Roman" w:hAnsi="Times New Roman"/>
          <w:sz w:val="28"/>
          <w:szCs w:val="28"/>
        </w:rPr>
        <w:t xml:space="preserve"> НДКТ как метод</w:t>
      </w:r>
      <w:r>
        <w:rPr>
          <w:rFonts w:ascii="Times New Roman" w:hAnsi="Times New Roman"/>
          <w:sz w:val="28"/>
          <w:szCs w:val="28"/>
        </w:rPr>
        <w:t>а</w:t>
      </w:r>
      <w:r>
        <w:rPr>
          <w:rFonts w:ascii="Times New Roman" w:hAnsi="Times New Roman"/>
          <w:sz w:val="28"/>
          <w:szCs w:val="28"/>
        </w:rPr>
        <w:t xml:space="preserve"> </w:t>
      </w:r>
      <w:r>
        <w:rPr>
          <w:rFonts w:ascii="Times New Roman" w:hAnsi="Times New Roman"/>
          <w:sz w:val="28"/>
          <w:szCs w:val="28"/>
        </w:rPr>
        <w:t>ранней</w:t>
      </w:r>
      <w:r>
        <w:rPr>
          <w:rFonts w:ascii="Times New Roman" w:hAnsi="Times New Roman"/>
          <w:sz w:val="28"/>
          <w:szCs w:val="28"/>
        </w:rPr>
        <w:t xml:space="preserve"> диагностики </w:t>
      </w:r>
      <w:r>
        <w:rPr>
          <w:rFonts w:ascii="Times New Roman" w:hAnsi="Times New Roman"/>
          <w:sz w:val="28"/>
          <w:szCs w:val="28"/>
        </w:rPr>
        <w:t>рака легкого</w:t>
      </w:r>
      <w:r>
        <w:rPr>
          <w:rFonts w:ascii="Times New Roman" w:hAnsi="Times New Roman"/>
          <w:sz w:val="28"/>
          <w:szCs w:val="28"/>
        </w:rPr>
        <w:t xml:space="preserve">, </w:t>
      </w:r>
      <w:r>
        <w:rPr>
          <w:rFonts w:ascii="Times New Roman" w:hAnsi="Times New Roman"/>
          <w:sz w:val="28"/>
          <w:szCs w:val="28"/>
        </w:rPr>
        <w:t>выявлялось</w:t>
      </w:r>
      <w:r>
        <w:rPr>
          <w:rFonts w:ascii="Times New Roman" w:hAnsi="Times New Roman"/>
          <w:sz w:val="28"/>
          <w:szCs w:val="28"/>
        </w:rPr>
        <w:t xml:space="preserve"> больше случаев </w:t>
      </w:r>
      <w:r>
        <w:rPr>
          <w:rFonts w:ascii="Times New Roman" w:hAnsi="Times New Roman"/>
          <w:sz w:val="28"/>
          <w:szCs w:val="28"/>
        </w:rPr>
        <w:t xml:space="preserve">рака легкого на ранних стадиях, однако, не было получено убедительных доказательств о снижении смертности [11–13]. </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Проведенные крупные рандомизированные исследования The National Lung Screening Trial (NLST) и </w:t>
      </w:r>
      <w:r>
        <w:rPr>
          <w:rFonts w:ascii="Times New Roman" w:hAnsi="Times New Roman" w:cs="Times New Roman"/>
          <w:sz w:val="28"/>
          <w:szCs w:val="28"/>
          <w:lang w:eastAsia="ru-RU"/>
        </w:rPr>
        <w:t>Nederlands-Leuvens Longkanker Screenings Onder</w:t>
      </w:r>
      <w:r>
        <w:rPr>
          <w:rFonts w:ascii="Times New Roman" w:hAnsi="Times New Roman" w:cs="Times New Roman"/>
          <w:sz w:val="28"/>
          <w:szCs w:val="28"/>
          <w:lang w:eastAsia="ru-RU"/>
        </w:rPr>
        <w:t>zoek Study</w:t>
      </w:r>
      <w:r>
        <w:rPr>
          <w:rFonts w:ascii="Times New Roman" w:hAnsi="Times New Roman" w:cs="Times New Roman"/>
          <w:sz w:val="28"/>
          <w:szCs w:val="28"/>
        </w:rPr>
        <w:t xml:space="preserve"> (NELSON) показали, что применение НДКТ</w:t>
      </w:r>
      <w:r>
        <w:rPr>
          <w:rFonts w:ascii="Times New Roman" w:hAnsi="Times New Roman" w:cs="Times New Roman"/>
          <w:sz w:val="28"/>
          <w:szCs w:val="28"/>
        </w:rPr>
        <w:t xml:space="preserve"> </w:t>
      </w:r>
      <w:r>
        <w:rPr>
          <w:rFonts w:ascii="Times New Roman" w:hAnsi="Times New Roman" w:cs="Times New Roman"/>
          <w:sz w:val="28"/>
          <w:szCs w:val="28"/>
        </w:rPr>
        <w:t>в группах высокого риска, включающих курильщиков со стажем не менее 30 и 25 пачка-лет,</w:t>
      </w:r>
      <w:r>
        <w:rPr>
          <w:rFonts w:ascii="Times New Roman" w:hAnsi="Times New Roman" w:cs="Times New Roman"/>
          <w:sz w:val="28"/>
          <w:szCs w:val="28"/>
        </w:rPr>
        <w:t xml:space="preserve"> приводит к снижению смертности от рака легкого на 20% и </w:t>
      </w:r>
      <w:r>
        <w:rPr>
          <w:rFonts w:ascii="Times New Roman" w:hAnsi="Times New Roman" w:cs="Times New Roman"/>
          <w:sz w:val="28"/>
          <w:szCs w:val="28"/>
        </w:rPr>
        <w:t>44%, а выявляемость на первой стадии составила 63% и 40% (соотв</w:t>
      </w:r>
      <w:r>
        <w:rPr>
          <w:rFonts w:ascii="Times New Roman" w:hAnsi="Times New Roman" w:cs="Times New Roman"/>
          <w:sz w:val="28"/>
          <w:szCs w:val="28"/>
        </w:rPr>
        <w:t xml:space="preserve">етственно) [14,15]. </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Однако</w:t>
      </w:r>
      <w:r>
        <w:rPr>
          <w:rFonts w:ascii="Times New Roman" w:hAnsi="Times New Roman" w:cs="Times New Roman"/>
          <w:sz w:val="28"/>
          <w:szCs w:val="28"/>
        </w:rPr>
        <w:t xml:space="preserve">, несмотря на убедительные результаты </w:t>
      </w:r>
      <w:r>
        <w:rPr>
          <w:rFonts w:ascii="Times New Roman" w:hAnsi="Times New Roman" w:cs="Times New Roman"/>
          <w:sz w:val="28"/>
          <w:szCs w:val="28"/>
        </w:rPr>
        <w:t>NLST</w:t>
      </w:r>
      <w:r>
        <w:rPr>
          <w:rFonts w:ascii="Times New Roman" w:hAnsi="Times New Roman" w:cs="Times New Roman"/>
          <w:sz w:val="28"/>
          <w:szCs w:val="28"/>
        </w:rPr>
        <w:t xml:space="preserve"> и </w:t>
      </w:r>
      <w:r>
        <w:rPr>
          <w:rFonts w:ascii="Times New Roman" w:hAnsi="Times New Roman" w:cs="Times New Roman"/>
          <w:sz w:val="28"/>
          <w:szCs w:val="28"/>
        </w:rPr>
        <w:t>NELSON</w:t>
      </w:r>
      <w:r>
        <w:rPr>
          <w:rFonts w:ascii="Times New Roman" w:hAnsi="Times New Roman" w:cs="Times New Roman"/>
          <w:sz w:val="28"/>
          <w:szCs w:val="28"/>
        </w:rPr>
        <w:t xml:space="preserve">, исследования по НДКТ в ранней диагностике рака легкого продолжаются </w:t>
      </w:r>
      <w:r>
        <w:rPr>
          <w:rFonts w:ascii="Times New Roman" w:hAnsi="Times New Roman" w:cs="Times New Roman"/>
          <w:sz w:val="28"/>
          <w:szCs w:val="28"/>
        </w:rPr>
        <w:t xml:space="preserve">во </w:t>
      </w:r>
      <w:r>
        <w:rPr>
          <w:rFonts w:ascii="Times New Roman" w:hAnsi="Times New Roman" w:cs="Times New Roman"/>
          <w:sz w:val="28"/>
          <w:szCs w:val="28"/>
        </w:rPr>
        <w:lastRenderedPageBreak/>
        <w:t xml:space="preserve">многих странах мира </w:t>
      </w:r>
      <w:r>
        <w:rPr>
          <w:rFonts w:ascii="Times New Roman" w:hAnsi="Times New Roman" w:cs="Times New Roman"/>
          <w:sz w:val="28"/>
          <w:szCs w:val="28"/>
        </w:rPr>
        <w:t>с</w:t>
      </w:r>
      <w:r>
        <w:rPr>
          <w:rFonts w:ascii="Times New Roman" w:hAnsi="Times New Roman" w:cs="Times New Roman"/>
          <w:sz w:val="28"/>
          <w:szCs w:val="28"/>
        </w:rPr>
        <w:t xml:space="preserve"> целью оптимизации критериев отбора и повышения эффективности</w:t>
      </w:r>
      <w:r>
        <w:rPr>
          <w:rFonts w:ascii="Times New Roman" w:hAnsi="Times New Roman" w:cs="Times New Roman"/>
          <w:sz w:val="28"/>
          <w:szCs w:val="28"/>
        </w:rPr>
        <w:t xml:space="preserve"> [16]. </w:t>
      </w:r>
      <w:r>
        <w:rPr>
          <w:rFonts w:ascii="Times New Roman" w:hAnsi="Times New Roman"/>
          <w:sz w:val="28"/>
          <w:szCs w:val="28"/>
        </w:rPr>
        <w:t xml:space="preserve">Однако, нет консенсусного решения по применению данного метода в ранней диагностике рака легкого, в связи с отсутствием однозначных выводов о его эффективности. </w:t>
      </w:r>
      <w:r>
        <w:rPr>
          <w:rFonts w:ascii="Times New Roman" w:hAnsi="Times New Roman" w:cs="Times New Roman"/>
          <w:sz w:val="28"/>
          <w:szCs w:val="28"/>
        </w:rPr>
        <w:t>Согласно данным метаанализа</w:t>
      </w:r>
      <w:r>
        <w:rPr>
          <w:rFonts w:ascii="Times New Roman" w:hAnsi="Times New Roman"/>
          <w:sz w:val="28"/>
          <w:szCs w:val="28"/>
        </w:rPr>
        <w:t>, чувствительность низкодозной компьютерной томографии в скрининге р</w:t>
      </w:r>
      <w:r>
        <w:rPr>
          <w:rFonts w:ascii="Times New Roman" w:hAnsi="Times New Roman"/>
          <w:sz w:val="28"/>
          <w:szCs w:val="28"/>
        </w:rPr>
        <w:t>ака легкого колебалась от 68,5% до 93,8%, а специфичность от 73,4% до 99,2% [17]</w:t>
      </w:r>
      <w:r>
        <w:rPr>
          <w:rFonts w:ascii="Times New Roman" w:hAnsi="Times New Roman" w:cs="Times New Roman"/>
          <w:sz w:val="28"/>
          <w:szCs w:val="28"/>
        </w:rPr>
        <w:t>.</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улучшении эффективности ранней диагностики рака легкого с использованием НДКТ большое значение имеет применение современных алгоритмов искусственного интеллекта. В настояще</w:t>
      </w:r>
      <w:r>
        <w:rPr>
          <w:rFonts w:ascii="Times New Roman" w:hAnsi="Times New Roman" w:cs="Times New Roman"/>
          <w:sz w:val="28"/>
          <w:szCs w:val="28"/>
        </w:rPr>
        <w:t>е время имеется ряд публикаций, доказывающих, что применение систем компьютерной диагностики на основе глубокого обучения для обнаружения легочных узлов (</w:t>
      </w:r>
      <w:r>
        <w:rPr>
          <w:rFonts w:ascii="Times New Roman" w:hAnsi="Times New Roman" w:cs="Times New Roman"/>
          <w:bCs/>
          <w:sz w:val="28"/>
          <w:szCs w:val="28"/>
          <w:lang w:val="en-US"/>
        </w:rPr>
        <w:t>DL</w:t>
      </w:r>
      <w:r>
        <w:rPr>
          <w:rFonts w:ascii="Times New Roman" w:hAnsi="Times New Roman" w:cs="Times New Roman"/>
          <w:bCs/>
          <w:sz w:val="28"/>
          <w:szCs w:val="28"/>
        </w:rPr>
        <w:t>-</w:t>
      </w:r>
      <w:r>
        <w:rPr>
          <w:rFonts w:ascii="Times New Roman" w:hAnsi="Times New Roman" w:cs="Times New Roman"/>
          <w:bCs/>
          <w:sz w:val="28"/>
          <w:szCs w:val="28"/>
          <w:lang w:val="en-US"/>
        </w:rPr>
        <w:t>C</w:t>
      </w:r>
      <w:r>
        <w:rPr>
          <w:rFonts w:ascii="Times New Roman" w:hAnsi="Times New Roman" w:cs="Times New Roman"/>
          <w:bCs/>
          <w:sz w:val="28"/>
          <w:szCs w:val="28"/>
        </w:rPr>
        <w:t>А</w:t>
      </w:r>
      <w:r>
        <w:rPr>
          <w:rFonts w:ascii="Times New Roman" w:hAnsi="Times New Roman" w:cs="Times New Roman"/>
          <w:bCs/>
          <w:sz w:val="28"/>
          <w:szCs w:val="28"/>
          <w:lang w:val="en-US"/>
        </w:rPr>
        <w:t>D</w:t>
      </w:r>
      <w:r>
        <w:rPr>
          <w:rFonts w:ascii="Times New Roman" w:hAnsi="Times New Roman" w:cs="Times New Roman"/>
          <w:sz w:val="28"/>
          <w:szCs w:val="28"/>
        </w:rPr>
        <w:t>) улучшает диагностику рака легкого и сокращает время интерпретации НДКТ изображений [18,19]. Од</w:t>
      </w:r>
      <w:r>
        <w:rPr>
          <w:rFonts w:ascii="Times New Roman" w:hAnsi="Times New Roman" w:cs="Times New Roman"/>
          <w:sz w:val="28"/>
          <w:szCs w:val="28"/>
        </w:rPr>
        <w:t>нако, согласно опубликованным данным</w:t>
      </w:r>
      <w:r>
        <w:rPr>
          <w:rFonts w:ascii="Times New Roman" w:hAnsi="Times New Roman"/>
          <w:sz w:val="28"/>
          <w:szCs w:val="28"/>
        </w:rPr>
        <w:t xml:space="preserve"> чувствительность различных систем </w:t>
      </w:r>
      <w:r>
        <w:rPr>
          <w:rFonts w:ascii="Times New Roman" w:hAnsi="Times New Roman" w:cs="Times New Roman"/>
          <w:bCs/>
          <w:sz w:val="28"/>
          <w:szCs w:val="28"/>
          <w:lang w:val="en-US"/>
        </w:rPr>
        <w:t>DL</w:t>
      </w:r>
      <w:r>
        <w:rPr>
          <w:rFonts w:ascii="Times New Roman" w:hAnsi="Times New Roman" w:cs="Times New Roman"/>
          <w:bCs/>
          <w:sz w:val="28"/>
          <w:szCs w:val="28"/>
        </w:rPr>
        <w:t>-</w:t>
      </w:r>
      <w:r>
        <w:rPr>
          <w:rFonts w:ascii="Times New Roman" w:hAnsi="Times New Roman" w:cs="Times New Roman"/>
          <w:bCs/>
          <w:sz w:val="28"/>
          <w:szCs w:val="28"/>
          <w:lang w:val="en-US"/>
        </w:rPr>
        <w:t>C</w:t>
      </w:r>
      <w:r>
        <w:rPr>
          <w:rFonts w:ascii="Times New Roman" w:hAnsi="Times New Roman" w:cs="Times New Roman"/>
          <w:bCs/>
          <w:sz w:val="28"/>
          <w:szCs w:val="28"/>
        </w:rPr>
        <w:t>А</w:t>
      </w:r>
      <w:r>
        <w:rPr>
          <w:rFonts w:ascii="Times New Roman" w:hAnsi="Times New Roman" w:cs="Times New Roman"/>
          <w:bCs/>
          <w:sz w:val="28"/>
          <w:szCs w:val="28"/>
          <w:lang w:val="en-US"/>
        </w:rPr>
        <w:t>D</w:t>
      </w:r>
      <w:r>
        <w:rPr>
          <w:rFonts w:ascii="Times New Roman" w:hAnsi="Times New Roman" w:cs="Times New Roman"/>
          <w:bCs/>
          <w:sz w:val="28"/>
          <w:szCs w:val="28"/>
        </w:rPr>
        <w:t xml:space="preserve"> </w:t>
      </w:r>
      <w:r>
        <w:rPr>
          <w:rFonts w:ascii="Times New Roman" w:hAnsi="Times New Roman"/>
          <w:sz w:val="28"/>
          <w:szCs w:val="28"/>
        </w:rPr>
        <w:t xml:space="preserve">находится в диапазоне от 61,61% до 98,10%, а показатель ложноположительных результатов составляет от 0,125 до 32 за одно сканирование </w:t>
      </w:r>
      <w:r>
        <w:rPr>
          <w:rFonts w:ascii="Times New Roman" w:hAnsi="Times New Roman" w:cs="Times New Roman"/>
          <w:bCs/>
          <w:sz w:val="28"/>
          <w:szCs w:val="28"/>
        </w:rPr>
        <w:t>[20]</w:t>
      </w:r>
      <w:r>
        <w:rPr>
          <w:rFonts w:ascii="Times New Roman" w:hAnsi="Times New Roman"/>
          <w:sz w:val="28"/>
          <w:szCs w:val="28"/>
        </w:rPr>
        <w:t xml:space="preserve">. Факторами, влияющими на </w:t>
      </w:r>
      <w:r>
        <w:rPr>
          <w:rFonts w:ascii="Times New Roman" w:hAnsi="Times New Roman"/>
          <w:sz w:val="28"/>
          <w:szCs w:val="28"/>
          <w:lang w:val="kk-KZ"/>
        </w:rPr>
        <w:t>вариабельность</w:t>
      </w:r>
      <w:r>
        <w:rPr>
          <w:rFonts w:ascii="Times New Roman" w:hAnsi="Times New Roman"/>
          <w:sz w:val="28"/>
          <w:szCs w:val="28"/>
          <w:lang w:val="kk-KZ"/>
        </w:rPr>
        <w:t xml:space="preserve"> вышеуказанных данных, явля</w:t>
      </w:r>
      <w:r>
        <w:rPr>
          <w:rFonts w:ascii="Times New Roman" w:hAnsi="Times New Roman"/>
          <w:sz w:val="28"/>
          <w:szCs w:val="28"/>
        </w:rPr>
        <w:t>ю</w:t>
      </w:r>
      <w:r>
        <w:rPr>
          <w:rFonts w:ascii="Times New Roman" w:hAnsi="Times New Roman"/>
          <w:sz w:val="28"/>
          <w:szCs w:val="28"/>
          <w:lang w:val="kk-KZ"/>
        </w:rPr>
        <w:t>тся</w:t>
      </w:r>
      <w:r>
        <w:rPr>
          <w:rFonts w:ascii="Times New Roman" w:hAnsi="Times New Roman"/>
          <w:sz w:val="28"/>
          <w:szCs w:val="28"/>
        </w:rPr>
        <w:t xml:space="preserve"> различные модели глубокого обучения, качество изображения и разметки</w:t>
      </w:r>
      <w:r>
        <w:rPr>
          <w:rFonts w:ascii="Times New Roman" w:hAnsi="Times New Roman" w:cs="Times New Roman"/>
          <w:bCs/>
          <w:sz w:val="28"/>
          <w:szCs w:val="28"/>
        </w:rPr>
        <w:t xml:space="preserve"> [21-24].  </w:t>
      </w:r>
      <w:r>
        <w:rPr>
          <w:rFonts w:ascii="Times New Roman" w:hAnsi="Times New Roman" w:cs="Times New Roman"/>
          <w:sz w:val="28"/>
          <w:szCs w:val="28"/>
        </w:rPr>
        <w:t xml:space="preserve">  </w:t>
      </w:r>
    </w:p>
    <w:p w:rsidR="00A75A8D" w:rsidRDefault="008A6A51">
      <w:pPr>
        <w:tabs>
          <w:tab w:val="left" w:pos="0"/>
        </w:tabs>
        <w:spacing w:after="0" w:line="240" w:lineRule="auto"/>
        <w:ind w:firstLine="567"/>
        <w:jc w:val="both"/>
        <w:rPr>
          <w:rFonts w:ascii="Times New Roman" w:hAnsi="Times New Roman" w:cs="Times New Roman"/>
          <w:color w:val="FF0000"/>
          <w:sz w:val="28"/>
          <w:szCs w:val="28"/>
        </w:rPr>
      </w:pPr>
      <w:r>
        <w:rPr>
          <w:rFonts w:ascii="Times New Roman" w:hAnsi="Times New Roman" w:cs="Times New Roman"/>
          <w:sz w:val="28"/>
          <w:szCs w:val="28"/>
        </w:rPr>
        <w:t xml:space="preserve">В связи с вышеизложенным изучение возможностей НДКТ в ранней диагностике рака легкого является актуальной проблемой </w:t>
      </w:r>
      <w:r>
        <w:rPr>
          <w:rFonts w:ascii="Times New Roman" w:hAnsi="Times New Roman" w:cs="Times New Roman"/>
          <w:sz w:val="28"/>
          <w:szCs w:val="28"/>
        </w:rPr>
        <w:t>и</w:t>
      </w:r>
      <w:r>
        <w:rPr>
          <w:rFonts w:ascii="Times New Roman" w:hAnsi="Times New Roman" w:cs="Times New Roman"/>
          <w:sz w:val="28"/>
          <w:szCs w:val="28"/>
        </w:rPr>
        <w:t xml:space="preserve"> требует </w:t>
      </w:r>
      <w:r>
        <w:rPr>
          <w:rFonts w:ascii="Times New Roman" w:hAnsi="Times New Roman" w:cs="Times New Roman"/>
          <w:sz w:val="28"/>
          <w:szCs w:val="28"/>
        </w:rPr>
        <w:t xml:space="preserve">дальнейшего совершенствования методики </w:t>
      </w:r>
      <w:r>
        <w:rPr>
          <w:rFonts w:ascii="Times New Roman" w:hAnsi="Times New Roman" w:cs="Times New Roman"/>
          <w:sz w:val="28"/>
          <w:szCs w:val="28"/>
        </w:rPr>
        <w:t>с</w:t>
      </w:r>
      <w:r>
        <w:rPr>
          <w:rFonts w:ascii="Times New Roman" w:hAnsi="Times New Roman" w:cs="Times New Roman"/>
          <w:sz w:val="28"/>
          <w:szCs w:val="28"/>
        </w:rPr>
        <w:t xml:space="preserve"> разработк</w:t>
      </w:r>
      <w:r>
        <w:rPr>
          <w:rFonts w:ascii="Times New Roman" w:hAnsi="Times New Roman" w:cs="Times New Roman"/>
          <w:sz w:val="28"/>
          <w:szCs w:val="28"/>
        </w:rPr>
        <w:t>ой</w:t>
      </w:r>
      <w:r>
        <w:rPr>
          <w:rFonts w:ascii="Times New Roman" w:hAnsi="Times New Roman" w:cs="Times New Roman"/>
          <w:sz w:val="28"/>
          <w:szCs w:val="28"/>
        </w:rPr>
        <w:t xml:space="preserve"> более точных алгоритмов анализа данных, включая применение искусственного интеллекта (DL-CAD).</w:t>
      </w:r>
    </w:p>
    <w:p w:rsidR="00A75A8D" w:rsidRDefault="008A6A51">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b/>
          <w:bCs/>
          <w:sz w:val="28"/>
          <w:szCs w:val="28"/>
        </w:rPr>
        <w:t xml:space="preserve">Цель исследования: </w:t>
      </w:r>
      <w:r>
        <w:rPr>
          <w:rFonts w:ascii="Times New Roman" w:hAnsi="Times New Roman" w:cs="Times New Roman"/>
          <w:bCs/>
          <w:sz w:val="28"/>
          <w:szCs w:val="28"/>
        </w:rPr>
        <w:t>у</w:t>
      </w:r>
      <w:r>
        <w:rPr>
          <w:rFonts w:ascii="Times New Roman" w:hAnsi="Times New Roman" w:cs="Times New Roman"/>
          <w:sz w:val="28"/>
          <w:szCs w:val="28"/>
          <w:lang w:val="kk-KZ"/>
        </w:rPr>
        <w:t>лучш</w:t>
      </w:r>
      <w:r>
        <w:rPr>
          <w:rFonts w:ascii="Times New Roman" w:hAnsi="Times New Roman" w:cs="Times New Roman"/>
          <w:sz w:val="28"/>
          <w:szCs w:val="28"/>
        </w:rPr>
        <w:t>ить</w:t>
      </w:r>
      <w:r>
        <w:rPr>
          <w:rFonts w:ascii="Times New Roman" w:hAnsi="Times New Roman" w:cs="Times New Roman"/>
          <w:sz w:val="28"/>
          <w:szCs w:val="28"/>
          <w:lang w:val="kk-KZ"/>
        </w:rPr>
        <w:t xml:space="preserve"> ранн</w:t>
      </w:r>
      <w:r>
        <w:rPr>
          <w:rFonts w:ascii="Times New Roman" w:hAnsi="Times New Roman" w:cs="Times New Roman"/>
          <w:sz w:val="28"/>
          <w:szCs w:val="28"/>
        </w:rPr>
        <w:t>юю</w:t>
      </w:r>
      <w:r>
        <w:rPr>
          <w:rFonts w:ascii="Times New Roman" w:hAnsi="Times New Roman" w:cs="Times New Roman"/>
          <w:sz w:val="28"/>
          <w:szCs w:val="28"/>
          <w:lang w:val="kk-KZ"/>
        </w:rPr>
        <w:t xml:space="preserve"> диагностик</w:t>
      </w:r>
      <w:r>
        <w:rPr>
          <w:rFonts w:ascii="Times New Roman" w:hAnsi="Times New Roman" w:cs="Times New Roman"/>
          <w:sz w:val="28"/>
          <w:szCs w:val="28"/>
        </w:rPr>
        <w:t>у</w:t>
      </w:r>
      <w:r>
        <w:rPr>
          <w:rFonts w:ascii="Times New Roman" w:hAnsi="Times New Roman" w:cs="Times New Roman"/>
          <w:sz w:val="28"/>
          <w:szCs w:val="28"/>
          <w:lang w:val="kk-KZ"/>
        </w:rPr>
        <w:t xml:space="preserve"> рака легкого с применением низкодозной компьютерной томографи</w:t>
      </w:r>
      <w:r>
        <w:rPr>
          <w:rFonts w:ascii="Times New Roman" w:hAnsi="Times New Roman" w:cs="Times New Roman"/>
          <w:sz w:val="28"/>
          <w:szCs w:val="28"/>
          <w:lang w:val="kk-KZ"/>
        </w:rPr>
        <w:t xml:space="preserve">и. </w:t>
      </w:r>
    </w:p>
    <w:p w:rsidR="00A75A8D" w:rsidRDefault="008A6A51">
      <w:pPr>
        <w:spacing w:after="0" w:line="240" w:lineRule="auto"/>
        <w:ind w:firstLine="56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Задачи исследования:</w:t>
      </w:r>
    </w:p>
    <w:p w:rsidR="00A75A8D" w:rsidRDefault="008A6A51">
      <w:pPr>
        <w:numPr>
          <w:ilvl w:val="0"/>
          <w:numId w:val="4"/>
        </w:numPr>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bCs/>
          <w:sz w:val="28"/>
          <w:szCs w:val="28"/>
          <w:lang w:val="kk-KZ"/>
        </w:rPr>
        <w:t>Изучить показатели заболеваемости и смертности от рака легкого в РК за 2009-2018 гг. с определением факторов риска</w:t>
      </w:r>
      <w:r>
        <w:rPr>
          <w:rFonts w:ascii="Times New Roman" w:hAnsi="Times New Roman" w:cs="Times New Roman"/>
          <w:sz w:val="28"/>
          <w:szCs w:val="28"/>
        </w:rPr>
        <w:t>.</w:t>
      </w:r>
      <w:r>
        <w:rPr>
          <w:rFonts w:ascii="Times New Roman" w:hAnsi="Times New Roman" w:cs="Times New Roman"/>
          <w:sz w:val="28"/>
          <w:szCs w:val="28"/>
          <w:lang w:val="kk-KZ"/>
        </w:rPr>
        <w:t xml:space="preserve"> </w:t>
      </w:r>
    </w:p>
    <w:p w:rsidR="00A75A8D" w:rsidRDefault="008A6A51">
      <w:pPr>
        <w:numPr>
          <w:ilvl w:val="0"/>
          <w:numId w:val="4"/>
        </w:numPr>
        <w:tabs>
          <w:tab w:val="clear" w:pos="425"/>
          <w:tab w:val="left" w:pos="426"/>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bCs/>
          <w:sz w:val="28"/>
          <w:szCs w:val="28"/>
          <w:lang w:val="kk-KZ"/>
        </w:rPr>
        <w:t xml:space="preserve">Провести низкодозную компьютерную томографию легких условно здоровому населению в избранных регионах с высокой </w:t>
      </w:r>
      <w:r>
        <w:rPr>
          <w:rFonts w:ascii="Times New Roman" w:hAnsi="Times New Roman" w:cs="Times New Roman"/>
          <w:bCs/>
          <w:sz w:val="28"/>
          <w:szCs w:val="28"/>
          <w:lang w:val="kk-KZ"/>
        </w:rPr>
        <w:t>заболеваемостью и смертностью от рака легкого и радоновым загрязнением</w:t>
      </w:r>
      <w:r>
        <w:rPr>
          <w:rFonts w:ascii="Times New Roman" w:hAnsi="Times New Roman" w:cs="Times New Roman"/>
          <w:sz w:val="28"/>
          <w:szCs w:val="28"/>
        </w:rPr>
        <w:t>.</w:t>
      </w:r>
    </w:p>
    <w:p w:rsidR="00A75A8D" w:rsidRDefault="008A6A51">
      <w:pPr>
        <w:numPr>
          <w:ilvl w:val="0"/>
          <w:numId w:val="4"/>
        </w:numPr>
        <w:tabs>
          <w:tab w:val="clear" w:pos="425"/>
          <w:tab w:val="left" w:pos="426"/>
          <w:tab w:val="left" w:pos="851"/>
        </w:tabs>
        <w:spacing w:after="0" w:line="240" w:lineRule="auto"/>
        <w:ind w:left="0" w:firstLine="567"/>
        <w:jc w:val="both"/>
        <w:rPr>
          <w:rFonts w:ascii="Times New Roman" w:hAnsi="Times New Roman" w:cs="Times New Roman"/>
          <w:sz w:val="28"/>
          <w:szCs w:val="28"/>
        </w:rPr>
      </w:pPr>
      <w:r>
        <w:rPr>
          <w:rFonts w:ascii="Times New Roman" w:hAnsi="Times New Roman" w:cs="Times New Roman"/>
          <w:bCs/>
          <w:sz w:val="28"/>
          <w:szCs w:val="28"/>
          <w:lang w:val="kk-KZ"/>
        </w:rPr>
        <w:t>Определить диагностическую информативность низкодозной компьютерной томографии в ранней диагностике рака легкого с изучением лучевой семиотики патологических изменений легких</w:t>
      </w:r>
      <w:r>
        <w:rPr>
          <w:rFonts w:ascii="Times New Roman" w:hAnsi="Times New Roman" w:cs="Times New Roman"/>
          <w:sz w:val="28"/>
          <w:szCs w:val="28"/>
          <w:lang w:val="kk-KZ"/>
        </w:rPr>
        <w:t xml:space="preserve">.  </w:t>
      </w:r>
    </w:p>
    <w:p w:rsidR="00A75A8D" w:rsidRDefault="008A6A51">
      <w:pPr>
        <w:numPr>
          <w:ilvl w:val="0"/>
          <w:numId w:val="4"/>
        </w:numPr>
        <w:tabs>
          <w:tab w:val="clear" w:pos="425"/>
          <w:tab w:val="left" w:pos="426"/>
          <w:tab w:val="left" w:pos="851"/>
        </w:tabs>
        <w:spacing w:after="0" w:line="240" w:lineRule="auto"/>
        <w:ind w:left="0" w:firstLine="567"/>
        <w:jc w:val="both"/>
        <w:rPr>
          <w:rFonts w:ascii="Times New Roman" w:hAnsi="Times New Roman" w:cs="Times New Roman"/>
          <w:sz w:val="28"/>
          <w:szCs w:val="28"/>
        </w:rPr>
      </w:pPr>
      <w:r>
        <w:rPr>
          <w:rFonts w:ascii="Times New Roman" w:hAnsi="Times New Roman" w:cs="Times New Roman"/>
          <w:bCs/>
          <w:sz w:val="28"/>
          <w:szCs w:val="28"/>
          <w:lang w:val="kk-KZ"/>
        </w:rPr>
        <w:t>Оптими</w:t>
      </w:r>
      <w:r>
        <w:rPr>
          <w:rFonts w:ascii="Times New Roman" w:hAnsi="Times New Roman" w:cs="Times New Roman"/>
          <w:bCs/>
          <w:sz w:val="28"/>
          <w:szCs w:val="28"/>
          <w:lang w:val="kk-KZ"/>
        </w:rPr>
        <w:t xml:space="preserve">зировать раннюю диагностику рака легкого с применением </w:t>
      </w:r>
      <w:r w:rsidR="00511EAA">
        <w:rPr>
          <w:rFonts w:ascii="Times New Roman" w:hAnsi="Times New Roman" w:cs="Times New Roman"/>
          <w:sz w:val="28"/>
          <w:szCs w:val="28"/>
        </w:rPr>
        <w:t>низкодозной компьютерной томографии</w:t>
      </w:r>
      <w:r>
        <w:rPr>
          <w:rFonts w:ascii="Times New Roman" w:hAnsi="Times New Roman" w:cs="Times New Roman"/>
          <w:bCs/>
          <w:sz w:val="28"/>
          <w:szCs w:val="28"/>
          <w:lang w:val="kk-KZ"/>
        </w:rPr>
        <w:t xml:space="preserve"> и искусственного интеллекта на основе глубокого обучения (DL-CAD)</w:t>
      </w:r>
      <w:r>
        <w:rPr>
          <w:rFonts w:ascii="Times New Roman" w:hAnsi="Times New Roman" w:cs="Times New Roman"/>
          <w:sz w:val="28"/>
          <w:szCs w:val="28"/>
        </w:rPr>
        <w:t xml:space="preserve">.   </w:t>
      </w:r>
    </w:p>
    <w:p w:rsidR="00A75A8D" w:rsidRDefault="008A6A51">
      <w:pPr>
        <w:spacing w:after="0" w:line="240" w:lineRule="auto"/>
        <w:ind w:firstLine="567"/>
        <w:jc w:val="both"/>
        <w:rPr>
          <w:rFonts w:ascii="Times New Roman" w:hAnsi="Times New Roman" w:cs="Times New Roman"/>
          <w:b/>
          <w:bCs/>
          <w:color w:val="FF0000"/>
          <w:sz w:val="28"/>
          <w:szCs w:val="28"/>
          <w:lang w:val="kk-KZ"/>
        </w:rPr>
      </w:pPr>
      <w:r>
        <w:rPr>
          <w:rFonts w:ascii="Times New Roman" w:hAnsi="Times New Roman" w:cs="Times New Roman"/>
          <w:b/>
          <w:sz w:val="28"/>
          <w:szCs w:val="28"/>
        </w:rPr>
        <w:t xml:space="preserve">Объект исследования: </w:t>
      </w:r>
      <w:r>
        <w:rPr>
          <w:rFonts w:ascii="Times New Roman" w:hAnsi="Times New Roman" w:cs="Times New Roman"/>
          <w:b/>
          <w:color w:val="FF0000"/>
          <w:sz w:val="28"/>
          <w:szCs w:val="28"/>
        </w:rPr>
        <w:t xml:space="preserve"> </w:t>
      </w:r>
    </w:p>
    <w:p w:rsidR="00A75A8D" w:rsidRDefault="008A6A51">
      <w:pPr>
        <w:numPr>
          <w:ilvl w:val="0"/>
          <w:numId w:val="5"/>
        </w:numPr>
        <w:tabs>
          <w:tab w:val="left" w:pos="851"/>
        </w:tabs>
        <w:autoSpaceDE w:val="0"/>
        <w:autoSpaceDN w:val="0"/>
        <w:adjustRightInd w:val="0"/>
        <w:spacing w:after="0" w:line="240" w:lineRule="auto"/>
        <w:ind w:left="0" w:firstLine="567"/>
        <w:contextualSpacing/>
        <w:jc w:val="both"/>
        <w:rPr>
          <w:rFonts w:ascii="Times New Roman" w:eastAsiaTheme="minorEastAsia" w:hAnsi="Times New Roman" w:cs="Times New Roman"/>
          <w:color w:val="000000" w:themeColor="text1"/>
          <w:sz w:val="28"/>
          <w:szCs w:val="28"/>
        </w:rPr>
      </w:pPr>
      <w:r>
        <w:rPr>
          <w:rFonts w:ascii="Times New Roman" w:eastAsia="TimesNewRomanPSMT" w:hAnsi="Times New Roman" w:cs="Times New Roman"/>
          <w:color w:val="000000" w:themeColor="text1"/>
          <w:sz w:val="28"/>
          <w:szCs w:val="28"/>
        </w:rPr>
        <w:t xml:space="preserve">Данные </w:t>
      </w:r>
      <w:r>
        <w:rPr>
          <w:rFonts w:ascii="Times New Roman" w:eastAsiaTheme="minorEastAsia" w:hAnsi="Times New Roman" w:cs="Times New Roman"/>
          <w:color w:val="000000" w:themeColor="text1"/>
          <w:sz w:val="28"/>
          <w:szCs w:val="28"/>
          <w:lang w:eastAsia="ru-RU"/>
        </w:rPr>
        <w:t xml:space="preserve">36 744 зарегистрированных случаев рака легкого из </w:t>
      </w:r>
      <w:r>
        <w:rPr>
          <w:rFonts w:ascii="Times New Roman" w:hAnsi="Times New Roman" w:cs="Times New Roman"/>
          <w:color w:val="000000" w:themeColor="text1"/>
          <w:sz w:val="28"/>
          <w:szCs w:val="28"/>
        </w:rPr>
        <w:t xml:space="preserve">данных электронного регистра онкологических </w:t>
      </w:r>
      <w:r>
        <w:rPr>
          <w:rFonts w:ascii="Times New Roman" w:hAnsi="Times New Roman" w:cs="Times New Roman"/>
          <w:color w:val="000000" w:themeColor="text1"/>
          <w:sz w:val="28"/>
          <w:szCs w:val="28"/>
        </w:rPr>
        <w:t>больных</w:t>
      </w:r>
      <w:r>
        <w:rPr>
          <w:rFonts w:ascii="Times New Roman" w:eastAsia="TimesNewRomanPSMT" w:hAnsi="Times New Roman" w:cs="Times New Roman"/>
          <w:color w:val="000000" w:themeColor="text1"/>
          <w:sz w:val="28"/>
          <w:szCs w:val="28"/>
        </w:rPr>
        <w:t xml:space="preserve"> 2009-2018 гг.</w:t>
      </w:r>
      <w:r>
        <w:rPr>
          <w:rFonts w:ascii="Times New Roman" w:eastAsiaTheme="minorEastAsia" w:hAnsi="Times New Roman" w:cs="Times New Roman"/>
          <w:color w:val="000000" w:themeColor="text1"/>
          <w:sz w:val="28"/>
          <w:szCs w:val="28"/>
          <w:lang w:eastAsia="ru-RU"/>
        </w:rPr>
        <w:t xml:space="preserve"> </w:t>
      </w:r>
    </w:p>
    <w:p w:rsidR="00A75A8D" w:rsidRDefault="008A6A51">
      <w:pPr>
        <w:numPr>
          <w:ilvl w:val="0"/>
          <w:numId w:val="5"/>
        </w:numPr>
        <w:tabs>
          <w:tab w:val="left" w:pos="851"/>
        </w:tabs>
        <w:autoSpaceDE w:val="0"/>
        <w:autoSpaceDN w:val="0"/>
        <w:adjustRightInd w:val="0"/>
        <w:spacing w:after="0" w:line="240" w:lineRule="auto"/>
        <w:ind w:left="0" w:firstLine="567"/>
        <w:contextualSpacing/>
        <w:jc w:val="both"/>
        <w:rPr>
          <w:rFonts w:ascii="Times New Roman" w:eastAsiaTheme="minorEastAsia" w:hAnsi="Times New Roman" w:cs="Times New Roman"/>
          <w:color w:val="000000" w:themeColor="text1"/>
          <w:sz w:val="28"/>
          <w:szCs w:val="28"/>
        </w:rPr>
      </w:pPr>
      <w:r>
        <w:rPr>
          <w:rFonts w:ascii="Times New Roman" w:eastAsia="TimesNewRomanPSMT" w:hAnsi="Times New Roman" w:cs="Times New Roman"/>
          <w:color w:val="000000" w:themeColor="text1"/>
          <w:sz w:val="28"/>
          <w:szCs w:val="28"/>
        </w:rPr>
        <w:t xml:space="preserve">Данные низкодозной компьютерной томографии легких 3671 </w:t>
      </w:r>
      <w:r>
        <w:rPr>
          <w:rFonts w:ascii="Times New Roman" w:eastAsiaTheme="minorEastAsia" w:hAnsi="Times New Roman" w:cs="Times New Roman"/>
          <w:color w:val="000000" w:themeColor="text1"/>
          <w:sz w:val="28"/>
          <w:szCs w:val="28"/>
          <w:lang w:eastAsia="ru-RU"/>
        </w:rPr>
        <w:t xml:space="preserve">условно здоровых </w:t>
      </w:r>
      <w:r>
        <w:rPr>
          <w:rFonts w:ascii="Times New Roman" w:eastAsia="TimesNewRomanPSMT" w:hAnsi="Times New Roman" w:cs="Times New Roman"/>
          <w:color w:val="000000" w:themeColor="text1"/>
          <w:sz w:val="28"/>
          <w:szCs w:val="28"/>
        </w:rPr>
        <w:t xml:space="preserve">жителей </w:t>
      </w:r>
      <w:r>
        <w:rPr>
          <w:rFonts w:ascii="Times New Roman" w:eastAsiaTheme="minorEastAsia" w:hAnsi="Times New Roman" w:cs="Times New Roman"/>
          <w:color w:val="000000" w:themeColor="text1"/>
          <w:sz w:val="28"/>
          <w:szCs w:val="28"/>
        </w:rPr>
        <w:t xml:space="preserve">регионов </w:t>
      </w:r>
      <w:r>
        <w:rPr>
          <w:rFonts w:ascii="Times New Roman" w:eastAsia="TimesNewRomanPSMT" w:hAnsi="Times New Roman" w:cs="Times New Roman"/>
          <w:color w:val="000000" w:themeColor="text1"/>
          <w:sz w:val="28"/>
          <w:szCs w:val="28"/>
        </w:rPr>
        <w:t>РК</w:t>
      </w:r>
      <w:r>
        <w:rPr>
          <w:rFonts w:ascii="Times New Roman" w:eastAsiaTheme="minorEastAsia" w:hAnsi="Times New Roman" w:cs="Times New Roman"/>
          <w:color w:val="000000" w:themeColor="text1"/>
          <w:sz w:val="28"/>
          <w:szCs w:val="28"/>
        </w:rPr>
        <w:t xml:space="preserve"> с высокой заболеваемостью и смертностью от рака легкого. </w:t>
      </w:r>
    </w:p>
    <w:p w:rsidR="00A75A8D" w:rsidRDefault="008A6A51">
      <w:pPr>
        <w:numPr>
          <w:ilvl w:val="0"/>
          <w:numId w:val="5"/>
        </w:numPr>
        <w:tabs>
          <w:tab w:val="left" w:pos="851"/>
        </w:tabs>
        <w:autoSpaceDE w:val="0"/>
        <w:autoSpaceDN w:val="0"/>
        <w:adjustRightInd w:val="0"/>
        <w:spacing w:after="0" w:line="240" w:lineRule="auto"/>
        <w:ind w:left="0" w:firstLine="567"/>
        <w:contextualSpacing/>
        <w:jc w:val="both"/>
        <w:rPr>
          <w:rFonts w:ascii="Times New Roman" w:eastAsiaTheme="minorEastAsia" w:hAnsi="Times New Roman" w:cs="Times New Roman"/>
          <w:color w:val="000000" w:themeColor="text1"/>
          <w:sz w:val="28"/>
          <w:szCs w:val="28"/>
        </w:rPr>
      </w:pPr>
      <w:r>
        <w:rPr>
          <w:rFonts w:ascii="Times New Roman" w:eastAsiaTheme="minorEastAsia" w:hAnsi="Times New Roman" w:cs="Times New Roman"/>
          <w:color w:val="000000" w:themeColor="text1"/>
          <w:sz w:val="28"/>
          <w:szCs w:val="28"/>
        </w:rPr>
        <w:t xml:space="preserve">Данные низкодозно-томографического исследования пациентов с 614 узлами в легких. </w:t>
      </w:r>
    </w:p>
    <w:p w:rsidR="00A75A8D" w:rsidRDefault="008A6A51">
      <w:pPr>
        <w:tabs>
          <w:tab w:val="left" w:pos="9356"/>
        </w:tabs>
        <w:spacing w:line="240" w:lineRule="auto"/>
        <w:ind w:right="-1" w:firstLine="567"/>
        <w:contextualSpacing/>
        <w:jc w:val="both"/>
        <w:rPr>
          <w:rFonts w:ascii="Times New Roman" w:eastAsiaTheme="minorEastAsia" w:hAnsi="Times New Roman" w:cs="Times New Roman"/>
          <w:color w:val="000000" w:themeColor="text1"/>
          <w:sz w:val="28"/>
          <w:szCs w:val="28"/>
        </w:rPr>
      </w:pPr>
      <w:r>
        <w:rPr>
          <w:rFonts w:ascii="Times New Roman" w:hAnsi="Times New Roman" w:cs="Times New Roman"/>
          <w:b/>
          <w:sz w:val="28"/>
          <w:szCs w:val="28"/>
          <w:lang w:val="kk-KZ"/>
        </w:rPr>
        <w:lastRenderedPageBreak/>
        <w:t xml:space="preserve">Предмет исследования: </w:t>
      </w:r>
      <w:r w:rsidR="00511EAA">
        <w:rPr>
          <w:rFonts w:ascii="Times New Roman" w:hAnsi="Times New Roman" w:cs="Times New Roman"/>
          <w:sz w:val="28"/>
          <w:szCs w:val="28"/>
        </w:rPr>
        <w:t>для определения целевых групп и повышения  эффективности ранней диагностики рака легкого в РК необходимо изучение  показателей заболеваемости и смертности, факторов риска, методов диагностики рака легкого, радиологической семиотики рака легкого в сопоставлении с результатами патоморфологического исследования.</w:t>
      </w:r>
    </w:p>
    <w:p w:rsidR="00A75A8D" w:rsidRDefault="008A6A51">
      <w:pPr>
        <w:tabs>
          <w:tab w:val="left" w:pos="9356"/>
        </w:tabs>
        <w:spacing w:line="240" w:lineRule="auto"/>
        <w:ind w:right="-1" w:firstLine="567"/>
        <w:contextualSpacing/>
        <w:jc w:val="both"/>
        <w:rPr>
          <w:rFonts w:ascii="Times New Roman" w:eastAsiaTheme="minorEastAsia" w:hAnsi="Times New Roman" w:cs="Times New Roman"/>
          <w:color w:val="000000" w:themeColor="text1"/>
          <w:sz w:val="28"/>
          <w:szCs w:val="28"/>
        </w:rPr>
      </w:pPr>
      <w:r>
        <w:rPr>
          <w:rFonts w:ascii="Times New Roman" w:hAnsi="Times New Roman" w:cs="Times New Roman"/>
          <w:b/>
          <w:sz w:val="28"/>
          <w:szCs w:val="28"/>
          <w:lang w:val="kk-KZ"/>
        </w:rPr>
        <w:t>Методы исследования:</w:t>
      </w:r>
      <w:r>
        <w:rPr>
          <w:rFonts w:ascii="Times New Roman" w:eastAsiaTheme="minorEastAsia" w:hAnsi="Times New Roman" w:cs="Times New Roman"/>
          <w:color w:val="000000" w:themeColor="text1"/>
          <w:sz w:val="28"/>
          <w:szCs w:val="28"/>
        </w:rPr>
        <w:t xml:space="preserve"> радиологический (низкодозная компьютерная томография); эпидемиологический, морфологический (гистологическое исследование); статистический.</w:t>
      </w:r>
    </w:p>
    <w:p w:rsidR="00A75A8D" w:rsidRDefault="008A6A51">
      <w:pPr>
        <w:spacing w:after="0" w:line="240" w:lineRule="auto"/>
        <w:ind w:firstLine="567"/>
        <w:jc w:val="both"/>
        <w:rPr>
          <w:rFonts w:ascii="Times New Roman" w:hAnsi="Times New Roman" w:cs="Times New Roman"/>
          <w:b/>
          <w:bCs/>
          <w:color w:val="FF0000"/>
          <w:sz w:val="28"/>
          <w:szCs w:val="28"/>
          <w:lang w:val="kk-KZ"/>
        </w:rPr>
      </w:pPr>
      <w:r>
        <w:rPr>
          <w:rFonts w:ascii="Times New Roman" w:hAnsi="Times New Roman" w:cs="Times New Roman"/>
          <w:b/>
          <w:bCs/>
          <w:sz w:val="28"/>
          <w:szCs w:val="28"/>
          <w:lang w:val="kk-KZ"/>
        </w:rPr>
        <w:t>Научная новизна</w:t>
      </w:r>
      <w:r>
        <w:rPr>
          <w:rFonts w:ascii="Times New Roman" w:hAnsi="Times New Roman" w:cs="Times New Roman"/>
          <w:sz w:val="28"/>
          <w:szCs w:val="28"/>
          <w:lang w:val="kk-KZ"/>
        </w:rPr>
        <w:t xml:space="preserve"> </w:t>
      </w:r>
    </w:p>
    <w:p w:rsidR="00511EAA" w:rsidRDefault="00511EAA" w:rsidP="00511EAA">
      <w:pPr>
        <w:tabs>
          <w:tab w:val="left" w:pos="0"/>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Впервые проведено проспективное когортное исследование условно здоровому населению регионов с высокой заболеваемостью, смертностью и радоновым загрязнением, независимо от статуса курения, методом низкодозной компьютерной томографии с выявлением ранних стадий рака легкого (статья в журнале </w:t>
      </w:r>
      <w:r>
        <w:rPr>
          <w:rFonts w:ascii="Times New Roman" w:hAnsi="Times New Roman" w:cs="Times New Roman"/>
          <w:sz w:val="28"/>
          <w:szCs w:val="28"/>
          <w:lang w:val="en-US"/>
        </w:rPr>
        <w:t>Web</w:t>
      </w:r>
      <w:r>
        <w:rPr>
          <w:rFonts w:ascii="Times New Roman" w:hAnsi="Times New Roman" w:cs="Times New Roman"/>
          <w:sz w:val="28"/>
          <w:szCs w:val="28"/>
        </w:rPr>
        <w:t xml:space="preserve"> </w:t>
      </w:r>
      <w:r>
        <w:rPr>
          <w:rFonts w:ascii="Times New Roman" w:hAnsi="Times New Roman" w:cs="Times New Roman"/>
          <w:sz w:val="28"/>
          <w:szCs w:val="28"/>
          <w:lang w:val="en-US"/>
        </w:rPr>
        <w:t>of</w:t>
      </w:r>
      <w:r>
        <w:rPr>
          <w:rFonts w:ascii="Times New Roman" w:hAnsi="Times New Roman" w:cs="Times New Roman"/>
          <w:sz w:val="28"/>
          <w:szCs w:val="28"/>
        </w:rPr>
        <w:t xml:space="preserve"> </w:t>
      </w:r>
      <w:r>
        <w:rPr>
          <w:rFonts w:ascii="Times New Roman" w:hAnsi="Times New Roman" w:cs="Times New Roman"/>
          <w:sz w:val="28"/>
          <w:szCs w:val="28"/>
          <w:lang w:val="en-US"/>
        </w:rPr>
        <w:t>science</w:t>
      </w:r>
      <w:r>
        <w:rPr>
          <w:rFonts w:ascii="Times New Roman" w:hAnsi="Times New Roman" w:cs="Times New Roman"/>
          <w:sz w:val="28"/>
          <w:szCs w:val="28"/>
        </w:rPr>
        <w:t xml:space="preserve"> </w:t>
      </w:r>
      <w:r>
        <w:rPr>
          <w:rFonts w:ascii="Times New Roman" w:hAnsi="Times New Roman" w:cs="Times New Roman"/>
          <w:sz w:val="28"/>
          <w:szCs w:val="28"/>
          <w:lang w:val="en-US"/>
        </w:rPr>
        <w:t>Core</w:t>
      </w:r>
      <w:r>
        <w:rPr>
          <w:rFonts w:ascii="Times New Roman" w:hAnsi="Times New Roman" w:cs="Times New Roman"/>
          <w:sz w:val="28"/>
          <w:szCs w:val="28"/>
        </w:rPr>
        <w:t xml:space="preserve"> </w:t>
      </w:r>
      <w:r>
        <w:rPr>
          <w:rFonts w:ascii="Times New Roman" w:hAnsi="Times New Roman" w:cs="Times New Roman"/>
          <w:sz w:val="28"/>
          <w:szCs w:val="28"/>
          <w:lang w:val="en-US"/>
        </w:rPr>
        <w:t>Collection</w:t>
      </w:r>
      <w:r>
        <w:rPr>
          <w:rFonts w:ascii="Times New Roman" w:hAnsi="Times New Roman" w:cs="Times New Roman"/>
          <w:sz w:val="28"/>
          <w:szCs w:val="28"/>
        </w:rPr>
        <w:t xml:space="preserve"> и </w:t>
      </w:r>
      <w:r>
        <w:rPr>
          <w:rFonts w:ascii="Times New Roman" w:hAnsi="Times New Roman" w:cs="Times New Roman"/>
          <w:sz w:val="28"/>
          <w:szCs w:val="28"/>
          <w:lang w:val="en-US"/>
        </w:rPr>
        <w:t>Scopus</w:t>
      </w:r>
      <w:r>
        <w:rPr>
          <w:rFonts w:ascii="Times New Roman" w:hAnsi="Times New Roman" w:cs="Times New Roman"/>
          <w:sz w:val="28"/>
          <w:szCs w:val="28"/>
        </w:rPr>
        <w:t xml:space="preserve"> </w:t>
      </w:r>
      <w:r>
        <w:rPr>
          <w:rFonts w:ascii="Times New Roman" w:hAnsi="Times New Roman" w:cs="Times New Roman"/>
          <w:sz w:val="28"/>
          <w:szCs w:val="28"/>
          <w:lang w:val="en-US"/>
        </w:rPr>
        <w:t>Q</w:t>
      </w:r>
      <w:r>
        <w:rPr>
          <w:rFonts w:ascii="Times New Roman" w:hAnsi="Times New Roman" w:cs="Times New Roman"/>
          <w:sz w:val="28"/>
          <w:szCs w:val="28"/>
        </w:rPr>
        <w:t>2).</w:t>
      </w:r>
    </w:p>
    <w:p w:rsidR="00A75A8D" w:rsidRDefault="00511EAA" w:rsidP="00511EAA">
      <w:pPr>
        <w:spacing w:after="0" w:line="240" w:lineRule="auto"/>
        <w:ind w:firstLine="567"/>
        <w:jc w:val="both"/>
        <w:rPr>
          <w:rFonts w:ascii="Times New Roman" w:hAnsi="Times New Roman" w:cs="Times New Roman"/>
          <w:bCs/>
          <w:sz w:val="28"/>
          <w:szCs w:val="28"/>
          <w:lang w:val="kk-KZ"/>
        </w:rPr>
      </w:pPr>
      <w:r>
        <w:rPr>
          <w:rFonts w:ascii="Times New Roman" w:hAnsi="Times New Roman"/>
          <w:sz w:val="28"/>
          <w:szCs w:val="28"/>
        </w:rPr>
        <w:t xml:space="preserve">Впервые оптимизирован протокол интерпретации низкодозных компьютерно-томографических изображений с применением искусственного интеллекта (DL-CAD), улучшающий диагностику рака легкого </w:t>
      </w:r>
      <w:r>
        <w:rPr>
          <w:rFonts w:ascii="Times New Roman" w:hAnsi="Times New Roman" w:cs="Times New Roman"/>
          <w:sz w:val="28"/>
          <w:szCs w:val="28"/>
        </w:rPr>
        <w:t>(авторское свидетельство № 49608).</w:t>
      </w:r>
      <w:r w:rsidR="008A6A51">
        <w:rPr>
          <w:rFonts w:ascii="Times New Roman" w:hAnsi="Times New Roman" w:cs="Times New Roman"/>
          <w:bCs/>
          <w:sz w:val="28"/>
          <w:szCs w:val="28"/>
          <w:lang w:val="kk-KZ"/>
        </w:rPr>
        <w:t xml:space="preserve"> </w:t>
      </w:r>
    </w:p>
    <w:p w:rsidR="00A75A8D" w:rsidRDefault="008A6A51">
      <w:pPr>
        <w:pStyle w:val="af7"/>
        <w:ind w:firstLine="567"/>
        <w:jc w:val="both"/>
        <w:rPr>
          <w:rFonts w:ascii="Times New Roman" w:hAnsi="Times New Roman"/>
          <w:b/>
          <w:sz w:val="28"/>
          <w:szCs w:val="28"/>
          <w:lang w:val="kk-KZ"/>
        </w:rPr>
      </w:pPr>
      <w:r>
        <w:rPr>
          <w:rFonts w:ascii="Times New Roman" w:hAnsi="Times New Roman"/>
          <w:b/>
          <w:sz w:val="28"/>
          <w:szCs w:val="28"/>
          <w:lang w:val="kk-KZ"/>
        </w:rPr>
        <w:t>Практическ</w:t>
      </w:r>
      <w:r>
        <w:rPr>
          <w:rFonts w:ascii="Times New Roman" w:hAnsi="Times New Roman"/>
          <w:b/>
          <w:sz w:val="28"/>
          <w:szCs w:val="28"/>
        </w:rPr>
        <w:t>ая значимость</w:t>
      </w:r>
    </w:p>
    <w:p w:rsidR="00A75A8D" w:rsidRDefault="008A6A51">
      <w:pPr>
        <w:pStyle w:val="af7"/>
        <w:ind w:firstLine="567"/>
        <w:jc w:val="both"/>
        <w:rPr>
          <w:rFonts w:ascii="Times New Roman" w:hAnsi="Times New Roman"/>
          <w:sz w:val="28"/>
          <w:szCs w:val="28"/>
          <w:lang w:val="kk-KZ"/>
        </w:rPr>
      </w:pPr>
      <w:r>
        <w:rPr>
          <w:rFonts w:ascii="Times New Roman" w:hAnsi="Times New Roman"/>
          <w:sz w:val="28"/>
          <w:szCs w:val="28"/>
          <w:lang w:val="kk-KZ"/>
        </w:rPr>
        <w:t>Применение низкодозной компьютерной томографии улучшает раннюю диагностику рака легкого.</w:t>
      </w:r>
    </w:p>
    <w:p w:rsidR="00A75A8D" w:rsidRDefault="008A6A51">
      <w:pPr>
        <w:pStyle w:val="af7"/>
        <w:ind w:firstLine="567"/>
        <w:jc w:val="both"/>
        <w:rPr>
          <w:rFonts w:ascii="Times New Roman" w:hAnsi="Times New Roman" w:cs="Times New Roman"/>
          <w:bCs/>
          <w:sz w:val="28"/>
          <w:szCs w:val="28"/>
        </w:rPr>
      </w:pPr>
      <w:r>
        <w:rPr>
          <w:rFonts w:ascii="Times New Roman" w:hAnsi="Times New Roman"/>
          <w:sz w:val="28"/>
          <w:szCs w:val="28"/>
          <w:lang w:val="kk-KZ"/>
        </w:rPr>
        <w:t>Применение DL-CАD системы позволяет улучшить НДКТ диагностику рака легкого повышая диагностическую информати</w:t>
      </w:r>
      <w:r>
        <w:rPr>
          <w:rFonts w:ascii="Times New Roman" w:hAnsi="Times New Roman"/>
          <w:sz w:val="28"/>
          <w:szCs w:val="28"/>
          <w:lang w:val="kk-KZ"/>
        </w:rPr>
        <w:t>вность и сокращая время интерпретации</w:t>
      </w:r>
      <w:r>
        <w:rPr>
          <w:rFonts w:ascii="Times New Roman" w:hAnsi="Times New Roman" w:cs="Times New Roman"/>
          <w:bCs/>
          <w:sz w:val="28"/>
          <w:szCs w:val="28"/>
        </w:rPr>
        <w:t>.</w:t>
      </w:r>
    </w:p>
    <w:p w:rsidR="00A75A8D" w:rsidRDefault="008A6A51">
      <w:pPr>
        <w:spacing w:after="0" w:line="240" w:lineRule="auto"/>
        <w:ind w:firstLine="56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Основные положения, выносимые на защиту </w:t>
      </w:r>
    </w:p>
    <w:p w:rsidR="00A75A8D" w:rsidRDefault="008A6A51">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Высокие показатели заболеваемости и смертности от рака легкого в РК преобладают в Северных и Восточных регионах с прямой зависимостью от радонового загрязнения, превалированием</w:t>
      </w:r>
      <w:r>
        <w:rPr>
          <w:rFonts w:ascii="Times New Roman" w:hAnsi="Times New Roman" w:cs="Times New Roman"/>
          <w:bCs/>
          <w:sz w:val="28"/>
          <w:szCs w:val="28"/>
          <w:lang w:val="kk-KZ"/>
        </w:rPr>
        <w:t xml:space="preserve"> в мужской популяции, в возрастной группе 70-75 лет.</w:t>
      </w:r>
    </w:p>
    <w:p w:rsidR="00A75A8D" w:rsidRDefault="008A6A51">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Низкодозная компьютерная томография высокочувствительный и специфичный метод диагностики рака легкого, позволяющий увеличить выявляемость ранних стадий. </w:t>
      </w:r>
    </w:p>
    <w:p w:rsidR="00A75A8D" w:rsidRDefault="008A6A51">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Применение искусственного интеллекта на основе </w:t>
      </w:r>
      <w:r>
        <w:rPr>
          <w:rFonts w:ascii="Times New Roman" w:hAnsi="Times New Roman" w:cs="Times New Roman"/>
          <w:bCs/>
          <w:sz w:val="28"/>
          <w:szCs w:val="28"/>
          <w:lang w:val="kk-KZ"/>
        </w:rPr>
        <w:t>глубокого обучения (DL-CAD) при параллельном чтении повышает чувствительность к диагностике легочных узлов и сокращает время интерпретации</w:t>
      </w:r>
      <w:r>
        <w:rPr>
          <w:rFonts w:ascii="Times New Roman" w:hAnsi="Times New Roman" w:cs="Times New Roman"/>
          <w:bCs/>
          <w:sz w:val="28"/>
          <w:szCs w:val="28"/>
        </w:rPr>
        <w:t>.</w:t>
      </w:r>
    </w:p>
    <w:p w:rsidR="00A75A8D" w:rsidRDefault="008A6A51">
      <w:pPr>
        <w:pStyle w:val="af7"/>
        <w:ind w:firstLine="567"/>
        <w:jc w:val="both"/>
        <w:rPr>
          <w:rFonts w:ascii="Times New Roman" w:hAnsi="Times New Roman"/>
          <w:b/>
          <w:bCs/>
          <w:sz w:val="28"/>
          <w:szCs w:val="28"/>
        </w:rPr>
      </w:pPr>
      <w:r>
        <w:rPr>
          <w:rFonts w:ascii="Times New Roman" w:hAnsi="Times New Roman"/>
          <w:b/>
          <w:bCs/>
          <w:sz w:val="28"/>
          <w:szCs w:val="28"/>
        </w:rPr>
        <w:t>Апробация диссертации</w:t>
      </w:r>
    </w:p>
    <w:p w:rsidR="00A75A8D" w:rsidRDefault="008A6A51">
      <w:pPr>
        <w:pStyle w:val="af7"/>
        <w:ind w:firstLine="567"/>
        <w:jc w:val="both"/>
        <w:rPr>
          <w:rFonts w:ascii="Times New Roman" w:hAnsi="Times New Roman"/>
          <w:sz w:val="28"/>
          <w:szCs w:val="28"/>
        </w:rPr>
      </w:pPr>
      <w:r>
        <w:rPr>
          <w:rFonts w:ascii="Times New Roman" w:hAnsi="Times New Roman"/>
          <w:sz w:val="28"/>
          <w:szCs w:val="28"/>
        </w:rPr>
        <w:t>Основные результаты диссертации были доложены на:</w:t>
      </w:r>
    </w:p>
    <w:p w:rsidR="00A75A8D" w:rsidRDefault="008A6A51">
      <w:pPr>
        <w:pStyle w:val="af7"/>
        <w:numPr>
          <w:ilvl w:val="0"/>
          <w:numId w:val="6"/>
        </w:numPr>
        <w:tabs>
          <w:tab w:val="left" w:pos="880"/>
        </w:tabs>
        <w:ind w:left="7" w:firstLine="560"/>
        <w:jc w:val="both"/>
        <w:rPr>
          <w:rFonts w:ascii="Times New Roman" w:hAnsi="Times New Roman"/>
          <w:sz w:val="28"/>
          <w:szCs w:val="28"/>
        </w:rPr>
      </w:pPr>
      <w:r>
        <w:rPr>
          <w:rFonts w:ascii="Times New Roman" w:hAnsi="Times New Roman"/>
          <w:sz w:val="28"/>
          <w:szCs w:val="28"/>
          <w:lang w:val="en-US"/>
        </w:rPr>
        <w:t>XXV</w:t>
      </w:r>
      <w:r>
        <w:rPr>
          <w:rFonts w:ascii="Times New Roman" w:hAnsi="Times New Roman"/>
          <w:sz w:val="28"/>
          <w:szCs w:val="28"/>
        </w:rPr>
        <w:t xml:space="preserve"> Европейском Конгрессе Радиологов - Europ</w:t>
      </w:r>
      <w:r>
        <w:rPr>
          <w:rFonts w:ascii="Times New Roman" w:hAnsi="Times New Roman"/>
          <w:sz w:val="28"/>
          <w:szCs w:val="28"/>
        </w:rPr>
        <w:t xml:space="preserve">ean Congress of Radiology, </w:t>
      </w:r>
      <w:r>
        <w:rPr>
          <w:rFonts w:ascii="Times New Roman" w:hAnsi="Times New Roman"/>
          <w:sz w:val="28"/>
          <w:szCs w:val="28"/>
          <w:lang w:val="en-US"/>
        </w:rPr>
        <w:t>Veinna</w:t>
      </w:r>
      <w:r>
        <w:rPr>
          <w:rFonts w:ascii="Times New Roman" w:hAnsi="Times New Roman"/>
          <w:sz w:val="28"/>
          <w:szCs w:val="28"/>
        </w:rPr>
        <w:t xml:space="preserve">, </w:t>
      </w:r>
      <w:r>
        <w:rPr>
          <w:rFonts w:ascii="Times New Roman" w:hAnsi="Times New Roman"/>
          <w:sz w:val="28"/>
          <w:szCs w:val="28"/>
          <w:lang w:val="en-US"/>
        </w:rPr>
        <w:t>Austra</w:t>
      </w:r>
      <w:r>
        <w:rPr>
          <w:rFonts w:ascii="Times New Roman" w:hAnsi="Times New Roman"/>
          <w:sz w:val="28"/>
          <w:szCs w:val="28"/>
        </w:rPr>
        <w:t xml:space="preserve">, 2019, устный доклад;  </w:t>
      </w:r>
    </w:p>
    <w:p w:rsidR="00A75A8D" w:rsidRDefault="008A6A51">
      <w:pPr>
        <w:pStyle w:val="af7"/>
        <w:numPr>
          <w:ilvl w:val="0"/>
          <w:numId w:val="6"/>
        </w:numPr>
        <w:tabs>
          <w:tab w:val="left" w:pos="880"/>
        </w:tabs>
        <w:ind w:left="7" w:firstLine="560"/>
        <w:jc w:val="both"/>
        <w:rPr>
          <w:rFonts w:ascii="Times New Roman" w:hAnsi="Times New Roman"/>
          <w:sz w:val="28"/>
          <w:szCs w:val="28"/>
        </w:rPr>
      </w:pPr>
      <w:r>
        <w:rPr>
          <w:rFonts w:ascii="Times New Roman" w:hAnsi="Times New Roman"/>
          <w:sz w:val="28"/>
          <w:szCs w:val="28"/>
        </w:rPr>
        <w:t>Международном Конгрессе Радиологов «</w:t>
      </w:r>
      <w:r>
        <w:rPr>
          <w:rFonts w:ascii="Times New Roman" w:hAnsi="Times New Roman"/>
          <w:sz w:val="28"/>
          <w:szCs w:val="28"/>
          <w:lang w:eastAsia="zh-CN"/>
        </w:rPr>
        <w:t>Мультимодальные подходы в диагностической визуализации</w:t>
      </w:r>
      <w:r>
        <w:rPr>
          <w:rFonts w:ascii="Times New Roman" w:hAnsi="Times New Roman"/>
          <w:sz w:val="28"/>
          <w:szCs w:val="28"/>
        </w:rPr>
        <w:t xml:space="preserve">», Бишкек, Кыргызстан, 2019, устный доклад; </w:t>
      </w:r>
    </w:p>
    <w:p w:rsidR="00A75A8D" w:rsidRDefault="008A6A51">
      <w:pPr>
        <w:pStyle w:val="af7"/>
        <w:numPr>
          <w:ilvl w:val="0"/>
          <w:numId w:val="6"/>
        </w:numPr>
        <w:tabs>
          <w:tab w:val="left" w:pos="880"/>
        </w:tabs>
        <w:ind w:left="7" w:firstLine="560"/>
        <w:jc w:val="both"/>
        <w:rPr>
          <w:rFonts w:ascii="Times New Roman" w:hAnsi="Times New Roman"/>
          <w:sz w:val="28"/>
          <w:szCs w:val="28"/>
        </w:rPr>
      </w:pPr>
      <w:r>
        <w:rPr>
          <w:rFonts w:ascii="Times New Roman" w:hAnsi="Times New Roman"/>
          <w:sz w:val="28"/>
          <w:szCs w:val="28"/>
        </w:rPr>
        <w:t>VIII Евразийском радиологическом форуме, июль, Нур-Султ</w:t>
      </w:r>
      <w:r>
        <w:rPr>
          <w:rFonts w:ascii="Times New Roman" w:hAnsi="Times New Roman"/>
          <w:sz w:val="28"/>
          <w:szCs w:val="28"/>
        </w:rPr>
        <w:t xml:space="preserve">ан, Казахстан, 2019, устный доклад;    </w:t>
      </w:r>
    </w:p>
    <w:p w:rsidR="00A75A8D" w:rsidRDefault="008A6A51">
      <w:pPr>
        <w:pStyle w:val="af7"/>
        <w:numPr>
          <w:ilvl w:val="0"/>
          <w:numId w:val="6"/>
        </w:numPr>
        <w:tabs>
          <w:tab w:val="left" w:pos="880"/>
        </w:tabs>
        <w:ind w:left="7" w:firstLine="560"/>
        <w:jc w:val="both"/>
        <w:rPr>
          <w:rFonts w:ascii="Times New Roman" w:hAnsi="Times New Roman"/>
          <w:sz w:val="28"/>
          <w:szCs w:val="28"/>
        </w:rPr>
      </w:pPr>
      <w:r>
        <w:rPr>
          <w:rFonts w:ascii="Times New Roman" w:hAnsi="Times New Roman"/>
          <w:sz w:val="28"/>
          <w:szCs w:val="28"/>
        </w:rPr>
        <w:lastRenderedPageBreak/>
        <w:t xml:space="preserve">76-ом Корейском Конгрессе Радиологов - Korean congress of Radiology, </w:t>
      </w:r>
      <w:r>
        <w:rPr>
          <w:rFonts w:ascii="Times New Roman" w:hAnsi="Times New Roman"/>
          <w:sz w:val="28"/>
          <w:szCs w:val="28"/>
          <w:lang w:val="en-US"/>
        </w:rPr>
        <w:t>Seul</w:t>
      </w:r>
      <w:r>
        <w:rPr>
          <w:rFonts w:ascii="Times New Roman" w:hAnsi="Times New Roman"/>
          <w:sz w:val="28"/>
          <w:szCs w:val="28"/>
        </w:rPr>
        <w:t xml:space="preserve">, </w:t>
      </w:r>
      <w:r>
        <w:rPr>
          <w:rFonts w:ascii="Times New Roman" w:hAnsi="Times New Roman"/>
          <w:sz w:val="28"/>
          <w:szCs w:val="28"/>
          <w:lang w:val="en-US"/>
        </w:rPr>
        <w:t>Korea</w:t>
      </w:r>
      <w:r>
        <w:rPr>
          <w:rFonts w:ascii="Times New Roman" w:hAnsi="Times New Roman"/>
          <w:sz w:val="28"/>
          <w:szCs w:val="28"/>
        </w:rPr>
        <w:t xml:space="preserve">, 2020, постерный доклад; </w:t>
      </w:r>
    </w:p>
    <w:p w:rsidR="00A75A8D" w:rsidRDefault="008A6A51">
      <w:pPr>
        <w:pStyle w:val="af7"/>
        <w:numPr>
          <w:ilvl w:val="0"/>
          <w:numId w:val="6"/>
        </w:numPr>
        <w:tabs>
          <w:tab w:val="left" w:pos="880"/>
        </w:tabs>
        <w:ind w:left="7" w:firstLine="560"/>
        <w:jc w:val="both"/>
        <w:rPr>
          <w:rFonts w:ascii="Times New Roman" w:hAnsi="Times New Roman"/>
          <w:sz w:val="28"/>
          <w:szCs w:val="28"/>
        </w:rPr>
      </w:pPr>
      <w:r>
        <w:rPr>
          <w:rFonts w:ascii="Times New Roman" w:hAnsi="Times New Roman"/>
          <w:sz w:val="28"/>
          <w:szCs w:val="28"/>
        </w:rPr>
        <w:t>Международной конференции «Онкология Казахстана. Вчера, сегодня, завтра», Алматы, Казахстан, 2021, устный док</w:t>
      </w:r>
      <w:r>
        <w:rPr>
          <w:rFonts w:ascii="Times New Roman" w:hAnsi="Times New Roman"/>
          <w:sz w:val="28"/>
          <w:szCs w:val="28"/>
        </w:rPr>
        <w:t xml:space="preserve">лад;   </w:t>
      </w:r>
    </w:p>
    <w:p w:rsidR="00A75A8D" w:rsidRDefault="008A6A51">
      <w:pPr>
        <w:pStyle w:val="af7"/>
        <w:numPr>
          <w:ilvl w:val="0"/>
          <w:numId w:val="6"/>
        </w:numPr>
        <w:tabs>
          <w:tab w:val="left" w:pos="880"/>
        </w:tabs>
        <w:ind w:left="7" w:firstLine="560"/>
        <w:jc w:val="both"/>
        <w:rPr>
          <w:rFonts w:ascii="Times New Roman" w:hAnsi="Times New Roman"/>
          <w:sz w:val="28"/>
          <w:szCs w:val="28"/>
        </w:rPr>
      </w:pPr>
      <w:r>
        <w:rPr>
          <w:rFonts w:ascii="Times New Roman" w:hAnsi="Times New Roman"/>
          <w:sz w:val="28"/>
          <w:szCs w:val="28"/>
        </w:rPr>
        <w:t xml:space="preserve">Международной конференции «Рак легкого, передовые решения», Алматы, Казахстан, 2021, устный доклад;  </w:t>
      </w:r>
    </w:p>
    <w:p w:rsidR="00A75A8D" w:rsidRDefault="008A6A51">
      <w:pPr>
        <w:pStyle w:val="af7"/>
        <w:numPr>
          <w:ilvl w:val="0"/>
          <w:numId w:val="6"/>
        </w:numPr>
        <w:tabs>
          <w:tab w:val="left" w:pos="880"/>
        </w:tabs>
        <w:ind w:left="7" w:firstLine="560"/>
        <w:jc w:val="both"/>
        <w:rPr>
          <w:rFonts w:ascii="Times New Roman" w:hAnsi="Times New Roman"/>
          <w:sz w:val="28"/>
          <w:szCs w:val="28"/>
        </w:rPr>
      </w:pPr>
      <w:r>
        <w:rPr>
          <w:rFonts w:ascii="Times New Roman" w:hAnsi="Times New Roman"/>
          <w:sz w:val="28"/>
          <w:szCs w:val="28"/>
          <w:lang w:val="en-US"/>
        </w:rPr>
        <w:t>I</w:t>
      </w:r>
      <w:r>
        <w:rPr>
          <w:rFonts w:ascii="Times New Roman" w:hAnsi="Times New Roman"/>
          <w:sz w:val="28"/>
          <w:szCs w:val="28"/>
        </w:rPr>
        <w:t xml:space="preserve"> Международном Конгрессе Ультразвуковой диагностики, Алматы, Казахстан, 2021, устный доклад; </w:t>
      </w:r>
    </w:p>
    <w:p w:rsidR="00A75A8D" w:rsidRDefault="008A6A51">
      <w:pPr>
        <w:pStyle w:val="af7"/>
        <w:numPr>
          <w:ilvl w:val="0"/>
          <w:numId w:val="6"/>
        </w:numPr>
        <w:tabs>
          <w:tab w:val="left" w:pos="880"/>
        </w:tabs>
        <w:ind w:left="7" w:firstLine="560"/>
        <w:jc w:val="both"/>
        <w:rPr>
          <w:rFonts w:ascii="Times New Roman" w:hAnsi="Times New Roman"/>
          <w:sz w:val="28"/>
          <w:szCs w:val="28"/>
        </w:rPr>
      </w:pPr>
      <w:r>
        <w:rPr>
          <w:rFonts w:ascii="Times New Roman" w:hAnsi="Times New Roman"/>
          <w:sz w:val="28"/>
          <w:szCs w:val="28"/>
        </w:rPr>
        <w:t>VIII Съезде Онкологов и Радиологов, Туркестан, Каза</w:t>
      </w:r>
      <w:r>
        <w:rPr>
          <w:rFonts w:ascii="Times New Roman" w:hAnsi="Times New Roman"/>
          <w:sz w:val="28"/>
          <w:szCs w:val="28"/>
        </w:rPr>
        <w:t>хстан, 2021, устный доклад;</w:t>
      </w:r>
    </w:p>
    <w:p w:rsidR="00A75A8D" w:rsidRDefault="008A6A51">
      <w:pPr>
        <w:pStyle w:val="af7"/>
        <w:numPr>
          <w:ilvl w:val="0"/>
          <w:numId w:val="6"/>
        </w:numPr>
        <w:tabs>
          <w:tab w:val="left" w:pos="880"/>
        </w:tabs>
        <w:ind w:left="7" w:firstLine="560"/>
        <w:jc w:val="both"/>
        <w:rPr>
          <w:rFonts w:ascii="Times New Roman" w:hAnsi="Times New Roman"/>
          <w:sz w:val="28"/>
          <w:szCs w:val="28"/>
        </w:rPr>
      </w:pPr>
      <w:r>
        <w:rPr>
          <w:rFonts w:ascii="Times New Roman" w:hAnsi="Times New Roman"/>
          <w:sz w:val="28"/>
          <w:szCs w:val="28"/>
        </w:rPr>
        <w:t>IX Конгрессе Онкологов и Радиологов, Алматы, Казахстана, 2023, устный доклад;</w:t>
      </w:r>
    </w:p>
    <w:p w:rsidR="00A75A8D" w:rsidRDefault="008A6A51">
      <w:pPr>
        <w:pStyle w:val="af7"/>
        <w:numPr>
          <w:ilvl w:val="0"/>
          <w:numId w:val="6"/>
        </w:numPr>
        <w:tabs>
          <w:tab w:val="left" w:pos="880"/>
          <w:tab w:val="left" w:pos="1100"/>
        </w:tabs>
        <w:ind w:left="7" w:firstLine="560"/>
        <w:jc w:val="both"/>
        <w:rPr>
          <w:rFonts w:ascii="Times New Roman" w:hAnsi="Times New Roman"/>
          <w:sz w:val="28"/>
          <w:szCs w:val="28"/>
        </w:rPr>
      </w:pPr>
      <w:r>
        <w:rPr>
          <w:rFonts w:ascii="Times New Roman" w:hAnsi="Times New Roman"/>
          <w:sz w:val="28"/>
          <w:szCs w:val="28"/>
        </w:rPr>
        <w:t>XIV Съезде Онкологов и Радиологов стран СНГ и Евразии, 2024, устный доклад.</w:t>
      </w:r>
    </w:p>
    <w:p w:rsidR="00A75A8D" w:rsidRDefault="008A6A51">
      <w:pPr>
        <w:pStyle w:val="af7"/>
        <w:numPr>
          <w:ilvl w:val="0"/>
          <w:numId w:val="6"/>
        </w:numPr>
        <w:tabs>
          <w:tab w:val="left" w:pos="880"/>
          <w:tab w:val="left" w:pos="1100"/>
        </w:tabs>
        <w:ind w:left="7" w:firstLine="560"/>
        <w:jc w:val="both"/>
        <w:rPr>
          <w:rFonts w:ascii="Times New Roman" w:hAnsi="Times New Roman"/>
          <w:sz w:val="28"/>
          <w:szCs w:val="28"/>
        </w:rPr>
      </w:pPr>
      <w:r>
        <w:rPr>
          <w:rFonts w:ascii="Times New Roman" w:hAnsi="Times New Roman" w:cs="Times New Roman"/>
          <w:sz w:val="28"/>
          <w:szCs w:val="28"/>
        </w:rPr>
        <w:t>На расширенном заседании кафедры «Визуальная диагностика», протокол №13 от</w:t>
      </w:r>
      <w:r>
        <w:rPr>
          <w:rFonts w:ascii="Times New Roman" w:hAnsi="Times New Roman" w:cs="Times New Roman"/>
          <w:sz w:val="28"/>
          <w:szCs w:val="28"/>
        </w:rPr>
        <w:t xml:space="preserve"> 10.06.2024г. </w:t>
      </w:r>
    </w:p>
    <w:p w:rsidR="00A75A8D" w:rsidRDefault="008A6A51">
      <w:pPr>
        <w:pStyle w:val="af7"/>
        <w:ind w:firstLine="567"/>
        <w:jc w:val="both"/>
        <w:rPr>
          <w:rFonts w:ascii="Times New Roman" w:hAnsi="Times New Roman"/>
          <w:b/>
          <w:sz w:val="28"/>
          <w:szCs w:val="28"/>
        </w:rPr>
      </w:pPr>
      <w:r>
        <w:rPr>
          <w:rFonts w:ascii="Times New Roman" w:hAnsi="Times New Roman"/>
          <w:b/>
          <w:sz w:val="28"/>
          <w:szCs w:val="28"/>
        </w:rPr>
        <w:t>Сведения о в</w:t>
      </w:r>
      <w:r>
        <w:rPr>
          <w:rFonts w:ascii="Times New Roman" w:hAnsi="Times New Roman"/>
          <w:b/>
          <w:sz w:val="28"/>
          <w:szCs w:val="28"/>
          <w:lang w:val="kk-KZ"/>
        </w:rPr>
        <w:t>недрени</w:t>
      </w:r>
      <w:r>
        <w:rPr>
          <w:rFonts w:ascii="Times New Roman" w:hAnsi="Times New Roman"/>
          <w:b/>
          <w:sz w:val="28"/>
          <w:szCs w:val="28"/>
        </w:rPr>
        <w:t>и:</w:t>
      </w:r>
    </w:p>
    <w:p w:rsidR="00A75A8D" w:rsidRDefault="008A6A51">
      <w:pPr>
        <w:pStyle w:val="af7"/>
        <w:ind w:firstLine="567"/>
        <w:jc w:val="both"/>
        <w:rPr>
          <w:rFonts w:ascii="Times New Roman" w:hAnsi="Times New Roman"/>
          <w:sz w:val="28"/>
          <w:szCs w:val="28"/>
        </w:rPr>
      </w:pPr>
      <w:r>
        <w:rPr>
          <w:rFonts w:ascii="Times New Roman" w:hAnsi="Times New Roman"/>
          <w:sz w:val="28"/>
          <w:szCs w:val="28"/>
        </w:rPr>
        <w:t>Методические рекомендации «</w:t>
      </w:r>
      <w:r>
        <w:rPr>
          <w:rFonts w:ascii="Times New Roman" w:hAnsi="Times New Roman" w:cs="Times New Roman"/>
          <w:sz w:val="28"/>
          <w:szCs w:val="28"/>
          <w:lang w:eastAsia="zh-CN"/>
        </w:rPr>
        <w:t>Низкодозная компьютерная томография в ранней диагностике рака легкого</w:t>
      </w:r>
      <w:r>
        <w:rPr>
          <w:rFonts w:ascii="Times New Roman" w:hAnsi="Times New Roman"/>
          <w:sz w:val="28"/>
          <w:szCs w:val="28"/>
        </w:rPr>
        <w:t xml:space="preserve">» и методика проведения НДКТ органов грудной клетки внедрены </w:t>
      </w:r>
      <w:r>
        <w:rPr>
          <w:rFonts w:ascii="Times New Roman" w:hAnsi="Times New Roman"/>
          <w:sz w:val="28"/>
          <w:szCs w:val="28"/>
          <w:lang w:val="kk-KZ"/>
        </w:rPr>
        <w:t xml:space="preserve">в клиническую деятельность </w:t>
      </w:r>
      <w:r>
        <w:rPr>
          <w:rFonts w:ascii="Times New Roman" w:hAnsi="Times New Roman"/>
          <w:sz w:val="28"/>
          <w:szCs w:val="28"/>
        </w:rPr>
        <w:t xml:space="preserve">отделения радиологии и ядерной </w:t>
      </w:r>
      <w:r>
        <w:rPr>
          <w:rFonts w:ascii="Times New Roman" w:hAnsi="Times New Roman"/>
          <w:sz w:val="28"/>
          <w:szCs w:val="28"/>
        </w:rPr>
        <w:t>медицины АО «Казахского научно-исследовательского института онкологии и радиологии» г. Алматы,</w:t>
      </w:r>
      <w:r>
        <w:rPr>
          <w:rFonts w:ascii="Times New Roman" w:hAnsi="Times New Roman"/>
          <w:sz w:val="28"/>
          <w:szCs w:val="28"/>
          <w:lang w:val="kk-KZ"/>
        </w:rPr>
        <w:t xml:space="preserve"> </w:t>
      </w:r>
      <w:r>
        <w:rPr>
          <w:rFonts w:ascii="Times New Roman" w:hAnsi="Times New Roman" w:cs="Times New Roman"/>
          <w:bCs/>
          <w:sz w:val="28"/>
          <w:szCs w:val="28"/>
        </w:rPr>
        <w:t>«Многопрофильный центр онкологии и хирургии»</w:t>
      </w:r>
      <w:r>
        <w:rPr>
          <w:rFonts w:ascii="Times New Roman" w:hAnsi="Times New Roman" w:cs="Times New Roman"/>
          <w:sz w:val="28"/>
          <w:szCs w:val="28"/>
        </w:rPr>
        <w:t xml:space="preserve"> </w:t>
      </w:r>
      <w:r>
        <w:rPr>
          <w:rFonts w:ascii="Times New Roman" w:hAnsi="Times New Roman" w:cs="Times New Roman"/>
          <w:bCs/>
          <w:sz w:val="28"/>
          <w:szCs w:val="28"/>
        </w:rPr>
        <w:t>ВКО</w:t>
      </w:r>
      <w:r>
        <w:rPr>
          <w:rFonts w:ascii="Times New Roman" w:hAnsi="Times New Roman" w:cs="Times New Roman"/>
          <w:sz w:val="28"/>
          <w:szCs w:val="28"/>
        </w:rPr>
        <w:t>, «Павлодарский областной онкологический диспансер»</w:t>
      </w:r>
      <w:r>
        <w:rPr>
          <w:rFonts w:ascii="Times New Roman" w:hAnsi="Times New Roman"/>
          <w:sz w:val="28"/>
          <w:szCs w:val="28"/>
        </w:rPr>
        <w:t xml:space="preserve"> и «Костанайская городская онкологическая многопрофильная боль</w:t>
      </w:r>
      <w:r>
        <w:rPr>
          <w:rFonts w:ascii="Times New Roman" w:hAnsi="Times New Roman"/>
          <w:sz w:val="28"/>
          <w:szCs w:val="28"/>
        </w:rPr>
        <w:t>ница»</w:t>
      </w:r>
      <w:r>
        <w:rPr>
          <w:rFonts w:ascii="Times New Roman" w:hAnsi="Times New Roman"/>
          <w:color w:val="FF0000"/>
          <w:sz w:val="28"/>
          <w:szCs w:val="28"/>
        </w:rPr>
        <w:t xml:space="preserve"> </w:t>
      </w:r>
      <w:r>
        <w:rPr>
          <w:rFonts w:ascii="Times New Roman" w:hAnsi="Times New Roman"/>
          <w:sz w:val="28"/>
          <w:szCs w:val="28"/>
        </w:rPr>
        <w:t xml:space="preserve">(приложения А, Б, В, Г). </w:t>
      </w:r>
      <w:r>
        <w:rPr>
          <w:rFonts w:ascii="Times New Roman" w:hAnsi="Times New Roman"/>
          <w:color w:val="FF0000"/>
          <w:sz w:val="28"/>
          <w:szCs w:val="28"/>
        </w:rPr>
        <w:t xml:space="preserve"> </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b/>
          <w:bCs/>
          <w:sz w:val="28"/>
          <w:szCs w:val="28"/>
        </w:rPr>
        <w:t xml:space="preserve">Публикации: </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Автором </w:t>
      </w:r>
      <w:r>
        <w:rPr>
          <w:rFonts w:ascii="Times New Roman" w:hAnsi="Times New Roman" w:cs="Times New Roman"/>
          <w:sz w:val="28"/>
          <w:szCs w:val="28"/>
          <w:shd w:val="clear" w:color="auto" w:fill="FFFFFF"/>
        </w:rPr>
        <w:t>опубликовано всего – 15 научных трудов, из них по теме диссертационной работы - 1</w:t>
      </w:r>
      <w:r>
        <w:rPr>
          <w:rFonts w:ascii="Times New Roman" w:hAnsi="Times New Roman" w:cs="Times New Roman"/>
          <w:sz w:val="28"/>
          <w:szCs w:val="28"/>
          <w:shd w:val="clear" w:color="auto" w:fill="FFFFFF"/>
        </w:rPr>
        <w:t>0</w:t>
      </w:r>
      <w:r>
        <w:rPr>
          <w:rFonts w:ascii="Times New Roman" w:hAnsi="Times New Roman" w:cs="Times New Roman"/>
          <w:sz w:val="28"/>
          <w:szCs w:val="28"/>
          <w:shd w:val="clear" w:color="auto" w:fill="FFFFFF"/>
        </w:rPr>
        <w:t xml:space="preserve"> работ, в Перечне изданий – </w:t>
      </w:r>
      <w:r w:rsidR="00511EAA" w:rsidRPr="00511EAA">
        <w:rPr>
          <w:rFonts w:ascii="Times New Roman" w:hAnsi="Times New Roman" w:cs="Times New Roman"/>
          <w:sz w:val="28"/>
          <w:szCs w:val="28"/>
          <w:shd w:val="clear" w:color="auto" w:fill="FFFFFF"/>
        </w:rPr>
        <w:t>3</w:t>
      </w:r>
      <w:bookmarkStart w:id="4" w:name="_GoBack"/>
      <w:bookmarkEnd w:id="4"/>
      <w:r>
        <w:rPr>
          <w:rFonts w:ascii="Times New Roman" w:hAnsi="Times New Roman" w:cs="Times New Roman"/>
          <w:sz w:val="28"/>
          <w:szCs w:val="28"/>
          <w:shd w:val="clear" w:color="auto" w:fill="FFFFFF"/>
        </w:rPr>
        <w:t xml:space="preserve">, </w:t>
      </w:r>
      <w:r>
        <w:rPr>
          <w:rFonts w:ascii="Times New Roman" w:hAnsi="Times New Roman"/>
          <w:sz w:val="28"/>
          <w:szCs w:val="28"/>
          <w:shd w:val="clear" w:color="auto" w:fill="FFFFFF"/>
        </w:rPr>
        <w:t>международном  рецензируемом научном журнале, имеющий импакт-фактор по данным JCR  (индек</w:t>
      </w:r>
      <w:r>
        <w:rPr>
          <w:rFonts w:ascii="Times New Roman" w:hAnsi="Times New Roman"/>
          <w:sz w:val="28"/>
          <w:szCs w:val="28"/>
          <w:shd w:val="clear" w:color="auto" w:fill="FFFFFF"/>
        </w:rPr>
        <w:t>сируемый в базе данных Web of science Core Collection, science Citation  Index Expanded, показатель процентиля по CiteScore – 66, в базе данных Scopus  – Q2)</w:t>
      </w:r>
      <w:r>
        <w:rPr>
          <w:rFonts w:ascii="Times New Roman" w:hAnsi="Times New Roman" w:cs="Times New Roman"/>
          <w:sz w:val="28"/>
          <w:szCs w:val="28"/>
          <w:shd w:val="clear" w:color="auto" w:fill="FFFFFF"/>
        </w:rPr>
        <w:t xml:space="preserve"> - 1, в материалах международных конференций – 2, методические рекомендации – 1, авторское свидетел</w:t>
      </w:r>
      <w:r>
        <w:rPr>
          <w:rFonts w:ascii="Times New Roman" w:hAnsi="Times New Roman" w:cs="Times New Roman"/>
          <w:sz w:val="28"/>
          <w:szCs w:val="28"/>
          <w:shd w:val="clear" w:color="auto" w:fill="FFFFFF"/>
        </w:rPr>
        <w:t>ьство - 1, в других научных изданиях - 2</w:t>
      </w:r>
      <w:r>
        <w:rPr>
          <w:rFonts w:ascii="Times New Roman" w:hAnsi="Times New Roman" w:cs="Times New Roman"/>
          <w:sz w:val="28"/>
          <w:szCs w:val="28"/>
        </w:rPr>
        <w:t xml:space="preserve">. </w:t>
      </w:r>
    </w:p>
    <w:p w:rsidR="00A75A8D" w:rsidRDefault="008A6A51">
      <w:pPr>
        <w:pStyle w:val="a"/>
        <w:tabs>
          <w:tab w:val="clear" w:pos="1100"/>
          <w:tab w:val="left" w:pos="851"/>
        </w:tabs>
        <w:rPr>
          <w:rFonts w:ascii="Times New Roman" w:hAnsi="Times New Roman" w:cs="Times New Roman"/>
          <w:sz w:val="28"/>
          <w:szCs w:val="28"/>
        </w:rPr>
      </w:pPr>
      <w:r>
        <w:rPr>
          <w:rFonts w:ascii="Times New Roman" w:hAnsi="Times New Roman" w:cs="Times New Roman"/>
          <w:sz w:val="28"/>
          <w:szCs w:val="28"/>
        </w:rPr>
        <w:t>Панина А.С., Жолдыбай Ж.Ж. Мультиспиральная низкодозная компьютерная томография в ранней диагностике рака легкого (литературный обзор)  // Вестник КазНМУ. – 2019. – №4. – С.98–101.</w:t>
      </w:r>
    </w:p>
    <w:p w:rsidR="00A75A8D" w:rsidRDefault="008A6A51">
      <w:pPr>
        <w:pStyle w:val="a"/>
        <w:tabs>
          <w:tab w:val="clear" w:pos="1100"/>
          <w:tab w:val="left" w:pos="851"/>
        </w:tabs>
        <w:rPr>
          <w:rFonts w:ascii="Times New Roman" w:hAnsi="Times New Roman" w:cs="Times New Roman"/>
          <w:sz w:val="28"/>
          <w:szCs w:val="28"/>
        </w:rPr>
      </w:pPr>
      <w:r>
        <w:rPr>
          <w:rFonts w:ascii="Times New Roman" w:hAnsi="Times New Roman" w:cs="Times New Roman"/>
          <w:sz w:val="28"/>
          <w:szCs w:val="28"/>
        </w:rPr>
        <w:t>Кайдарова Д.Р., Шатковская О.В.,</w:t>
      </w:r>
      <w:r>
        <w:rPr>
          <w:rFonts w:ascii="Times New Roman" w:hAnsi="Times New Roman" w:cs="Times New Roman"/>
          <w:sz w:val="28"/>
          <w:szCs w:val="28"/>
        </w:rPr>
        <w:t xml:space="preserve"> Жолдыбай Ж.Ж., Жылқайдарова А.Ж., Панина А.С. Рак легких в Республике Казахстан: половозрастные особенности //Онкология и радиология Казахстана. – 2020. – №1 (55). – С.4–10.</w:t>
      </w:r>
    </w:p>
    <w:p w:rsidR="00A75A8D" w:rsidRDefault="008A6A51">
      <w:pPr>
        <w:pStyle w:val="af7"/>
        <w:numPr>
          <w:ilvl w:val="0"/>
          <w:numId w:val="2"/>
        </w:numPr>
        <w:tabs>
          <w:tab w:val="left" w:pos="851"/>
          <w:tab w:val="left" w:pos="1100"/>
        </w:tabs>
        <w:ind w:left="0" w:firstLine="567"/>
        <w:jc w:val="both"/>
        <w:rPr>
          <w:rFonts w:ascii="Times New Roman" w:hAnsi="Times New Roman" w:cs="Times New Roman"/>
          <w:sz w:val="28"/>
          <w:szCs w:val="28"/>
        </w:rPr>
      </w:pPr>
      <w:r>
        <w:rPr>
          <w:rFonts w:ascii="Times New Roman" w:hAnsi="Times New Roman" w:cs="Times New Roman"/>
          <w:sz w:val="28"/>
          <w:szCs w:val="28"/>
          <w:lang w:eastAsia="zh-CN"/>
        </w:rPr>
        <w:t>Панина А.С., Жолдыбай Ж.Ж., Туркинбаев Е.К., Сейсенбаев Т.Н., Тусупова А.У., Мұха</w:t>
      </w:r>
      <w:r>
        <w:rPr>
          <w:rFonts w:ascii="Times New Roman" w:hAnsi="Times New Roman" w:cs="Times New Roman"/>
          <w:sz w:val="28"/>
          <w:szCs w:val="28"/>
          <w:lang w:eastAsia="zh-CN"/>
        </w:rPr>
        <w:t>меджан А.А. Характеристика узловых образований Lung-RADS 4а и 4в категорий, обнаруженных при скрининге рака легкого с применением низкодозной компьютерной томографии //Онкология и радиология Казахстана. – 2022. – №2 (64). – С.19–23.</w:t>
      </w:r>
    </w:p>
    <w:p w:rsidR="00A75A8D" w:rsidRDefault="008A6A51">
      <w:pPr>
        <w:pStyle w:val="af7"/>
        <w:numPr>
          <w:ilvl w:val="0"/>
          <w:numId w:val="2"/>
        </w:numPr>
        <w:tabs>
          <w:tab w:val="left" w:pos="851"/>
          <w:tab w:val="left" w:pos="1100"/>
        </w:tabs>
        <w:ind w:left="0" w:firstLine="567"/>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Panina A., Kaidarova D.</w:t>
      </w:r>
      <w:r>
        <w:rPr>
          <w:rFonts w:ascii="Times New Roman" w:hAnsi="Times New Roman" w:cs="Times New Roman"/>
          <w:sz w:val="28"/>
          <w:szCs w:val="28"/>
          <w:lang w:val="en-US"/>
        </w:rPr>
        <w:t>, Zholdybay Zh. et al. Lung Cancer Screening With Low-dose Chest Computed Tomography: Experience From Radon-contaminated Regions in Kazakhstan. //J Prev Med Public Health. - №3 (</w:t>
      </w:r>
      <w:hyperlink r:id="rId7" w:history="1">
        <w:r>
          <w:rPr>
            <w:rFonts w:ascii="Times New Roman" w:hAnsi="Times New Roman" w:cs="Times New Roman"/>
            <w:sz w:val="28"/>
            <w:szCs w:val="28"/>
            <w:lang w:val="en-US"/>
          </w:rPr>
          <w:t>55)</w:t>
        </w:r>
      </w:hyperlink>
      <w:r>
        <w:rPr>
          <w:rFonts w:ascii="Times New Roman" w:hAnsi="Times New Roman" w:cs="Times New Roman"/>
          <w:sz w:val="28"/>
          <w:szCs w:val="28"/>
          <w:lang w:val="en-US"/>
        </w:rPr>
        <w:t>, 20</w:t>
      </w:r>
      <w:r>
        <w:rPr>
          <w:rFonts w:ascii="Times New Roman" w:hAnsi="Times New Roman" w:cs="Times New Roman"/>
          <w:sz w:val="28"/>
          <w:szCs w:val="28"/>
          <w:lang w:val="en-US"/>
        </w:rPr>
        <w:t xml:space="preserve">22. – </w:t>
      </w:r>
      <w:r>
        <w:rPr>
          <w:rFonts w:ascii="Times New Roman" w:hAnsi="Times New Roman" w:cs="Times New Roman"/>
          <w:sz w:val="28"/>
          <w:szCs w:val="28"/>
        </w:rPr>
        <w:t>Р</w:t>
      </w:r>
      <w:r>
        <w:rPr>
          <w:rFonts w:ascii="Times New Roman" w:hAnsi="Times New Roman" w:cs="Times New Roman"/>
          <w:sz w:val="28"/>
          <w:szCs w:val="28"/>
          <w:lang w:val="en-US"/>
        </w:rPr>
        <w:t>. 273-279.</w:t>
      </w:r>
    </w:p>
    <w:p w:rsidR="00A75A8D" w:rsidRDefault="008A6A51">
      <w:pPr>
        <w:pStyle w:val="af7"/>
        <w:numPr>
          <w:ilvl w:val="0"/>
          <w:numId w:val="2"/>
        </w:numPr>
        <w:tabs>
          <w:tab w:val="left" w:pos="851"/>
          <w:tab w:val="left" w:pos="1100"/>
        </w:tabs>
        <w:ind w:left="0" w:firstLine="567"/>
        <w:jc w:val="both"/>
        <w:rPr>
          <w:rFonts w:ascii="Times New Roman" w:hAnsi="Times New Roman" w:cs="Times New Roman"/>
          <w:sz w:val="28"/>
          <w:szCs w:val="28"/>
        </w:rPr>
      </w:pPr>
      <w:r>
        <w:rPr>
          <w:rFonts w:ascii="Times New Roman" w:hAnsi="Times New Roman" w:cs="Times New Roman"/>
          <w:sz w:val="28"/>
          <w:szCs w:val="28"/>
          <w:lang w:val="en-US"/>
        </w:rPr>
        <w:t xml:space="preserve">Panina A.S., </w:t>
      </w:r>
      <w:r>
        <w:rPr>
          <w:rFonts w:ascii="Times New Roman" w:hAnsi="Times New Roman" w:cs="Times New Roman"/>
          <w:sz w:val="28"/>
          <w:szCs w:val="28"/>
          <w:lang w:val="kk-KZ"/>
        </w:rPr>
        <w:t>Zholdybay</w:t>
      </w:r>
      <w:r>
        <w:rPr>
          <w:rFonts w:ascii="Times New Roman" w:hAnsi="Times New Roman" w:cs="Times New Roman"/>
          <w:sz w:val="28"/>
          <w:szCs w:val="28"/>
          <w:lang w:val="en-US"/>
        </w:rPr>
        <w:t xml:space="preserve"> </w:t>
      </w:r>
      <w:r>
        <w:rPr>
          <w:rFonts w:ascii="Times New Roman" w:hAnsi="Times New Roman" w:cs="Times New Roman"/>
          <w:sz w:val="28"/>
          <w:szCs w:val="28"/>
          <w:lang w:val="kk-KZ"/>
        </w:rPr>
        <w:t>Z</w:t>
      </w:r>
      <w:r>
        <w:rPr>
          <w:rFonts w:ascii="Times New Roman" w:hAnsi="Times New Roman" w:cs="Times New Roman"/>
          <w:sz w:val="28"/>
          <w:szCs w:val="28"/>
          <w:lang w:val="en-US"/>
        </w:rPr>
        <w:t>h</w:t>
      </w:r>
      <w:r>
        <w:rPr>
          <w:rFonts w:ascii="Times New Roman" w:hAnsi="Times New Roman" w:cs="Times New Roman"/>
          <w:sz w:val="28"/>
          <w:szCs w:val="28"/>
          <w:lang w:val="kk-KZ"/>
        </w:rPr>
        <w:t>.</w:t>
      </w:r>
      <w:r>
        <w:rPr>
          <w:rFonts w:ascii="Times New Roman" w:hAnsi="Times New Roman" w:cs="Times New Roman"/>
          <w:sz w:val="28"/>
          <w:szCs w:val="28"/>
          <w:lang w:val="en-US"/>
        </w:rPr>
        <w:t>Zh.</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Akhmetova G.S., Akhmetova G.R., Ainakulova A.S. Lung cancer screening with low dose computed tomography: the republic of Kazakhstan experience (</w:t>
      </w:r>
      <w:r>
        <w:rPr>
          <w:rFonts w:ascii="Times New Roman" w:hAnsi="Times New Roman" w:cs="Times New Roman"/>
          <w:sz w:val="28"/>
          <w:szCs w:val="28"/>
        </w:rPr>
        <w:t>тезис</w:t>
      </w:r>
      <w:r>
        <w:rPr>
          <w:rFonts w:ascii="Times New Roman" w:hAnsi="Times New Roman" w:cs="Times New Roman"/>
          <w:sz w:val="28"/>
          <w:szCs w:val="28"/>
          <w:lang w:val="en-US"/>
        </w:rPr>
        <w:t>) Abstract book of the European Congress of Radiology is a</w:t>
      </w:r>
      <w:r>
        <w:rPr>
          <w:rFonts w:ascii="Times New Roman" w:hAnsi="Times New Roman" w:cs="Times New Roman"/>
          <w:sz w:val="28"/>
          <w:szCs w:val="28"/>
          <w:lang w:val="en-US"/>
        </w:rPr>
        <w:t xml:space="preserve"> supplement to Insight into Imaging, 2019. </w:t>
      </w:r>
      <w:r>
        <w:rPr>
          <w:rFonts w:ascii="Times New Roman" w:hAnsi="Times New Roman" w:cs="Times New Roman"/>
          <w:sz w:val="28"/>
          <w:szCs w:val="28"/>
        </w:rPr>
        <w:t>Vienna, Austria,</w:t>
      </w:r>
      <w:r>
        <w:rPr>
          <w:rFonts w:ascii="Times New Roman" w:hAnsi="Times New Roman" w:cs="Times New Roman"/>
          <w:sz w:val="28"/>
          <w:szCs w:val="28"/>
          <w:lang w:val="en-US"/>
        </w:rPr>
        <w:t>P</w:t>
      </w:r>
      <w:r>
        <w:rPr>
          <w:rFonts w:ascii="Times New Roman" w:hAnsi="Times New Roman" w:cs="Times New Roman"/>
          <w:sz w:val="28"/>
          <w:szCs w:val="28"/>
        </w:rPr>
        <w:t xml:space="preserve"> -403</w:t>
      </w:r>
      <w:r>
        <w:rPr>
          <w:rFonts w:ascii="Times New Roman" w:hAnsi="Times New Roman" w:cs="Times New Roman"/>
          <w:sz w:val="28"/>
          <w:szCs w:val="28"/>
          <w:lang w:val="en-US"/>
        </w:rPr>
        <w:t>.</w:t>
      </w:r>
    </w:p>
    <w:p w:rsidR="00A75A8D" w:rsidRDefault="008A6A51">
      <w:pPr>
        <w:pStyle w:val="af7"/>
        <w:numPr>
          <w:ilvl w:val="0"/>
          <w:numId w:val="2"/>
        </w:numPr>
        <w:tabs>
          <w:tab w:val="left" w:pos="851"/>
          <w:tab w:val="left" w:pos="1100"/>
        </w:tabs>
        <w:ind w:left="0" w:firstLine="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Panina A.S., </w:t>
      </w:r>
      <w:r>
        <w:rPr>
          <w:rFonts w:ascii="Times New Roman" w:hAnsi="Times New Roman" w:cs="Times New Roman"/>
          <w:sz w:val="28"/>
          <w:szCs w:val="28"/>
          <w:lang w:val="kk-KZ"/>
        </w:rPr>
        <w:t>Zholdybay</w:t>
      </w:r>
      <w:r>
        <w:rPr>
          <w:rFonts w:ascii="Times New Roman" w:hAnsi="Times New Roman" w:cs="Times New Roman"/>
          <w:sz w:val="28"/>
          <w:szCs w:val="28"/>
          <w:lang w:val="en-US"/>
        </w:rPr>
        <w:t xml:space="preserve"> </w:t>
      </w:r>
      <w:r>
        <w:rPr>
          <w:rFonts w:ascii="Times New Roman" w:hAnsi="Times New Roman" w:cs="Times New Roman"/>
          <w:sz w:val="28"/>
          <w:szCs w:val="28"/>
          <w:lang w:val="kk-KZ"/>
        </w:rPr>
        <w:t>Z</w:t>
      </w:r>
      <w:r>
        <w:rPr>
          <w:rFonts w:ascii="Times New Roman" w:hAnsi="Times New Roman" w:cs="Times New Roman"/>
          <w:sz w:val="28"/>
          <w:szCs w:val="28"/>
          <w:lang w:val="en-US"/>
        </w:rPr>
        <w:t>h</w:t>
      </w:r>
      <w:r>
        <w:rPr>
          <w:rFonts w:ascii="Times New Roman" w:hAnsi="Times New Roman" w:cs="Times New Roman"/>
          <w:sz w:val="28"/>
          <w:szCs w:val="28"/>
          <w:lang w:val="kk-KZ"/>
        </w:rPr>
        <w:t>.</w:t>
      </w:r>
      <w:r>
        <w:rPr>
          <w:rFonts w:ascii="Times New Roman" w:hAnsi="Times New Roman" w:cs="Times New Roman"/>
          <w:sz w:val="28"/>
          <w:szCs w:val="28"/>
          <w:lang w:val="en-US"/>
        </w:rPr>
        <w:t>Zh.</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Kaidarova D.R., Shatkovskaya O.V., Zhylkaidarova A.Zh., Toktassynkyzy M. Feasibility of implementing LDCT in lung cancer screening in the Republic of Kazakhst</w:t>
      </w:r>
      <w:r>
        <w:rPr>
          <w:rFonts w:ascii="Times New Roman" w:hAnsi="Times New Roman" w:cs="Times New Roman"/>
          <w:sz w:val="28"/>
          <w:szCs w:val="28"/>
          <w:lang w:val="en-US"/>
        </w:rPr>
        <w:t>an (</w:t>
      </w:r>
      <w:r>
        <w:rPr>
          <w:rFonts w:ascii="Times New Roman" w:hAnsi="Times New Roman" w:cs="Times New Roman"/>
          <w:sz w:val="28"/>
          <w:szCs w:val="28"/>
        </w:rPr>
        <w:t>тезис</w:t>
      </w:r>
      <w:r>
        <w:rPr>
          <w:rFonts w:ascii="Times New Roman" w:hAnsi="Times New Roman" w:cs="Times New Roman"/>
          <w:sz w:val="28"/>
          <w:szCs w:val="28"/>
          <w:lang w:val="en-US"/>
        </w:rPr>
        <w:t>). Abstract book of the 76th Korean Congress of Radiology and Annual Delegate Meeting of the Korean Society of Radiology, 2020, Seoul, Korea, P - 414.</w:t>
      </w:r>
    </w:p>
    <w:p w:rsidR="00A75A8D" w:rsidRDefault="008A6A51">
      <w:pPr>
        <w:pStyle w:val="af7"/>
        <w:numPr>
          <w:ilvl w:val="0"/>
          <w:numId w:val="2"/>
        </w:numPr>
        <w:tabs>
          <w:tab w:val="left" w:pos="851"/>
          <w:tab w:val="left" w:pos="1100"/>
        </w:tabs>
        <w:ind w:left="0" w:firstLine="567"/>
        <w:jc w:val="both"/>
        <w:rPr>
          <w:rFonts w:ascii="Times New Roman" w:hAnsi="Times New Roman" w:cs="Times New Roman"/>
          <w:sz w:val="28"/>
          <w:szCs w:val="28"/>
        </w:rPr>
      </w:pPr>
      <w:r>
        <w:rPr>
          <w:rFonts w:ascii="Times New Roman" w:hAnsi="Times New Roman" w:cs="Times New Roman"/>
          <w:sz w:val="28"/>
          <w:szCs w:val="28"/>
        </w:rPr>
        <w:t xml:space="preserve">Кайдарова Д.Р., Панина А.С., Жолдыбай Ж.Ж. </w:t>
      </w:r>
      <w:r>
        <w:rPr>
          <w:rFonts w:ascii="Times New Roman" w:hAnsi="Times New Roman" w:cs="Times New Roman"/>
          <w:sz w:val="28"/>
          <w:szCs w:val="28"/>
          <w:lang w:eastAsia="zh-CN"/>
        </w:rPr>
        <w:t>Методические рекомендации. Низкодозная компьютерная т</w:t>
      </w:r>
      <w:r>
        <w:rPr>
          <w:rFonts w:ascii="Times New Roman" w:hAnsi="Times New Roman" w:cs="Times New Roman"/>
          <w:sz w:val="28"/>
          <w:szCs w:val="28"/>
          <w:lang w:eastAsia="zh-CN"/>
        </w:rPr>
        <w:t>омография в ранней диагностике рака легкого. Алматы. КазНИИОиР, КазНМУ им. С.Д. Асфендиярова, 2021. - 44с.</w:t>
      </w:r>
    </w:p>
    <w:p w:rsidR="00A75A8D" w:rsidRDefault="008A6A51">
      <w:pPr>
        <w:pStyle w:val="af7"/>
        <w:numPr>
          <w:ilvl w:val="0"/>
          <w:numId w:val="2"/>
        </w:numPr>
        <w:tabs>
          <w:tab w:val="left" w:pos="851"/>
          <w:tab w:val="left" w:pos="1100"/>
        </w:tabs>
        <w:ind w:left="0" w:firstLine="567"/>
        <w:jc w:val="both"/>
        <w:rPr>
          <w:rFonts w:ascii="Times New Roman" w:hAnsi="Times New Roman" w:cs="Times New Roman"/>
          <w:sz w:val="28"/>
          <w:szCs w:val="28"/>
        </w:rPr>
      </w:pPr>
      <w:r>
        <w:rPr>
          <w:rFonts w:ascii="Times New Roman" w:hAnsi="Times New Roman" w:cs="Times New Roman"/>
          <w:sz w:val="28"/>
          <w:szCs w:val="28"/>
          <w:lang w:eastAsia="zh-CN"/>
        </w:rPr>
        <w:t>Авторское свидетельство №49608. Оптимизированный протокол интерпретации низкодозных компьютерно-томографических изображений с применением искусственн</w:t>
      </w:r>
      <w:r>
        <w:rPr>
          <w:rFonts w:ascii="Times New Roman" w:hAnsi="Times New Roman" w:cs="Times New Roman"/>
          <w:sz w:val="28"/>
          <w:szCs w:val="28"/>
          <w:lang w:eastAsia="zh-CN"/>
        </w:rPr>
        <w:t xml:space="preserve">ого интеллекта на основе глубокого обучения (DL-CAD) // </w:t>
      </w:r>
      <w:r>
        <w:rPr>
          <w:rFonts w:ascii="Times New Roman" w:hAnsi="Times New Roman" w:cs="Times New Roman"/>
          <w:sz w:val="28"/>
          <w:szCs w:val="28"/>
        </w:rPr>
        <w:t>Панина А.С., Кайдарова Д.Р., Жолдыбай Ж.Ж. опубл. 12.09.2024.</w:t>
      </w:r>
    </w:p>
    <w:p w:rsidR="00A75A8D" w:rsidRDefault="008A6A51">
      <w:pPr>
        <w:pStyle w:val="af7"/>
        <w:numPr>
          <w:ilvl w:val="0"/>
          <w:numId w:val="2"/>
        </w:numPr>
        <w:tabs>
          <w:tab w:val="left" w:pos="851"/>
          <w:tab w:val="left" w:pos="1100"/>
        </w:tabs>
        <w:ind w:left="0" w:firstLine="567"/>
        <w:jc w:val="both"/>
        <w:rPr>
          <w:rFonts w:ascii="Times New Roman" w:hAnsi="Times New Roman" w:cs="Times New Roman"/>
          <w:sz w:val="28"/>
          <w:szCs w:val="28"/>
        </w:rPr>
      </w:pPr>
      <w:r>
        <w:rPr>
          <w:rFonts w:ascii="Times New Roman" w:hAnsi="Times New Roman" w:cs="Times New Roman"/>
          <w:sz w:val="28"/>
          <w:szCs w:val="28"/>
        </w:rPr>
        <w:t>Кайдарова Д.Р., Сагидуллина Г.Г., Жолдыбай Ж.Ж., Панина А.С., Айнакулова А.С., Токтасынкызы М. Низкодозная компьютерная томография в ранне</w:t>
      </w:r>
      <w:r>
        <w:rPr>
          <w:rFonts w:ascii="Times New Roman" w:hAnsi="Times New Roman" w:cs="Times New Roman"/>
          <w:sz w:val="28"/>
          <w:szCs w:val="28"/>
        </w:rPr>
        <w:t>й диагностике рака легких: пилотный проект //Онкология и радиология Казахстана. – 2019. – №1 (51). – С.18–19.</w:t>
      </w:r>
    </w:p>
    <w:p w:rsidR="00A75A8D" w:rsidRDefault="008A6A51">
      <w:pPr>
        <w:pStyle w:val="af7"/>
        <w:numPr>
          <w:ilvl w:val="0"/>
          <w:numId w:val="2"/>
        </w:numPr>
        <w:tabs>
          <w:tab w:val="left" w:pos="851"/>
          <w:tab w:val="left" w:pos="1100"/>
        </w:tabs>
        <w:ind w:left="0" w:firstLine="567"/>
        <w:jc w:val="both"/>
        <w:rPr>
          <w:rFonts w:ascii="Times New Roman" w:hAnsi="Times New Roman" w:cs="Times New Roman"/>
          <w:sz w:val="28"/>
          <w:szCs w:val="28"/>
        </w:rPr>
      </w:pPr>
      <w:r>
        <w:rPr>
          <w:rFonts w:ascii="Times New Roman" w:hAnsi="Times New Roman" w:cs="Times New Roman"/>
          <w:sz w:val="28"/>
          <w:szCs w:val="28"/>
        </w:rPr>
        <w:t>Kaidarova D.R., Shatkovskaya O.V., Zholdybay Zh.Zh., Panina A.S. Lung cancer epidemiology in the Republic of Kazakhstan //Онкология и радиология К</w:t>
      </w:r>
      <w:r>
        <w:rPr>
          <w:rFonts w:ascii="Times New Roman" w:hAnsi="Times New Roman" w:cs="Times New Roman"/>
          <w:sz w:val="28"/>
          <w:szCs w:val="28"/>
        </w:rPr>
        <w:t>азахстана. – 2019. – №2 (52). – С.10–16.</w:t>
      </w:r>
    </w:p>
    <w:p w:rsidR="00A75A8D" w:rsidRDefault="008A6A51">
      <w:pPr>
        <w:spacing w:after="0" w:line="240" w:lineRule="auto"/>
        <w:ind w:firstLine="567"/>
        <w:jc w:val="both"/>
        <w:rPr>
          <w:rFonts w:ascii="Times New Roman" w:hAnsi="Times New Roman"/>
          <w:b/>
          <w:bCs/>
          <w:sz w:val="28"/>
          <w:szCs w:val="28"/>
        </w:rPr>
      </w:pPr>
      <w:r>
        <w:rPr>
          <w:rFonts w:ascii="Times New Roman" w:hAnsi="Times New Roman"/>
          <w:b/>
          <w:bCs/>
          <w:sz w:val="28"/>
          <w:szCs w:val="28"/>
        </w:rPr>
        <w:t>Объем и структура диссертации</w:t>
      </w:r>
    </w:p>
    <w:p w:rsidR="00A75A8D" w:rsidRDefault="008A6A51">
      <w:pPr>
        <w:spacing w:after="0" w:line="240" w:lineRule="auto"/>
        <w:ind w:firstLineChars="201" w:firstLine="563"/>
        <w:jc w:val="both"/>
        <w:rPr>
          <w:rFonts w:ascii="Times New Roman" w:hAnsi="Times New Roman"/>
          <w:sz w:val="28"/>
          <w:szCs w:val="28"/>
        </w:rPr>
      </w:pPr>
      <w:r>
        <w:rPr>
          <w:rFonts w:ascii="Times New Roman" w:hAnsi="Times New Roman"/>
          <w:sz w:val="28"/>
          <w:szCs w:val="28"/>
        </w:rPr>
        <w:t>Диссертационная работа изложена на 10</w:t>
      </w:r>
      <w:r>
        <w:rPr>
          <w:rFonts w:ascii="Times New Roman" w:hAnsi="Times New Roman"/>
          <w:sz w:val="28"/>
          <w:szCs w:val="28"/>
        </w:rPr>
        <w:t>9</w:t>
      </w:r>
      <w:r>
        <w:rPr>
          <w:rFonts w:ascii="Times New Roman" w:hAnsi="Times New Roman"/>
          <w:sz w:val="28"/>
          <w:szCs w:val="28"/>
        </w:rPr>
        <w:t xml:space="preserve"> страницах компьютерного текста, состоит из </w:t>
      </w:r>
      <w:r>
        <w:rPr>
          <w:rFonts w:ascii="Times New Roman" w:hAnsi="Times New Roman" w:cs="Times New Roman"/>
          <w:sz w:val="28"/>
          <w:szCs w:val="28"/>
        </w:rPr>
        <w:t>введения</w:t>
      </w:r>
      <w:r>
        <w:rPr>
          <w:rFonts w:ascii="Times New Roman" w:hAnsi="Times New Roman"/>
          <w:sz w:val="28"/>
          <w:szCs w:val="28"/>
        </w:rPr>
        <w:t xml:space="preserve">, обзора литературы, описания материала и методов исследования, собственных результатов исследования, обсуждения результатов, выводов, практических рекомендаций, списка литературы, приложений. </w:t>
      </w:r>
    </w:p>
    <w:p w:rsidR="00A75A8D" w:rsidRDefault="008A6A51">
      <w:pPr>
        <w:spacing w:after="0" w:line="240" w:lineRule="auto"/>
        <w:ind w:firstLineChars="201" w:firstLine="563"/>
        <w:jc w:val="both"/>
        <w:rPr>
          <w:rFonts w:ascii="Times New Roman" w:hAnsi="Times New Roman" w:cs="Times New Roman"/>
          <w:color w:val="C00000"/>
          <w:sz w:val="28"/>
          <w:szCs w:val="28"/>
        </w:rPr>
      </w:pPr>
      <w:r>
        <w:rPr>
          <w:rFonts w:ascii="Times New Roman" w:hAnsi="Times New Roman"/>
          <w:sz w:val="28"/>
          <w:szCs w:val="28"/>
        </w:rPr>
        <w:t>Работа иллюстрирована 22 рисунками и 16 таблицами.</w:t>
      </w:r>
      <w:r>
        <w:rPr>
          <w:rFonts w:ascii="Times New Roman" w:hAnsi="Times New Roman" w:cs="Times New Roman"/>
          <w:color w:val="C00000"/>
          <w:sz w:val="28"/>
          <w:szCs w:val="28"/>
        </w:rPr>
        <w:br w:type="page"/>
      </w:r>
    </w:p>
    <w:p w:rsidR="00A75A8D" w:rsidRDefault="008A6A51">
      <w:pPr>
        <w:pStyle w:val="1"/>
        <w:numPr>
          <w:ilvl w:val="0"/>
          <w:numId w:val="0"/>
        </w:numPr>
        <w:spacing w:before="0" w:line="240" w:lineRule="auto"/>
        <w:jc w:val="center"/>
        <w:rPr>
          <w:rFonts w:ascii="Times New Roman" w:hAnsi="Times New Roman" w:cs="Times New Roman"/>
          <w:b/>
          <w:color w:val="auto"/>
          <w:sz w:val="28"/>
          <w:szCs w:val="28"/>
        </w:rPr>
      </w:pPr>
      <w:bookmarkStart w:id="5" w:name="_Toc186925724"/>
      <w:r>
        <w:rPr>
          <w:rFonts w:ascii="Times New Roman" w:hAnsi="Times New Roman" w:cs="Times New Roman"/>
          <w:b/>
          <w:color w:val="auto"/>
          <w:sz w:val="28"/>
          <w:szCs w:val="28"/>
        </w:rPr>
        <w:lastRenderedPageBreak/>
        <w:t>1 АКТУАЛЬН</w:t>
      </w:r>
      <w:r>
        <w:rPr>
          <w:rFonts w:ascii="Times New Roman" w:hAnsi="Times New Roman" w:cs="Times New Roman"/>
          <w:b/>
          <w:color w:val="auto"/>
          <w:sz w:val="28"/>
          <w:szCs w:val="28"/>
        </w:rPr>
        <w:t>ОСТЬ ПРОБЛЕМЫ РАННЕЙ ДИАГНОСТИКИ РАКА ЛЕГКОГО (ОБЗОР ЛИТЕРАТУРЫ)</w:t>
      </w:r>
      <w:bookmarkEnd w:id="5"/>
    </w:p>
    <w:p w:rsidR="00A75A8D" w:rsidRDefault="00A75A8D">
      <w:pPr>
        <w:pStyle w:val="af4"/>
        <w:spacing w:after="0" w:line="240" w:lineRule="auto"/>
        <w:ind w:firstLine="567"/>
        <w:jc w:val="left"/>
        <w:rPr>
          <w:rFonts w:ascii="Times New Roman" w:hAnsi="Times New Roman"/>
          <w:b/>
          <w:sz w:val="28"/>
        </w:rPr>
      </w:pPr>
    </w:p>
    <w:p w:rsidR="00A75A8D" w:rsidRDefault="008A6A51">
      <w:pPr>
        <w:pStyle w:val="af4"/>
        <w:spacing w:after="0" w:line="240" w:lineRule="auto"/>
        <w:ind w:firstLine="567"/>
        <w:jc w:val="left"/>
        <w:rPr>
          <w:rFonts w:ascii="Times New Roman" w:hAnsi="Times New Roman"/>
          <w:b/>
          <w:sz w:val="28"/>
        </w:rPr>
      </w:pPr>
      <w:bookmarkStart w:id="6" w:name="_Toc186925725"/>
      <w:r>
        <w:rPr>
          <w:rFonts w:ascii="Times New Roman" w:hAnsi="Times New Roman"/>
          <w:b/>
          <w:sz w:val="28"/>
        </w:rPr>
        <w:t>1.1 Эпидемиология рака легкого</w:t>
      </w:r>
      <w:bookmarkEnd w:id="6"/>
    </w:p>
    <w:p w:rsidR="00A75A8D" w:rsidRDefault="008A6A51">
      <w:pPr>
        <w:spacing w:after="0" w:line="240" w:lineRule="auto"/>
        <w:ind w:firstLineChars="201" w:firstLine="563"/>
        <w:contextualSpacing/>
        <w:jc w:val="both"/>
        <w:rPr>
          <w:rFonts w:ascii="Times New Roman" w:hAnsi="Times New Roman" w:cs="Times New Roman"/>
          <w:sz w:val="28"/>
          <w:szCs w:val="28"/>
        </w:rPr>
      </w:pPr>
      <w:r>
        <w:rPr>
          <w:rFonts w:ascii="Times New Roman" w:hAnsi="Times New Roman" w:cs="Times New Roman"/>
          <w:sz w:val="28"/>
          <w:szCs w:val="28"/>
        </w:rPr>
        <w:t>Во всем мире рак легкого является самой распространенной причиной смерти в структуре онкопатологии [25]. В мире от рака легкого умирает больше людей, чем от ра</w:t>
      </w:r>
      <w:r>
        <w:rPr>
          <w:rFonts w:ascii="Times New Roman" w:hAnsi="Times New Roman" w:cs="Times New Roman"/>
          <w:sz w:val="28"/>
          <w:szCs w:val="28"/>
        </w:rPr>
        <w:t xml:space="preserve">ка толстой кишки, молочной железы и простаты вместе взятых [26]. По данным </w:t>
      </w:r>
      <w:r>
        <w:rPr>
          <w:rFonts w:ascii="Times New Roman" w:hAnsi="Times New Roman" w:cs="Times New Roman"/>
          <w:sz w:val="28"/>
          <w:szCs w:val="28"/>
          <w:lang w:val="en-US"/>
        </w:rPr>
        <w:t>GLOBOCAN</w:t>
      </w:r>
      <w:r>
        <w:rPr>
          <w:rFonts w:ascii="Times New Roman" w:hAnsi="Times New Roman" w:cs="Times New Roman"/>
          <w:sz w:val="28"/>
          <w:szCs w:val="28"/>
        </w:rPr>
        <w:t xml:space="preserve"> за 2022 год было выявлено 2,4 млн новых случаев и 1,8 млн летальных исходов от рака легкого, что составило 12,4% и 18,7% соответственно [1, р.219]. </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Рак легкого является ве</w:t>
      </w:r>
      <w:r>
        <w:rPr>
          <w:rFonts w:ascii="Times New Roman" w:hAnsi="Times New Roman" w:cs="Times New Roman"/>
          <w:sz w:val="28"/>
          <w:szCs w:val="28"/>
        </w:rPr>
        <w:t>дущей причиной онкологической заболеваемости и смертности у мужчин, тогда как у женщин он занимает третье место по заболеваемости после рака молочной железы и колоректального рака и второе место по смертности после рака молочной железы. В мире показатели з</w:t>
      </w:r>
      <w:r>
        <w:rPr>
          <w:rFonts w:ascii="Times New Roman" w:hAnsi="Times New Roman" w:cs="Times New Roman"/>
          <w:sz w:val="28"/>
          <w:szCs w:val="28"/>
        </w:rPr>
        <w:t xml:space="preserve">аболеваемости и смертности примерно в 2 раза выше у мужчин, чем у женщин [27-29]. Однако, в разрезе отдельных стран, данные показатели могут разнится. Самые высокие показатели заболеваемости раком легкого среди мужчин зафиксировано в Микронезии/Полинезии, </w:t>
      </w:r>
      <w:r>
        <w:rPr>
          <w:rFonts w:ascii="Times New Roman" w:hAnsi="Times New Roman" w:cs="Times New Roman"/>
          <w:sz w:val="28"/>
          <w:szCs w:val="28"/>
        </w:rPr>
        <w:t>Центральной и Восточной Европе и Восточной Азии с самым высоким показателем в Турции (41,7 на 100 000). Низкие показатели заболеваемости наблюдаются в Африке, как в южных, так и в северных регионах. Самые высокие показатели заболеваемости среди женщин отме</w:t>
      </w:r>
      <w:r>
        <w:rPr>
          <w:rFonts w:ascii="Times New Roman" w:hAnsi="Times New Roman" w:cs="Times New Roman"/>
          <w:sz w:val="28"/>
          <w:szCs w:val="28"/>
        </w:rPr>
        <w:t>чаются в Северной Америке, Северной и Западной Европе, Микронезии/Полинезии и Австралии/Новой Зеландии, при этом самые высокие показатели</w:t>
      </w:r>
      <w:r>
        <w:rPr>
          <w:rFonts w:ascii="Times New Roman" w:hAnsi="Times New Roman" w:cs="Times New Roman"/>
          <w:color w:val="FF0000"/>
          <w:sz w:val="28"/>
          <w:szCs w:val="28"/>
        </w:rPr>
        <w:t xml:space="preserve"> </w:t>
      </w:r>
      <w:r>
        <w:rPr>
          <w:rFonts w:ascii="Times New Roman" w:hAnsi="Times New Roman" w:cs="Times New Roman"/>
          <w:sz w:val="28"/>
          <w:szCs w:val="28"/>
        </w:rPr>
        <w:t xml:space="preserve">отмечены в Венгрии (11,6 на 100 000) [30]. По данным когортного исследования </w:t>
      </w:r>
      <w:r>
        <w:rPr>
          <w:rFonts w:ascii="Times New Roman" w:hAnsi="Times New Roman" w:cs="Times New Roman"/>
          <w:sz w:val="28"/>
          <w:szCs w:val="28"/>
          <w:lang w:val="en-US"/>
        </w:rPr>
        <w:t>Fenta</w:t>
      </w:r>
      <w:r>
        <w:rPr>
          <w:rFonts w:ascii="Times New Roman" w:hAnsi="Times New Roman" w:cs="Times New Roman"/>
          <w:sz w:val="28"/>
          <w:szCs w:val="28"/>
        </w:rPr>
        <w:t xml:space="preserve"> </w:t>
      </w:r>
      <w:r>
        <w:rPr>
          <w:rFonts w:ascii="Times New Roman" w:hAnsi="Times New Roman" w:cs="Times New Roman"/>
          <w:sz w:val="28"/>
          <w:szCs w:val="28"/>
          <w:lang w:val="en-US"/>
        </w:rPr>
        <w:t>HM</w:t>
      </w:r>
      <w:r>
        <w:rPr>
          <w:rFonts w:ascii="Times New Roman" w:hAnsi="Times New Roman" w:cs="Times New Roman"/>
          <w:sz w:val="28"/>
          <w:szCs w:val="28"/>
        </w:rPr>
        <w:t xml:space="preserve">. с соавторами относительный </w:t>
      </w:r>
      <w:r>
        <w:rPr>
          <w:rFonts w:ascii="Times New Roman" w:hAnsi="Times New Roman"/>
          <w:sz w:val="28"/>
          <w:szCs w:val="28"/>
        </w:rPr>
        <w:t>риск</w:t>
      </w:r>
      <w:r>
        <w:rPr>
          <w:rFonts w:ascii="Times New Roman" w:hAnsi="Times New Roman"/>
          <w:sz w:val="28"/>
          <w:szCs w:val="28"/>
        </w:rPr>
        <w:t xml:space="preserve"> рака легкого составляет 39,7% у курящих женщин и 27,3% у курящих мужчин </w:t>
      </w:r>
      <w:r>
        <w:rPr>
          <w:rFonts w:ascii="Times New Roman" w:hAnsi="Times New Roman" w:cs="Times New Roman"/>
          <w:sz w:val="28"/>
          <w:szCs w:val="28"/>
        </w:rPr>
        <w:t>[31]</w:t>
      </w:r>
      <w:r>
        <w:rPr>
          <w:rFonts w:ascii="Times New Roman" w:hAnsi="Times New Roman"/>
          <w:sz w:val="28"/>
          <w:szCs w:val="28"/>
        </w:rPr>
        <w:t>.</w:t>
      </w:r>
      <w:r>
        <w:rPr>
          <w:rFonts w:ascii="Times New Roman" w:hAnsi="Times New Roman" w:cs="Times New Roman"/>
          <w:sz w:val="28"/>
          <w:szCs w:val="28"/>
        </w:rPr>
        <w:t xml:space="preserve"> Высокие показатели заболеваемости у некурящих женщин отмечаются в Восточной Азии, что, по мнению ученых связано с высоким загрязнением атмосферного воздуха и воздействием других вдыхаемых веществ, образующихся в результате сжигания твердого топлива в дома</w:t>
      </w:r>
      <w:r>
        <w:rPr>
          <w:rFonts w:ascii="Times New Roman" w:hAnsi="Times New Roman" w:cs="Times New Roman"/>
          <w:sz w:val="28"/>
          <w:szCs w:val="28"/>
        </w:rPr>
        <w:t>шних условиях для отопления и приготовления пищи [32]. Более того, современные исследования предполагают, что количество летальных случаев от рака легкого у женщин превысит число смертей у мужчин к 2045 [33]. Тем не менее, по данным Goizueta A. у женщин на</w:t>
      </w:r>
      <w:r>
        <w:rPr>
          <w:rFonts w:ascii="Times New Roman" w:hAnsi="Times New Roman" w:cs="Times New Roman"/>
          <w:sz w:val="28"/>
          <w:szCs w:val="28"/>
        </w:rPr>
        <w:t>блюдается лучшая выживаемость при раке легкого на всех стадиях заболевания, чем у мужчин [34].</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 xml:space="preserve">Средний возраст постановки диагноза рака легкого составляет 70 лет как для мужчин, так и для женщин [35]. Около 53% случаев заболеваемости раком легкого </w:t>
      </w:r>
      <w:r>
        <w:rPr>
          <w:rFonts w:ascii="Times New Roman" w:hAnsi="Times New Roman" w:cs="Times New Roman"/>
          <w:sz w:val="28"/>
          <w:szCs w:val="28"/>
        </w:rPr>
        <w:t xml:space="preserve">приходится на пациентов в возрасте от 55 до 74 лет и 37% - старше 75 лет. Рак легкого является ведущей причиной смерти мужчин старше 40 лет и женщин старше 59 лет [36]. Однако, рак легкого наблюдается и у молодых людей. Десять процентов случаев приходится </w:t>
      </w:r>
      <w:r>
        <w:rPr>
          <w:rFonts w:ascii="Times New Roman" w:hAnsi="Times New Roman" w:cs="Times New Roman"/>
          <w:sz w:val="28"/>
          <w:szCs w:val="28"/>
        </w:rPr>
        <w:t>на пациентов моложе 55 лет. В результате исследования пациентов с немелкоклеточным раком легкого в возрастной группе 20–46 лет ученые пришли к выводу, что заболеванию более подвержены не курящие женщины с гистологическим типом аденокарциномы и имеющие боле</w:t>
      </w:r>
      <w:r>
        <w:rPr>
          <w:rFonts w:ascii="Times New Roman" w:hAnsi="Times New Roman" w:cs="Times New Roman"/>
          <w:sz w:val="28"/>
          <w:szCs w:val="28"/>
        </w:rPr>
        <w:t xml:space="preserve">е запущенные стадии болезни [37,38]. Интересно, что исследование Jemal A. с </w:t>
      </w:r>
      <w:r>
        <w:rPr>
          <w:rFonts w:ascii="Times New Roman" w:hAnsi="Times New Roman" w:cs="Times New Roman"/>
          <w:sz w:val="28"/>
          <w:szCs w:val="28"/>
        </w:rPr>
        <w:lastRenderedPageBreak/>
        <w:t>соавторами выявило более высокие показатели заболеваемости раком легких среди молодых женщин (по сравнению с мужчинами) в возрасте от 30 до 49 лет [39]. В Казахстане рост заболевае</w:t>
      </w:r>
      <w:r>
        <w:rPr>
          <w:rFonts w:ascii="Times New Roman" w:hAnsi="Times New Roman" w:cs="Times New Roman"/>
          <w:sz w:val="28"/>
          <w:szCs w:val="28"/>
        </w:rPr>
        <w:t>мости раком легкого наблюдается в возрастной группе 55-59 лет с пиком в 60-69 лет [40].</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Согласно данным крупного исследования Allemani С. с соавторами, пятилетняя выживаемость пациентов с раком легкого составляет всего 10-20% в большинстве стран с наилучши</w:t>
      </w:r>
      <w:r>
        <w:rPr>
          <w:rFonts w:ascii="Times New Roman" w:hAnsi="Times New Roman" w:cs="Times New Roman"/>
          <w:sz w:val="28"/>
          <w:szCs w:val="28"/>
        </w:rPr>
        <w:t xml:space="preserve">ми показателями в Японии (33%), Израиле (27%) и Республике Корея (25%), тогда как в Индии данный показатель составил только 3,7% [41]. Рак легкого чаще диагностируется на поздних стадиях, при которых прогноз крайне неблагоприятный, а 5-летняя выживаемость </w:t>
      </w:r>
      <w:r>
        <w:rPr>
          <w:rFonts w:ascii="Times New Roman" w:hAnsi="Times New Roman" w:cs="Times New Roman"/>
          <w:sz w:val="28"/>
          <w:szCs w:val="28"/>
        </w:rPr>
        <w:t>составляет всего 5% [42,43]. По данным исследования González M. с соавторами при выявлении РЛ на I–II стадиях медиана выживаемости составила 68,73 месяцев, в то время как при III стадии 30,63 месяцев [44].</w:t>
      </w:r>
      <w:r>
        <w:rPr>
          <w:rFonts w:ascii="Times New Roman" w:hAnsi="Times New Roman" w:cs="Times New Roman"/>
          <w:color w:val="FF0000"/>
          <w:sz w:val="28"/>
          <w:szCs w:val="28"/>
        </w:rPr>
        <w:t xml:space="preserve"> </w:t>
      </w:r>
      <w:r>
        <w:rPr>
          <w:rFonts w:ascii="Times New Roman" w:hAnsi="Times New Roman" w:cs="Times New Roman"/>
          <w:sz w:val="28"/>
          <w:szCs w:val="28"/>
        </w:rPr>
        <w:t xml:space="preserve">В исследовании </w:t>
      </w:r>
      <w:r>
        <w:rPr>
          <w:rFonts w:ascii="Times New Roman" w:hAnsi="Times New Roman" w:cs="Times New Roman"/>
          <w:sz w:val="28"/>
          <w:szCs w:val="28"/>
          <w:lang w:val="en-US"/>
        </w:rPr>
        <w:t>Li</w:t>
      </w:r>
      <w:r>
        <w:rPr>
          <w:rFonts w:ascii="Times New Roman" w:hAnsi="Times New Roman" w:cs="Times New Roman"/>
          <w:sz w:val="28"/>
          <w:szCs w:val="28"/>
        </w:rPr>
        <w:t xml:space="preserve"> </w:t>
      </w:r>
      <w:r>
        <w:rPr>
          <w:rFonts w:ascii="Times New Roman" w:hAnsi="Times New Roman" w:cs="Times New Roman"/>
          <w:sz w:val="28"/>
          <w:szCs w:val="28"/>
          <w:lang w:val="en-US"/>
        </w:rPr>
        <w:t>J</w:t>
      </w:r>
      <w:r>
        <w:rPr>
          <w:rFonts w:ascii="Times New Roman" w:hAnsi="Times New Roman" w:cs="Times New Roman"/>
          <w:sz w:val="28"/>
          <w:szCs w:val="28"/>
        </w:rPr>
        <w:t>. с соавторами, проведенном в 2</w:t>
      </w:r>
      <w:r>
        <w:rPr>
          <w:rFonts w:ascii="Times New Roman" w:hAnsi="Times New Roman" w:cs="Times New Roman"/>
          <w:sz w:val="28"/>
          <w:szCs w:val="28"/>
        </w:rPr>
        <w:t>019 году пятилетняя выживаемость составила 41,1% для I стадии, 22,4% для II стадии, 5,3% для III стадии и 1,3% для IV стадии, 11,2% для неопределенной стадии. Имелись различия в пятилетней выживаемости и в гистологической форме РЛ: для аденокарциномы данны</w:t>
      </w:r>
      <w:r>
        <w:rPr>
          <w:rFonts w:ascii="Times New Roman" w:hAnsi="Times New Roman" w:cs="Times New Roman"/>
          <w:sz w:val="28"/>
          <w:szCs w:val="28"/>
        </w:rPr>
        <w:t xml:space="preserve">й показатель составил 17,9%, в то время как для плоскоклеточной карциномы 5,6%. Хирургический метод лечения значительно улучшал 5-летнюю выживаемость по сравнению с нехирургическими методами лечения (34,8% против 3,2%, р&lt;0,001) [45]. </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В доступной литератур</w:t>
      </w:r>
      <w:r>
        <w:rPr>
          <w:rFonts w:ascii="Times New Roman" w:hAnsi="Times New Roman" w:cs="Times New Roman"/>
          <w:sz w:val="28"/>
          <w:szCs w:val="28"/>
        </w:rPr>
        <w:t>е имеются данные о влиянии возраста на выживаемость. Некоторые ученые пришли к выводу, что исходы у пожилых и молодых пациентов схожи [46,47], в то время как другие исследования показали лучшую выживаемость у более молодых пациентов [48,49]. Так, в исследо</w:t>
      </w:r>
      <w:r>
        <w:rPr>
          <w:rFonts w:ascii="Times New Roman" w:hAnsi="Times New Roman" w:cs="Times New Roman"/>
          <w:sz w:val="28"/>
          <w:szCs w:val="28"/>
        </w:rPr>
        <w:t xml:space="preserve">вании Arnold B.N. с соавторами заключили, что абсолютные различия 5-летней выживаемости между младшей (20-46 лет) и старшей (47-89 лет) группами составили 25% для I и II стадий и только 9% и 2% для III и IV стадий соответственно [50]. </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Международное агентс</w:t>
      </w:r>
      <w:r>
        <w:rPr>
          <w:rFonts w:ascii="Times New Roman" w:hAnsi="Times New Roman" w:cs="Times New Roman"/>
          <w:sz w:val="28"/>
          <w:szCs w:val="28"/>
        </w:rPr>
        <w:t>тво по изучению рака оценивает Казахстан как страну с одним из самых высоких в мире уровню заболеваемости раком легкого среди азиатских стран, ближайших к Восточной Европе [51]. В Казахстане рак легкого на протяжении 20 лет занимает лидирующее первое место</w:t>
      </w:r>
      <w:r>
        <w:rPr>
          <w:rFonts w:ascii="Times New Roman" w:hAnsi="Times New Roman" w:cs="Times New Roman"/>
          <w:sz w:val="28"/>
          <w:szCs w:val="28"/>
        </w:rPr>
        <w:t xml:space="preserve"> по смертности среди злокачественных опухолей. В диагностике превалируют поздние (</w:t>
      </w:r>
      <w:r>
        <w:rPr>
          <w:rFonts w:ascii="Times New Roman" w:hAnsi="Times New Roman" w:cs="Times New Roman"/>
          <w:sz w:val="28"/>
          <w:szCs w:val="28"/>
          <w:lang w:val="en-US"/>
        </w:rPr>
        <w:t>III</w:t>
      </w:r>
      <w:r>
        <w:rPr>
          <w:rFonts w:ascii="Times New Roman" w:hAnsi="Times New Roman" w:cs="Times New Roman"/>
          <w:sz w:val="28"/>
          <w:szCs w:val="28"/>
        </w:rPr>
        <w:t xml:space="preserve"> и </w:t>
      </w:r>
      <w:r>
        <w:rPr>
          <w:rFonts w:ascii="Times New Roman" w:hAnsi="Times New Roman" w:cs="Times New Roman"/>
          <w:sz w:val="28"/>
          <w:szCs w:val="28"/>
          <w:lang w:val="en-US"/>
        </w:rPr>
        <w:t>IV</w:t>
      </w:r>
      <w:r>
        <w:rPr>
          <w:rFonts w:ascii="Times New Roman" w:hAnsi="Times New Roman" w:cs="Times New Roman"/>
          <w:sz w:val="28"/>
          <w:szCs w:val="28"/>
        </w:rPr>
        <w:t xml:space="preserve"> стадии) [40, р.5]. Несмотря на это, в Республике отсутствует программа по ранней диагностике рака легкого. Такие методы как цитологическое исследование мокроты и рен</w:t>
      </w:r>
      <w:r>
        <w:rPr>
          <w:rFonts w:ascii="Times New Roman" w:hAnsi="Times New Roman" w:cs="Times New Roman"/>
          <w:sz w:val="28"/>
          <w:szCs w:val="28"/>
        </w:rPr>
        <w:t>тгенография органов грудной клетки не показали своей эффективности [52-55]. Внедрение современных лучевых методов диагностики, таких как НДКТ органов грудной клетки может помочь диагностировать рак на ранней стадии, когда успешное лечение более вероятно. Э</w:t>
      </w:r>
      <w:r>
        <w:rPr>
          <w:rFonts w:ascii="Times New Roman" w:hAnsi="Times New Roman" w:cs="Times New Roman"/>
          <w:sz w:val="28"/>
          <w:szCs w:val="28"/>
        </w:rPr>
        <w:t>ффективность ежегодного НДКТ-скрининга в снижении смертности от РЛ была подтверждена в нескольких независимых международных рандомизированных контролируемых клинических исследованиях [56-58].</w:t>
      </w:r>
    </w:p>
    <w:p w:rsidR="00A75A8D" w:rsidRDefault="00A75A8D">
      <w:pPr>
        <w:pStyle w:val="af4"/>
        <w:ind w:firstLine="567"/>
        <w:jc w:val="left"/>
        <w:rPr>
          <w:rFonts w:ascii="Times New Roman" w:hAnsi="Times New Roman"/>
          <w:b/>
          <w:sz w:val="28"/>
        </w:rPr>
      </w:pPr>
    </w:p>
    <w:p w:rsidR="00A75A8D" w:rsidRDefault="008A6A51">
      <w:pPr>
        <w:pStyle w:val="af4"/>
        <w:ind w:firstLine="567"/>
        <w:jc w:val="left"/>
        <w:rPr>
          <w:rFonts w:ascii="Times New Roman" w:hAnsi="Times New Roman"/>
          <w:b/>
          <w:sz w:val="28"/>
        </w:rPr>
      </w:pPr>
      <w:bookmarkStart w:id="7" w:name="_Toc186925726"/>
      <w:r>
        <w:rPr>
          <w:rFonts w:ascii="Times New Roman" w:hAnsi="Times New Roman"/>
          <w:b/>
          <w:sz w:val="28"/>
        </w:rPr>
        <w:t>1.2 Фактора риска развития рака легкого</w:t>
      </w:r>
      <w:bookmarkEnd w:id="7"/>
      <w:r>
        <w:rPr>
          <w:rFonts w:ascii="Times New Roman" w:hAnsi="Times New Roman"/>
          <w:b/>
          <w:sz w:val="28"/>
        </w:rPr>
        <w:t xml:space="preserve"> </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lastRenderedPageBreak/>
        <w:t>Этиологические факторы</w:t>
      </w:r>
      <w:r>
        <w:rPr>
          <w:rFonts w:ascii="Times New Roman" w:hAnsi="Times New Roman" w:cs="Times New Roman"/>
          <w:sz w:val="28"/>
          <w:szCs w:val="28"/>
        </w:rPr>
        <w:t xml:space="preserve"> риска рака легкого становятся все более сложными вместе с индустриализацией, урбанизацией и загрязнением окружающей среды во всем мире. Исследования эпидемиологических характеристик рака легкого и его относительных факторов риска сыграли важную роль в тре</w:t>
      </w:r>
      <w:r>
        <w:rPr>
          <w:rFonts w:ascii="Times New Roman" w:hAnsi="Times New Roman" w:cs="Times New Roman"/>
          <w:sz w:val="28"/>
          <w:szCs w:val="28"/>
        </w:rPr>
        <w:t xml:space="preserve">тичной профилактике и в изучении новых способов диагностики и лечения [28, </w:t>
      </w:r>
      <w:r>
        <w:rPr>
          <w:rFonts w:ascii="Times New Roman" w:hAnsi="Times New Roman" w:cs="Times New Roman"/>
          <w:sz w:val="28"/>
          <w:szCs w:val="28"/>
          <w:lang w:val="en-US"/>
        </w:rPr>
        <w:t>p</w:t>
      </w:r>
      <w:r>
        <w:rPr>
          <w:rFonts w:ascii="Times New Roman" w:hAnsi="Times New Roman" w:cs="Times New Roman"/>
          <w:sz w:val="28"/>
          <w:szCs w:val="28"/>
        </w:rPr>
        <w:t>.439].</w:t>
      </w:r>
    </w:p>
    <w:p w:rsidR="00A75A8D" w:rsidRDefault="008A6A51">
      <w:pPr>
        <w:spacing w:after="0" w:line="240" w:lineRule="auto"/>
        <w:ind w:firstLineChars="201" w:firstLine="563"/>
        <w:jc w:val="both"/>
        <w:rPr>
          <w:rFonts w:ascii="Times New Roman" w:hAnsi="Times New Roman" w:cs="Times New Roman"/>
          <w:color w:val="FF0000"/>
          <w:sz w:val="28"/>
          <w:szCs w:val="28"/>
        </w:rPr>
      </w:pPr>
      <w:r>
        <w:rPr>
          <w:rFonts w:ascii="Times New Roman" w:hAnsi="Times New Roman" w:cs="Times New Roman"/>
          <w:sz w:val="28"/>
          <w:szCs w:val="28"/>
        </w:rPr>
        <w:t>Для правильной организации программы по ранней диагностике рака легкого необходимо понимание и изучение факторов, способствующих возникновению и развитию данной патологии. К</w:t>
      </w:r>
      <w:r>
        <w:rPr>
          <w:rFonts w:ascii="Times New Roman" w:hAnsi="Times New Roman" w:cs="Times New Roman"/>
          <w:sz w:val="28"/>
          <w:szCs w:val="28"/>
        </w:rPr>
        <w:t xml:space="preserve"> наиболее значимым факторам относятся: курение, включая пассивное, воздействие радона, асбеста, загрязнение окружающего воздуха мелкими частицами и генетические мутации. </w:t>
      </w:r>
      <w:r>
        <w:rPr>
          <w:rFonts w:ascii="Times New Roman" w:hAnsi="Times New Roman" w:cs="Times New Roman"/>
          <w:sz w:val="28"/>
          <w:szCs w:val="28"/>
          <w:lang w:val="kk-KZ"/>
        </w:rPr>
        <w:t xml:space="preserve">Курение является одной из </w:t>
      </w:r>
      <w:r>
        <w:rPr>
          <w:rFonts w:ascii="Times New Roman" w:hAnsi="Times New Roman" w:cs="Times New Roman"/>
          <w:sz w:val="28"/>
          <w:szCs w:val="28"/>
        </w:rPr>
        <w:t>лидирующих</w:t>
      </w:r>
      <w:r>
        <w:rPr>
          <w:rFonts w:ascii="Times New Roman" w:hAnsi="Times New Roman" w:cs="Times New Roman"/>
          <w:sz w:val="28"/>
          <w:szCs w:val="28"/>
          <w:lang w:val="kk-KZ"/>
        </w:rPr>
        <w:t xml:space="preserve"> причин </w:t>
      </w:r>
      <w:r>
        <w:rPr>
          <w:rFonts w:ascii="Times New Roman" w:hAnsi="Times New Roman" w:cs="Times New Roman"/>
          <w:sz w:val="28"/>
          <w:szCs w:val="28"/>
        </w:rPr>
        <w:t xml:space="preserve">развития </w:t>
      </w:r>
      <w:r>
        <w:rPr>
          <w:rFonts w:ascii="Times New Roman" w:hAnsi="Times New Roman" w:cs="Times New Roman"/>
          <w:sz w:val="28"/>
          <w:szCs w:val="28"/>
          <w:lang w:val="kk-KZ"/>
        </w:rPr>
        <w:t>рака легкого</w:t>
      </w:r>
      <w:r>
        <w:rPr>
          <w:rFonts w:ascii="Times New Roman" w:hAnsi="Times New Roman" w:cs="Times New Roman"/>
          <w:sz w:val="28"/>
          <w:szCs w:val="28"/>
        </w:rPr>
        <w:t>. Первые исследования</w:t>
      </w:r>
      <w:r>
        <w:rPr>
          <w:rFonts w:ascii="Times New Roman" w:hAnsi="Times New Roman" w:cs="Times New Roman"/>
          <w:sz w:val="28"/>
          <w:szCs w:val="28"/>
        </w:rPr>
        <w:t xml:space="preserve">, доказавшие связь между табакокурением и увеличением случаев рака легкого, были проведены еще в 20-30-х годах </w:t>
      </w:r>
      <w:r>
        <w:rPr>
          <w:rFonts w:ascii="Times New Roman" w:hAnsi="Times New Roman" w:cs="Times New Roman"/>
          <w:sz w:val="28"/>
          <w:szCs w:val="28"/>
          <w:lang w:val="en-US"/>
        </w:rPr>
        <w:t>XX</w:t>
      </w:r>
      <w:r>
        <w:rPr>
          <w:rFonts w:ascii="Times New Roman" w:hAnsi="Times New Roman" w:cs="Times New Roman"/>
          <w:sz w:val="28"/>
          <w:szCs w:val="28"/>
        </w:rPr>
        <w:t xml:space="preserve"> века [59]. Затем эти же результаты были подтверждены в исследованиях ученых из США и Великобритании в 1950-х годах [60,61]. По данным </w:t>
      </w:r>
      <w:r>
        <w:rPr>
          <w:rFonts w:ascii="Times New Roman" w:hAnsi="Times New Roman" w:cs="Times New Roman"/>
          <w:sz w:val="28"/>
          <w:szCs w:val="28"/>
          <w:lang w:val="en-US"/>
        </w:rPr>
        <w:t>Jha</w:t>
      </w:r>
      <w:r>
        <w:rPr>
          <w:rFonts w:ascii="Times New Roman" w:hAnsi="Times New Roman" w:cs="Times New Roman"/>
          <w:sz w:val="28"/>
          <w:szCs w:val="28"/>
        </w:rPr>
        <w:t xml:space="preserve"> </w:t>
      </w:r>
      <w:r>
        <w:rPr>
          <w:rFonts w:ascii="Times New Roman" w:hAnsi="Times New Roman" w:cs="Times New Roman"/>
          <w:sz w:val="28"/>
          <w:szCs w:val="28"/>
          <w:lang w:val="en-US"/>
        </w:rPr>
        <w:t>P</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sz w:val="28"/>
          <w:szCs w:val="28"/>
          <w:lang w:val="kk-KZ"/>
        </w:rPr>
        <w:t>п</w:t>
      </w:r>
      <w:r>
        <w:rPr>
          <w:rFonts w:ascii="Times New Roman" w:hAnsi="Times New Roman"/>
          <w:sz w:val="28"/>
          <w:szCs w:val="28"/>
          <w:lang w:val="kk-KZ"/>
        </w:rPr>
        <w:t>римерно 450 миллионов человек умрут от курения в период с 2000 по 2050 год</w:t>
      </w:r>
      <w:r>
        <w:rPr>
          <w:rFonts w:ascii="Times New Roman" w:hAnsi="Times New Roman"/>
          <w:sz w:val="28"/>
          <w:szCs w:val="28"/>
        </w:rPr>
        <w:t xml:space="preserve"> [62]</w:t>
      </w:r>
      <w:r>
        <w:rPr>
          <w:rFonts w:ascii="Times New Roman" w:hAnsi="Times New Roman"/>
          <w:sz w:val="28"/>
          <w:szCs w:val="28"/>
          <w:lang w:val="kk-KZ"/>
        </w:rPr>
        <w:t xml:space="preserve">. </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Никотин, как вещество, не является канцерогеном, но активирует никотиновые рецепторы и вызывает изменения в экспрессии генов, которые способствуют табачной зависимости и связ</w:t>
      </w:r>
      <w:r>
        <w:rPr>
          <w:rFonts w:ascii="Times New Roman" w:hAnsi="Times New Roman" w:cs="Times New Roman"/>
          <w:sz w:val="28"/>
          <w:szCs w:val="28"/>
        </w:rPr>
        <w:t xml:space="preserve">аны с прогрессированием уже существующих опухолевых клеток [63]. При вдыхании дыма происходит доставка смеси канцерогенов и токсикантов. В сигаретном дыме было обнаружено более 5000 соединений, в том числе 73 соединения, которые Международное агентство по </w:t>
      </w:r>
      <w:r>
        <w:rPr>
          <w:rFonts w:ascii="Times New Roman" w:hAnsi="Times New Roman" w:cs="Times New Roman"/>
          <w:sz w:val="28"/>
          <w:szCs w:val="28"/>
        </w:rPr>
        <w:t>изучению рака считает канцерогенными [64,65].</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Наиболее значительными канцерогенами являются полициклические ароматические углеводороды (ПАУ), включая бенз(а)пирен, нитраты и специфичные для табака N-нитрозамины [66]. Механизмы канцерогенеза в табаке включа</w:t>
      </w:r>
      <w:r>
        <w:rPr>
          <w:rFonts w:ascii="Times New Roman" w:hAnsi="Times New Roman" w:cs="Times New Roman"/>
          <w:sz w:val="28"/>
          <w:szCs w:val="28"/>
        </w:rPr>
        <w:t>ют образование аддуктов ДНК канцерогенами и их метаболитами, а также повреждение свободными радикалами. Лабораторные исследования продемонстрировали связь N-нитрозаминов с раком легкого, в частности, аденокарциномой [67]. В случае, если аддукты ДНК остаютс</w:t>
      </w:r>
      <w:r>
        <w:rPr>
          <w:rFonts w:ascii="Times New Roman" w:hAnsi="Times New Roman" w:cs="Times New Roman"/>
          <w:sz w:val="28"/>
          <w:szCs w:val="28"/>
        </w:rPr>
        <w:t>я невосстановленными, они могут вызвать неправильное кодирование во время репликации ДНК, поскольку обходные полимеразы катализируют вставку неправильного основания напротив аддукта. Результатом является постоянная мутация. Если эта мутация происходит в кр</w:t>
      </w:r>
      <w:r>
        <w:rPr>
          <w:rFonts w:ascii="Times New Roman" w:hAnsi="Times New Roman" w:cs="Times New Roman"/>
          <w:sz w:val="28"/>
          <w:szCs w:val="28"/>
        </w:rPr>
        <w:t>итической области онкогена, такого как KRAS, или гена-супрессора опухоли, такого как TP53, результатом, несомненно, является потеря нормальных механизмов контроля клеточного роста и развитие рака. Многочисленные недавние исследования с использованием метод</w:t>
      </w:r>
      <w:r>
        <w:rPr>
          <w:rFonts w:ascii="Times New Roman" w:hAnsi="Times New Roman" w:cs="Times New Roman"/>
          <w:sz w:val="28"/>
          <w:szCs w:val="28"/>
        </w:rPr>
        <w:t xml:space="preserve">ов секвенирования нового поколения демонстрируют наличие тысяч мутаций в легких курильщиков, в том числе в критических генах, регулирующих рост, чаще всего KRAS и TP53 [68-71]. </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 xml:space="preserve">Исследование </w:t>
      </w:r>
      <w:r>
        <w:rPr>
          <w:rFonts w:ascii="Times New Roman" w:hAnsi="Times New Roman" w:cs="Times New Roman"/>
          <w:sz w:val="28"/>
          <w:szCs w:val="28"/>
          <w:lang w:val="en-US"/>
        </w:rPr>
        <w:t>Yang</w:t>
      </w:r>
      <w:r>
        <w:rPr>
          <w:rFonts w:ascii="Times New Roman" w:hAnsi="Times New Roman" w:cs="Times New Roman"/>
          <w:sz w:val="28"/>
          <w:szCs w:val="28"/>
        </w:rPr>
        <w:t xml:space="preserve"> </w:t>
      </w:r>
      <w:r>
        <w:rPr>
          <w:rFonts w:ascii="Times New Roman" w:hAnsi="Times New Roman" w:cs="Times New Roman"/>
          <w:sz w:val="28"/>
          <w:szCs w:val="28"/>
          <w:lang w:val="en-US"/>
        </w:rPr>
        <w:t>J</w:t>
      </w:r>
      <w:r>
        <w:rPr>
          <w:rFonts w:ascii="Times New Roman" w:hAnsi="Times New Roman" w:cs="Times New Roman"/>
          <w:sz w:val="28"/>
          <w:szCs w:val="28"/>
        </w:rPr>
        <w:t xml:space="preserve">. с соавторами показало, что нет статистически значимой </w:t>
      </w:r>
      <w:r>
        <w:rPr>
          <w:rFonts w:ascii="Times New Roman" w:hAnsi="Times New Roman" w:cs="Times New Roman"/>
          <w:sz w:val="28"/>
          <w:szCs w:val="28"/>
        </w:rPr>
        <w:t>разницы в риске развития рака легкого у людей, которые курят сигареты со средним содержанием смолы, со слабым содержанием смолы и сигареты с очень низким содержанием смоляного фильтра [72].</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lastRenderedPageBreak/>
        <w:t xml:space="preserve">Некоторые авторы связывают уровень заболеваемости раком легкого с </w:t>
      </w:r>
      <w:r>
        <w:rPr>
          <w:rFonts w:ascii="Times New Roman" w:hAnsi="Times New Roman" w:cs="Times New Roman"/>
          <w:sz w:val="28"/>
          <w:szCs w:val="28"/>
        </w:rPr>
        <w:t>социально-экономическим статусом через характер курения. Низкий уровень социально-экономического статуса и уровень образования способствуют риску рака легкого и худшим исходам, особенно у мужчин. Установлено, что люди с высшим образованием, с большей вероя</w:t>
      </w:r>
      <w:r>
        <w:rPr>
          <w:rFonts w:ascii="Times New Roman" w:hAnsi="Times New Roman" w:cs="Times New Roman"/>
          <w:sz w:val="28"/>
          <w:szCs w:val="28"/>
        </w:rPr>
        <w:t xml:space="preserve">тностью бросают курить или вовсе не начинают [73-75]. По данным Agaku </w:t>
      </w:r>
      <w:r>
        <w:rPr>
          <w:rFonts w:ascii="Times New Roman" w:hAnsi="Times New Roman" w:cs="Times New Roman"/>
          <w:sz w:val="28"/>
          <w:szCs w:val="28"/>
          <w:lang w:val="en-US"/>
        </w:rPr>
        <w:t>I</w:t>
      </w:r>
      <w:r>
        <w:rPr>
          <w:rFonts w:ascii="Times New Roman" w:hAnsi="Times New Roman" w:cs="Times New Roman"/>
          <w:sz w:val="28"/>
          <w:szCs w:val="28"/>
        </w:rPr>
        <w:t>.</w:t>
      </w:r>
      <w:r>
        <w:rPr>
          <w:rFonts w:ascii="Times New Roman" w:hAnsi="Times New Roman" w:cs="Times New Roman"/>
          <w:sz w:val="28"/>
          <w:szCs w:val="28"/>
          <w:lang w:val="en-US"/>
        </w:rPr>
        <w:t>T</w:t>
      </w:r>
      <w:r>
        <w:rPr>
          <w:rFonts w:ascii="Times New Roman" w:hAnsi="Times New Roman" w:cs="Times New Roman"/>
          <w:sz w:val="28"/>
          <w:szCs w:val="28"/>
        </w:rPr>
        <w:t>. с соавторами, распространенность курения среди взрослых с законченным школьным образованием составляла 32,1%, 23,1% среди лиц с высшим образованием, и 9,1% среди выпускников колледж</w:t>
      </w:r>
      <w:r>
        <w:rPr>
          <w:rFonts w:ascii="Times New Roman" w:hAnsi="Times New Roman" w:cs="Times New Roman"/>
          <w:sz w:val="28"/>
          <w:szCs w:val="28"/>
        </w:rPr>
        <w:t>а. Распространенность курения среди лиц, находящихся за чертой бедности, составляла 27,9% [76].</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Между показателями заболеваемости раком легкого и уровнем табакокурения в Казахстане установлена положительная корреляционная зависимость (r=+0,43, р&lt;0,05). Одн</w:t>
      </w:r>
      <w:r>
        <w:rPr>
          <w:rFonts w:ascii="Times New Roman" w:hAnsi="Times New Roman" w:cs="Times New Roman"/>
          <w:sz w:val="28"/>
          <w:szCs w:val="28"/>
        </w:rPr>
        <w:t>ако, в некоторых регионах (Акмолинская, Алматинская, Карагандинская, Костанайская, Южно-Казахстанская области) корреляция между табакокурением и раком легкого была слабой силы либо недостоверная. Необходимо дальнейшее установление корреляционных взаимосвяз</w:t>
      </w:r>
      <w:r>
        <w:rPr>
          <w:rFonts w:ascii="Times New Roman" w:hAnsi="Times New Roman" w:cs="Times New Roman"/>
          <w:sz w:val="28"/>
          <w:szCs w:val="28"/>
        </w:rPr>
        <w:t xml:space="preserve">ей с учетом возрастных групп, пола, других особенностей [77]. </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Пассивное курение ежегодно вызывает около 7330 летальных исходов от рака легкого. Концентрация бенз(а)пирена в дыме, образующемся в момент тления сигареты в 4 раза выше, чем в отфильтрованном с</w:t>
      </w:r>
      <w:r>
        <w:rPr>
          <w:rFonts w:ascii="Times New Roman" w:hAnsi="Times New Roman" w:cs="Times New Roman"/>
          <w:sz w:val="28"/>
          <w:szCs w:val="28"/>
        </w:rPr>
        <w:t xml:space="preserve">игаретном дыме [78,79]. </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Согласно доступной литературе, у пациентов с немелкоклеточным раком легкого, которые являются пассивными курильщиками, наблюдается снижение общей выживаемости и снижение выживаемости без прогрессирования заболевания (промежуток вре</w:t>
      </w:r>
      <w:r>
        <w:rPr>
          <w:rFonts w:ascii="Times New Roman" w:hAnsi="Times New Roman" w:cs="Times New Roman"/>
          <w:sz w:val="28"/>
          <w:szCs w:val="28"/>
        </w:rPr>
        <w:t>мени в период и после лечения, когда рак не растет или не распространяется). Таким образом, больные раком легкого, подвергшиеся воздействию пассивного курения, имеют более высокий риск смерти [63, р.251]. Более того, некурящие супруги курильщиков имеют пов</w:t>
      </w:r>
      <w:r>
        <w:rPr>
          <w:rFonts w:ascii="Times New Roman" w:hAnsi="Times New Roman" w:cs="Times New Roman"/>
          <w:sz w:val="28"/>
          <w:szCs w:val="28"/>
        </w:rPr>
        <w:t>ышенный риск развития рака легкого на 20–30% [80].</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Несмотря на то, что по мнению многих авторов курение является лидирующей причиной инициации рака легкого, в последнее время отмечается тенденция развития РЛ у некурящих, особенно женщин, проживающих в азиа</w:t>
      </w:r>
      <w:r>
        <w:rPr>
          <w:rFonts w:ascii="Times New Roman" w:hAnsi="Times New Roman" w:cs="Times New Roman"/>
          <w:sz w:val="28"/>
          <w:szCs w:val="28"/>
        </w:rPr>
        <w:t>тских регионах.</w:t>
      </w:r>
    </w:p>
    <w:p w:rsidR="00A75A8D" w:rsidRDefault="008A6A51">
      <w:pPr>
        <w:spacing w:after="0" w:line="240" w:lineRule="auto"/>
        <w:ind w:firstLineChars="202" w:firstLine="566"/>
        <w:jc w:val="both"/>
        <w:rPr>
          <w:rFonts w:ascii="Times New Roman" w:hAnsi="Times New Roman" w:cs="Times New Roman"/>
          <w:sz w:val="28"/>
          <w:szCs w:val="28"/>
        </w:rPr>
      </w:pPr>
      <w:r>
        <w:rPr>
          <w:rFonts w:ascii="Times New Roman" w:hAnsi="Times New Roman" w:cs="Times New Roman"/>
          <w:sz w:val="28"/>
          <w:szCs w:val="28"/>
        </w:rPr>
        <w:t xml:space="preserve">По данным </w:t>
      </w:r>
      <w:r>
        <w:rPr>
          <w:rFonts w:ascii="Times New Roman" w:hAnsi="Times New Roman" w:cs="Times New Roman"/>
          <w:sz w:val="28"/>
          <w:szCs w:val="28"/>
          <w:lang w:val="en-US"/>
        </w:rPr>
        <w:t>Li</w:t>
      </w:r>
      <w:r>
        <w:rPr>
          <w:rFonts w:ascii="Times New Roman" w:hAnsi="Times New Roman" w:cs="Times New Roman"/>
          <w:sz w:val="28"/>
          <w:szCs w:val="28"/>
        </w:rPr>
        <w:t xml:space="preserve"> </w:t>
      </w:r>
      <w:r>
        <w:rPr>
          <w:rFonts w:ascii="Times New Roman" w:hAnsi="Times New Roman" w:cs="Times New Roman"/>
          <w:sz w:val="28"/>
          <w:szCs w:val="28"/>
          <w:lang w:val="en-US"/>
        </w:rPr>
        <w:t>Y</w:t>
      </w:r>
      <w:r>
        <w:rPr>
          <w:rFonts w:ascii="Times New Roman" w:hAnsi="Times New Roman" w:cs="Times New Roman"/>
          <w:sz w:val="28"/>
          <w:szCs w:val="28"/>
        </w:rPr>
        <w:t>. с соавторами, во всем мире 25% пациентов с раком легк</w:t>
      </w:r>
      <w:r>
        <w:rPr>
          <w:rFonts w:ascii="Times New Roman" w:hAnsi="Times New Roman" w:cs="Times New Roman"/>
          <w:sz w:val="28"/>
          <w:szCs w:val="28"/>
          <w:lang w:val="kk-KZ"/>
        </w:rPr>
        <w:t>ого</w:t>
      </w:r>
      <w:r>
        <w:rPr>
          <w:rFonts w:ascii="Times New Roman" w:hAnsi="Times New Roman" w:cs="Times New Roman"/>
          <w:sz w:val="28"/>
          <w:szCs w:val="28"/>
        </w:rPr>
        <w:t xml:space="preserve"> никогда не курили [81]. Рак легкого у некурящих встречается преимущественно у молодых пациентов, особенно женщин. В гистологической картине превалирует аденокарцинома,</w:t>
      </w:r>
      <w:r>
        <w:rPr>
          <w:rFonts w:ascii="Times New Roman" w:hAnsi="Times New Roman" w:cs="Times New Roman"/>
          <w:sz w:val="28"/>
          <w:szCs w:val="28"/>
        </w:rPr>
        <w:t xml:space="preserve"> часто со специфическими генетическими мутациями, такими как EGFR и ELM4-ALK [82-84]. </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Доля случаев заболевания женщин с раком легкого у некурящих особенно высока в Восточной и Южной Азии, где 60–80% женщин с немелкоклеточным раком легкого никогда не курил</w:t>
      </w:r>
      <w:r>
        <w:rPr>
          <w:rFonts w:ascii="Times New Roman" w:hAnsi="Times New Roman" w:cs="Times New Roman"/>
          <w:sz w:val="28"/>
          <w:szCs w:val="28"/>
        </w:rPr>
        <w:t xml:space="preserve">и [85-87]. По данным </w:t>
      </w:r>
      <w:r>
        <w:rPr>
          <w:rFonts w:ascii="Times New Roman" w:hAnsi="Times New Roman" w:cs="Times New Roman"/>
          <w:sz w:val="28"/>
          <w:szCs w:val="28"/>
          <w:lang w:val="en-US"/>
        </w:rPr>
        <w:t>Kakinuma</w:t>
      </w:r>
      <w:r>
        <w:rPr>
          <w:rFonts w:ascii="Times New Roman" w:hAnsi="Times New Roman" w:cs="Times New Roman"/>
          <w:sz w:val="28"/>
          <w:szCs w:val="28"/>
        </w:rPr>
        <w:t xml:space="preserve"> </w:t>
      </w:r>
      <w:r>
        <w:rPr>
          <w:rFonts w:ascii="Times New Roman" w:hAnsi="Times New Roman" w:cs="Times New Roman"/>
          <w:sz w:val="28"/>
          <w:szCs w:val="28"/>
          <w:lang w:val="en-US"/>
        </w:rPr>
        <w:t>R</w:t>
      </w:r>
      <w:r>
        <w:rPr>
          <w:rFonts w:ascii="Times New Roman" w:hAnsi="Times New Roman" w:cs="Times New Roman"/>
          <w:sz w:val="28"/>
          <w:szCs w:val="28"/>
        </w:rPr>
        <w:t xml:space="preserve">. с соавторами 72,9% пациентов с раком легкого, выявленных с помощью НДКТ скрининга в Токио, никогда не курили или имели стаж курения менее 30 пачка/лет [88]. </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С уменьшением распространенности курения и увеличением случаев ра</w:t>
      </w:r>
      <w:r>
        <w:rPr>
          <w:rFonts w:ascii="Times New Roman" w:hAnsi="Times New Roman" w:cs="Times New Roman"/>
          <w:sz w:val="28"/>
          <w:szCs w:val="28"/>
        </w:rPr>
        <w:t xml:space="preserve">ка легкого у некурящих возрастает важность лучшего понимания развития болезни. </w:t>
      </w:r>
      <w:r>
        <w:rPr>
          <w:rFonts w:ascii="Times New Roman" w:hAnsi="Times New Roman" w:cs="Times New Roman"/>
          <w:sz w:val="28"/>
          <w:szCs w:val="28"/>
        </w:rPr>
        <w:lastRenderedPageBreak/>
        <w:t xml:space="preserve">Хотя курение табака остается ведущим фактором риска развития рака легкого, также риск связан с другими воздействиями [89,90]. </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Таким образом, факторы риска окружающей среды игра</w:t>
      </w:r>
      <w:r>
        <w:rPr>
          <w:rFonts w:ascii="Times New Roman" w:hAnsi="Times New Roman" w:cs="Times New Roman"/>
          <w:sz w:val="28"/>
          <w:szCs w:val="28"/>
        </w:rPr>
        <w:t xml:space="preserve">ют доминирующую роль в развитии рака у некурящих, включая воздействие пассивного курения, радона, асбеста, загрязнение окружающей среды, вредные факторы на рабочем месте, загрязнение воздуха внутри помещений. </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Первые исследования о взаимосвязи между воздей</w:t>
      </w:r>
      <w:r>
        <w:rPr>
          <w:rFonts w:ascii="Times New Roman" w:hAnsi="Times New Roman" w:cs="Times New Roman"/>
          <w:sz w:val="28"/>
          <w:szCs w:val="28"/>
        </w:rPr>
        <w:t>ствием радона и риском развития рака легкого были проведены у подземных шахтеров [91,92], а объединенные данные когортных исследований показали, что почти 40% всех смертей от рака легкого (70% у никогда не куривших и 39% у курильщиков), были связаны с возд</w:t>
      </w:r>
      <w:r>
        <w:rPr>
          <w:rFonts w:ascii="Times New Roman" w:hAnsi="Times New Roman" w:cs="Times New Roman"/>
          <w:sz w:val="28"/>
          <w:szCs w:val="28"/>
        </w:rPr>
        <w:t xml:space="preserve">ействием радона и потенциальным синергетическим эффектом при курении [93-95]. </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Исследования показывают, что до 30% случаев возникновения рака легкого у некурящих вызваны воздействием радона в жилых помещениях [96-98].</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По данным Агентства по охране окружающ</w:t>
      </w:r>
      <w:r>
        <w:rPr>
          <w:rFonts w:ascii="Times New Roman" w:hAnsi="Times New Roman" w:cs="Times New Roman"/>
          <w:sz w:val="28"/>
          <w:szCs w:val="28"/>
        </w:rPr>
        <w:t>ей среды США (EPA), радон считается второй по значимости причиной возникновения рака легкого после курения табака и важнейшим фактором риска у некурящих [99]. По данным ВОЗ, радон вызывает приблизительно 3–14% случаев рака легкого в зависимости от среднего</w:t>
      </w:r>
      <w:r>
        <w:rPr>
          <w:rFonts w:ascii="Times New Roman" w:hAnsi="Times New Roman" w:cs="Times New Roman"/>
          <w:sz w:val="28"/>
          <w:szCs w:val="28"/>
        </w:rPr>
        <w:t xml:space="preserve"> уровня радона в стране и распространенности курения [100].</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 xml:space="preserve">Согласно данным исследования </w:t>
      </w:r>
      <w:r>
        <w:rPr>
          <w:rFonts w:ascii="Times New Roman" w:hAnsi="Times New Roman" w:cs="Times New Roman"/>
          <w:sz w:val="28"/>
          <w:szCs w:val="28"/>
          <w:lang w:val="en-US"/>
        </w:rPr>
        <w:t>Lipfert</w:t>
      </w:r>
      <w:r>
        <w:rPr>
          <w:rFonts w:ascii="Times New Roman" w:hAnsi="Times New Roman" w:cs="Times New Roman"/>
          <w:sz w:val="28"/>
          <w:szCs w:val="28"/>
        </w:rPr>
        <w:t xml:space="preserve"> </w:t>
      </w:r>
      <w:r>
        <w:rPr>
          <w:rFonts w:ascii="Times New Roman" w:hAnsi="Times New Roman" w:cs="Times New Roman"/>
          <w:sz w:val="28"/>
          <w:szCs w:val="28"/>
          <w:lang w:val="en-US"/>
        </w:rPr>
        <w:t>F</w:t>
      </w:r>
      <w:r>
        <w:rPr>
          <w:rFonts w:ascii="Times New Roman" w:hAnsi="Times New Roman" w:cs="Times New Roman"/>
          <w:sz w:val="28"/>
          <w:szCs w:val="28"/>
        </w:rPr>
        <w:t xml:space="preserve">. доля радона в отношении смертности от рака легкого составляет 14% [101]. </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Радон - это природный радиоактивный газ, образующийся при распаде урана</w:t>
      </w:r>
      <w:r>
        <w:rPr>
          <w:rFonts w:ascii="Times New Roman" w:hAnsi="Times New Roman" w:cs="Times New Roman"/>
          <w:sz w:val="28"/>
          <w:szCs w:val="28"/>
          <w:vertAlign w:val="superscript"/>
        </w:rPr>
        <w:t>238</w:t>
      </w:r>
      <w:r>
        <w:rPr>
          <w:rFonts w:ascii="Times New Roman" w:hAnsi="Times New Roman" w:cs="Times New Roman"/>
          <w:sz w:val="28"/>
          <w:szCs w:val="28"/>
        </w:rPr>
        <w:t xml:space="preserve">. Радон является основным источником естественной радиации и широко распространен в повседневной жизни [91, </w:t>
      </w:r>
      <w:r>
        <w:rPr>
          <w:rFonts w:ascii="Times New Roman" w:hAnsi="Times New Roman" w:cs="Times New Roman"/>
          <w:sz w:val="28"/>
          <w:szCs w:val="28"/>
          <w:lang w:val="en-US"/>
        </w:rPr>
        <w:t>p</w:t>
      </w:r>
      <w:r>
        <w:rPr>
          <w:rFonts w:ascii="Times New Roman" w:hAnsi="Times New Roman" w:cs="Times New Roman"/>
          <w:sz w:val="28"/>
          <w:szCs w:val="28"/>
        </w:rPr>
        <w:t>.103]. Основными источниками радона в помещении являются почва вокруг фундамента, строительные материалы, топливо и вода для бытовых нужд. Концентр</w:t>
      </w:r>
      <w:r>
        <w:rPr>
          <w:rFonts w:ascii="Times New Roman" w:hAnsi="Times New Roman" w:cs="Times New Roman"/>
          <w:sz w:val="28"/>
          <w:szCs w:val="28"/>
        </w:rPr>
        <w:t>ация радона в жилых помещениях зависит не только от жилищных факторов (таких как тип жилья, отделочные материалы и возраст жилья), но также от условий окружающей среды (таких как температура, влажность и атмосферное давление), временных факторов (таких как</w:t>
      </w:r>
      <w:r>
        <w:rPr>
          <w:rFonts w:ascii="Times New Roman" w:hAnsi="Times New Roman" w:cs="Times New Roman"/>
          <w:sz w:val="28"/>
          <w:szCs w:val="28"/>
        </w:rPr>
        <w:t xml:space="preserve"> сезон) и вентиляционные способности воздуха внутри и снаружи помещения [102]. Радон может накапливаться до критичного уровня в подвалах и на нижних этажах зданий [94, </w:t>
      </w:r>
      <w:r>
        <w:rPr>
          <w:rFonts w:ascii="Times New Roman" w:hAnsi="Times New Roman" w:cs="Times New Roman"/>
          <w:sz w:val="28"/>
          <w:szCs w:val="28"/>
          <w:lang w:val="en-US"/>
        </w:rPr>
        <w:t>p</w:t>
      </w:r>
      <w:r>
        <w:rPr>
          <w:rFonts w:ascii="Times New Roman" w:hAnsi="Times New Roman" w:cs="Times New Roman"/>
          <w:sz w:val="28"/>
          <w:szCs w:val="28"/>
        </w:rPr>
        <w:t>.818]. Метаанализ 7 исследований, включавших 4 263 пациента с раком легкого и 6 612 уча</w:t>
      </w:r>
      <w:r>
        <w:rPr>
          <w:rFonts w:ascii="Times New Roman" w:hAnsi="Times New Roman" w:cs="Times New Roman"/>
          <w:sz w:val="28"/>
          <w:szCs w:val="28"/>
        </w:rPr>
        <w:t>стников контрольной группы, показал, что более высокие уровни воздействия радона в жилых помещениях были связаны с повышенным относительным риском рака легкого [103].</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При попадании в легкие альфа-частицы, испускаемые короткоживущими продуктами распада радо</w:t>
      </w:r>
      <w:r>
        <w:rPr>
          <w:rFonts w:ascii="Times New Roman" w:hAnsi="Times New Roman" w:cs="Times New Roman"/>
          <w:sz w:val="28"/>
          <w:szCs w:val="28"/>
        </w:rPr>
        <w:t xml:space="preserve">на, оказывают повреждающее действие на клеточную ДНК. Исследования клеточного мутагенеза, экспериментальные исследования на животных и профессиональные эпидемиологические исследования установили, что радон является канцерогеном для легочной ткани человека </w:t>
      </w:r>
      <w:r>
        <w:rPr>
          <w:rFonts w:ascii="Times New Roman" w:hAnsi="Times New Roman" w:cs="Times New Roman"/>
          <w:sz w:val="28"/>
          <w:szCs w:val="28"/>
        </w:rPr>
        <w:t xml:space="preserve">[104,105]. По данным мета-анализа </w:t>
      </w:r>
      <w:r>
        <w:rPr>
          <w:rFonts w:ascii="Times New Roman" w:hAnsi="Times New Roman" w:cs="Times New Roman"/>
          <w:sz w:val="28"/>
          <w:szCs w:val="28"/>
          <w:lang w:val="en-US"/>
        </w:rPr>
        <w:t>Li</w:t>
      </w:r>
      <w:r>
        <w:rPr>
          <w:rFonts w:ascii="Times New Roman" w:hAnsi="Times New Roman" w:cs="Times New Roman"/>
          <w:sz w:val="28"/>
          <w:szCs w:val="28"/>
        </w:rPr>
        <w:t xml:space="preserve"> </w:t>
      </w:r>
      <w:r>
        <w:rPr>
          <w:rFonts w:ascii="Times New Roman" w:hAnsi="Times New Roman" w:cs="Times New Roman"/>
          <w:sz w:val="28"/>
          <w:szCs w:val="28"/>
          <w:lang w:val="en-US"/>
        </w:rPr>
        <w:t>C</w:t>
      </w:r>
      <w:r>
        <w:rPr>
          <w:rFonts w:ascii="Times New Roman" w:hAnsi="Times New Roman" w:cs="Times New Roman"/>
          <w:sz w:val="28"/>
          <w:szCs w:val="28"/>
        </w:rPr>
        <w:t xml:space="preserve">. с соавторами, радон является фактором риска при всех гистологических типах рака легкого, однако, более сильные связи были </w:t>
      </w:r>
      <w:r>
        <w:rPr>
          <w:rFonts w:ascii="Times New Roman" w:hAnsi="Times New Roman" w:cs="Times New Roman"/>
          <w:sz w:val="28"/>
          <w:szCs w:val="28"/>
        </w:rPr>
        <w:lastRenderedPageBreak/>
        <w:t xml:space="preserve">обнаружены при мелкоклеточном раке легкого и аденокарциноме, чем при плоскоклеточном и других </w:t>
      </w:r>
      <w:r>
        <w:rPr>
          <w:rFonts w:ascii="Times New Roman" w:hAnsi="Times New Roman" w:cs="Times New Roman"/>
          <w:sz w:val="28"/>
          <w:szCs w:val="28"/>
        </w:rPr>
        <w:t xml:space="preserve">гистологических типах [106]. </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При анализе радонового загрязнения по областям Казахстана можно определить четкую связь между уровнем загрязнения и показателями заболеваемости и смертности от рака легкого. Согласно данным Экспертной миссии МАГАТЭ в 2019 году</w:t>
      </w:r>
      <w:r>
        <w:rPr>
          <w:rFonts w:ascii="Times New Roman" w:hAnsi="Times New Roman" w:cs="Times New Roman"/>
          <w:sz w:val="28"/>
          <w:szCs w:val="28"/>
        </w:rPr>
        <w:t>, в шести областях имеется превышение нормативов по радону в водоисточниках, и именно эти области лидируют по показателям смертности от рака легкого. Аналогичная ситуация сложилась и по загрязнению радоном воздуха в помещениях. В трех областях РК имеется п</w:t>
      </w:r>
      <w:r>
        <w:rPr>
          <w:rFonts w:ascii="Times New Roman" w:hAnsi="Times New Roman" w:cs="Times New Roman"/>
          <w:sz w:val="28"/>
          <w:szCs w:val="28"/>
        </w:rPr>
        <w:t>ревышение: Акмолинская, Костанайская и Северо-Казахстанская [107].</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Согласно данным литературных источников, 10% смертей от рака легкого среди мужчин и 5% среди женщин во всем мире могут быть связаны с воздействием профессиональных канцерогенов, а именно ас</w:t>
      </w:r>
      <w:r>
        <w:rPr>
          <w:rFonts w:ascii="Times New Roman" w:hAnsi="Times New Roman" w:cs="Times New Roman"/>
          <w:sz w:val="28"/>
          <w:szCs w:val="28"/>
        </w:rPr>
        <w:t>беста, мышьяка, бериллия, кадмия, хрома, никеля, кремнезема и дизельных паров [108].</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Асбест – это один из наиболее распространенных профессиональных канцерогенов, на который приходится примерно половина случаев смерти от профессионально-ассоциированного ра</w:t>
      </w:r>
      <w:r>
        <w:rPr>
          <w:rFonts w:ascii="Times New Roman" w:hAnsi="Times New Roman" w:cs="Times New Roman"/>
          <w:sz w:val="28"/>
          <w:szCs w:val="28"/>
        </w:rPr>
        <w:t xml:space="preserve">ка. Согласно публикациям, ежегодно 107 000 человек в мире умирают от рака легкого, связанного с развитием мезотелиомы и асбестоза, вызванных воздействием асбеста на рабочих местах [109,110]. </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Патологическое действие асбеста в производственной среде происхо</w:t>
      </w:r>
      <w:r>
        <w:rPr>
          <w:rFonts w:ascii="Times New Roman" w:hAnsi="Times New Roman" w:cs="Times New Roman"/>
          <w:sz w:val="28"/>
          <w:szCs w:val="28"/>
        </w:rPr>
        <w:t xml:space="preserve">дит при вдыхании волокон, где присутствуют асбестосодержащие материалы [111]. </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Воздействие асбеста и курение табака оказывают синергетическое влияние на риск развития рака легкого [112-114]. В исследовании L.S. Nielsen с соавторами было описано, что взаимо</w:t>
      </w:r>
      <w:r>
        <w:rPr>
          <w:rFonts w:ascii="Times New Roman" w:hAnsi="Times New Roman" w:cs="Times New Roman"/>
          <w:sz w:val="28"/>
          <w:szCs w:val="28"/>
        </w:rPr>
        <w:t>действие между асбестом и курением в отношении риска рака легкого является аддитивным и мультипликативным. Относительный риск рака легкого при воздействии только асбеста увеличивается в 6 раз, при курении только сигарет - в 11 раз, но при воздействии как а</w:t>
      </w:r>
      <w:r>
        <w:rPr>
          <w:rFonts w:ascii="Times New Roman" w:hAnsi="Times New Roman" w:cs="Times New Roman"/>
          <w:sz w:val="28"/>
          <w:szCs w:val="28"/>
        </w:rPr>
        <w:t>сбеста, так и сигаретного дыма увеличение может достигать 59 раз [115].</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lang w:val="en-US"/>
        </w:rPr>
        <w:t>M</w:t>
      </w:r>
      <w:r>
        <w:rPr>
          <w:rFonts w:ascii="Times New Roman" w:hAnsi="Times New Roman" w:cs="Times New Roman"/>
          <w:sz w:val="28"/>
          <w:szCs w:val="28"/>
        </w:rPr>
        <w:t xml:space="preserve">. </w:t>
      </w:r>
      <w:r>
        <w:rPr>
          <w:rFonts w:ascii="Times New Roman" w:hAnsi="Times New Roman" w:cs="Times New Roman"/>
          <w:sz w:val="28"/>
          <w:szCs w:val="28"/>
          <w:lang w:val="en-US"/>
        </w:rPr>
        <w:t>Uguen</w:t>
      </w:r>
      <w:r>
        <w:rPr>
          <w:rFonts w:ascii="Times New Roman" w:hAnsi="Times New Roman" w:cs="Times New Roman"/>
          <w:sz w:val="28"/>
          <w:szCs w:val="28"/>
        </w:rPr>
        <w:t xml:space="preserve"> с соавторами в своем исследовании выявили, что наиболее часто встречающийся гистологический тип асбест-ассоциированного рака легкого является аденокарцинома - 45,9%, в то врем</w:t>
      </w:r>
      <w:r>
        <w:rPr>
          <w:rFonts w:ascii="Times New Roman" w:hAnsi="Times New Roman" w:cs="Times New Roman"/>
          <w:sz w:val="28"/>
          <w:szCs w:val="28"/>
        </w:rPr>
        <w:t xml:space="preserve">я как доля плоскоклеточного рака составляет 38,4%, а мелкоклеточный тип встречается лишь в 4,8% случаев [116]. </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В Казахстане асбестовое производство развито в Костанайской области, где также отмечаются высокие показатели смертности и заболеваемости по раку</w:t>
      </w:r>
      <w:r>
        <w:rPr>
          <w:rFonts w:ascii="Times New Roman" w:hAnsi="Times New Roman" w:cs="Times New Roman"/>
          <w:sz w:val="28"/>
          <w:szCs w:val="28"/>
        </w:rPr>
        <w:t xml:space="preserve"> легкого [117].</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Загрязнение воздуха - серьезная глобальная проблема, связанная с изменением климата и быстрыми темпами индустриализации. Эпидемиологические исследования показывают, что загрязнение воздуха, особенно воздействие твердых частиц, связано с пов</w:t>
      </w:r>
      <w:r>
        <w:rPr>
          <w:rFonts w:ascii="Times New Roman" w:hAnsi="Times New Roman" w:cs="Times New Roman"/>
          <w:sz w:val="28"/>
          <w:szCs w:val="28"/>
        </w:rPr>
        <w:t xml:space="preserve">ышенным риском рака легкого и смертностью независимо от статуса курения [118,119]. </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Согласно литературным данным, существуют две основные проблемы, связанные с качеством воздуха как внутри, так и снаружи помещений: канцерогены, образующиеся при сжигании го</w:t>
      </w:r>
      <w:r>
        <w:rPr>
          <w:rFonts w:ascii="Times New Roman" w:hAnsi="Times New Roman" w:cs="Times New Roman"/>
          <w:sz w:val="28"/>
          <w:szCs w:val="28"/>
        </w:rPr>
        <w:t xml:space="preserve">рючего топлива и твердые частицы </w:t>
      </w:r>
      <w:r>
        <w:rPr>
          <w:rFonts w:ascii="Times New Roman" w:hAnsi="Times New Roman" w:cs="Times New Roman"/>
          <w:sz w:val="28"/>
          <w:szCs w:val="28"/>
        </w:rPr>
        <w:lastRenderedPageBreak/>
        <w:t>в воздухе. Так, согласно авторам исследования, около 5% всех случаев смерти от рака легкого могут быть связаны с загрязнением атмосферного воздуха [120]. Атмосферные канцерогены в окружающей среде могут включать поверхностн</w:t>
      </w:r>
      <w:r>
        <w:rPr>
          <w:rFonts w:ascii="Times New Roman" w:hAnsi="Times New Roman" w:cs="Times New Roman"/>
          <w:sz w:val="28"/>
          <w:szCs w:val="28"/>
        </w:rPr>
        <w:t>о-активные вещества и диоксид серы. Риск развития рака легкого из-за мелкодисперсного загрязнения воздуха повышается независимо от статуса курения, и эта связь является наибольшей у некурящих [121-124]. Твердые частицы представляют собой сложную смесь, вкл</w:t>
      </w:r>
      <w:r>
        <w:rPr>
          <w:rFonts w:ascii="Times New Roman" w:hAnsi="Times New Roman" w:cs="Times New Roman"/>
          <w:sz w:val="28"/>
          <w:szCs w:val="28"/>
        </w:rPr>
        <w:t xml:space="preserve">ючающую такие компоненты, как кислоты, органические химические вещества, металлы и частицы почвы или пыли [125,126]. </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 xml:space="preserve">Метаанализ когортных исследований выявил статистически значимую связь между риском рака легкого и воздействием таких твердых частиц как </w:t>
      </w:r>
      <w:r>
        <w:rPr>
          <w:rFonts w:ascii="Times New Roman" w:hAnsi="Times New Roman" w:cs="Times New Roman"/>
          <w:sz w:val="28"/>
          <w:szCs w:val="28"/>
          <w:lang w:val="en-US"/>
        </w:rPr>
        <w:t>PM</w:t>
      </w:r>
      <w:r>
        <w:rPr>
          <w:rFonts w:ascii="Times New Roman" w:hAnsi="Times New Roman" w:cs="Times New Roman"/>
          <w:sz w:val="28"/>
          <w:szCs w:val="28"/>
        </w:rPr>
        <w:t xml:space="preserve">10 и </w:t>
      </w:r>
      <w:r>
        <w:rPr>
          <w:rFonts w:ascii="Times New Roman" w:hAnsi="Times New Roman" w:cs="Times New Roman"/>
          <w:sz w:val="28"/>
          <w:szCs w:val="28"/>
          <w:lang w:val="en-US"/>
        </w:rPr>
        <w:t>PM</w:t>
      </w:r>
      <w:r>
        <w:rPr>
          <w:rFonts w:ascii="Times New Roman" w:hAnsi="Times New Roman" w:cs="Times New Roman"/>
          <w:sz w:val="28"/>
          <w:szCs w:val="28"/>
        </w:rPr>
        <w:t xml:space="preserve">2,5. В исследовании </w:t>
      </w:r>
      <w:r>
        <w:rPr>
          <w:rFonts w:ascii="Times New Roman" w:hAnsi="Times New Roman" w:cs="Times New Roman"/>
          <w:sz w:val="28"/>
          <w:szCs w:val="28"/>
          <w:lang w:val="en-US"/>
        </w:rPr>
        <w:t>O</w:t>
      </w:r>
      <w:r>
        <w:rPr>
          <w:rFonts w:ascii="Times New Roman" w:hAnsi="Times New Roman" w:cs="Times New Roman"/>
          <w:sz w:val="28"/>
          <w:szCs w:val="28"/>
        </w:rPr>
        <w:t xml:space="preserve">. </w:t>
      </w:r>
      <w:r>
        <w:rPr>
          <w:rFonts w:ascii="Times New Roman" w:hAnsi="Times New Roman" w:cs="Times New Roman"/>
          <w:sz w:val="28"/>
          <w:szCs w:val="28"/>
          <w:lang w:val="en-US"/>
        </w:rPr>
        <w:t>Raaschou</w:t>
      </w:r>
      <w:r>
        <w:rPr>
          <w:rFonts w:ascii="Times New Roman" w:hAnsi="Times New Roman" w:cs="Times New Roman"/>
          <w:sz w:val="28"/>
          <w:szCs w:val="28"/>
        </w:rPr>
        <w:t>-</w:t>
      </w:r>
      <w:r>
        <w:rPr>
          <w:rFonts w:ascii="Times New Roman" w:hAnsi="Times New Roman" w:cs="Times New Roman"/>
          <w:sz w:val="28"/>
          <w:szCs w:val="28"/>
          <w:lang w:val="en-US"/>
        </w:rPr>
        <w:t>Nielsen</w:t>
      </w:r>
      <w:r>
        <w:rPr>
          <w:rFonts w:ascii="Times New Roman" w:hAnsi="Times New Roman" w:cs="Times New Roman"/>
          <w:sz w:val="28"/>
          <w:szCs w:val="28"/>
        </w:rPr>
        <w:t xml:space="preserve"> с соавторами, ученые заключили, что увеличение дорожного движения на 4 000 автомобильных километров в день в пределах 100 метров от места жительства в значительной степени связано с отношением риска для рака л</w:t>
      </w:r>
      <w:r>
        <w:rPr>
          <w:rFonts w:ascii="Times New Roman" w:hAnsi="Times New Roman" w:cs="Times New Roman"/>
          <w:sz w:val="28"/>
          <w:szCs w:val="28"/>
        </w:rPr>
        <w:t>егкого. Также были обнаружены значительные связи с компонентами твердых частиц и раком легкого [127].</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Загрязнение воздуха внутри помещений в результате использования необработанных ископаемых видов топлива, таких как мягкий уголь и топливо из биомассы, вкл</w:t>
      </w:r>
      <w:r>
        <w:rPr>
          <w:rFonts w:ascii="Times New Roman" w:hAnsi="Times New Roman" w:cs="Times New Roman"/>
          <w:sz w:val="28"/>
          <w:szCs w:val="28"/>
        </w:rPr>
        <w:t>ючая древесину, другие материалы растительного происхождения и твердые отходы, для отопления и приготовления пищи, связано с риском рака легкого, прежде всего в развивающихся странах. В некоторых частях Азии это связано с раком легкого у никогда не куривши</w:t>
      </w:r>
      <w:r>
        <w:rPr>
          <w:rFonts w:ascii="Times New Roman" w:hAnsi="Times New Roman" w:cs="Times New Roman"/>
          <w:sz w:val="28"/>
          <w:szCs w:val="28"/>
        </w:rPr>
        <w:t xml:space="preserve">х [87, </w:t>
      </w:r>
      <w:r>
        <w:rPr>
          <w:rFonts w:ascii="Times New Roman" w:hAnsi="Times New Roman" w:cs="Times New Roman"/>
          <w:sz w:val="28"/>
          <w:szCs w:val="28"/>
          <w:lang w:val="en-US"/>
        </w:rPr>
        <w:t>p</w:t>
      </w:r>
      <w:r>
        <w:rPr>
          <w:rFonts w:ascii="Times New Roman" w:hAnsi="Times New Roman" w:cs="Times New Roman"/>
          <w:sz w:val="28"/>
          <w:szCs w:val="28"/>
        </w:rPr>
        <w:t xml:space="preserve">.207, 88, </w:t>
      </w:r>
      <w:r>
        <w:rPr>
          <w:rFonts w:ascii="Times New Roman" w:hAnsi="Times New Roman" w:cs="Times New Roman"/>
          <w:sz w:val="28"/>
          <w:szCs w:val="28"/>
          <w:lang w:val="en-US"/>
        </w:rPr>
        <w:t>p</w:t>
      </w:r>
      <w:r>
        <w:rPr>
          <w:rFonts w:ascii="Times New Roman" w:hAnsi="Times New Roman" w:cs="Times New Roman"/>
          <w:sz w:val="28"/>
          <w:szCs w:val="28"/>
        </w:rPr>
        <w:t>.11, 122, р.13]. Исследования показали, что правильная вентиляция закрытых помещений для приготовления пищи может снизить риск рака легкого на 50% [128].</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sz w:val="28"/>
          <w:szCs w:val="28"/>
        </w:rPr>
        <w:t xml:space="preserve">В то время как факторы окружающей среды и образ жизни, безусловно, ответственны за </w:t>
      </w:r>
      <w:r>
        <w:rPr>
          <w:rFonts w:ascii="Times New Roman" w:hAnsi="Times New Roman"/>
          <w:sz w:val="28"/>
          <w:szCs w:val="28"/>
        </w:rPr>
        <w:t xml:space="preserve">часть повышенного риска рака легкого, исследования, проведенные за последние несколько лет, установили, что существует также важный наследственный генетический вклад. </w:t>
      </w:r>
      <w:r>
        <w:rPr>
          <w:rFonts w:ascii="Times New Roman" w:hAnsi="Times New Roman"/>
          <w:sz w:val="28"/>
          <w:szCs w:val="28"/>
          <w:lang w:val="en-US"/>
        </w:rPr>
        <w:t>A</w:t>
      </w:r>
      <w:r>
        <w:rPr>
          <w:rFonts w:ascii="Times New Roman" w:hAnsi="Times New Roman"/>
          <w:sz w:val="28"/>
          <w:szCs w:val="28"/>
        </w:rPr>
        <w:t>нализ более 24 000 случаев рака легкого показал, что после исключения курения и других в</w:t>
      </w:r>
      <w:r>
        <w:rPr>
          <w:rFonts w:ascii="Times New Roman" w:hAnsi="Times New Roman"/>
          <w:sz w:val="28"/>
          <w:szCs w:val="28"/>
        </w:rPr>
        <w:t>лияющих факторов окружающей среды риск рака легкого увеличился в 1,5 раза у тех, у родственников первой степени родства [129]. Более того, согласно</w:t>
      </w:r>
      <w:r>
        <w:rPr>
          <w:rFonts w:ascii="Times New Roman" w:hAnsi="Times New Roman" w:cs="Times New Roman"/>
          <w:sz w:val="28"/>
          <w:szCs w:val="28"/>
        </w:rPr>
        <w:t xml:space="preserve"> данным исследований положительный семейный анамнез рака легкого был связан с повышением риска развития данно</w:t>
      </w:r>
      <w:r>
        <w:rPr>
          <w:rFonts w:ascii="Times New Roman" w:hAnsi="Times New Roman" w:cs="Times New Roman"/>
          <w:sz w:val="28"/>
          <w:szCs w:val="28"/>
        </w:rPr>
        <w:t>й патологии в 1,7 раза, а также, риск заболевания в 2–4 раза выше у родственников (первой степени) больных раком легкого [130,131].</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sz w:val="28"/>
          <w:szCs w:val="28"/>
        </w:rPr>
        <w:t>Исследование с участием 230 никогда не куривших участников с раком легкого показало, что 18% из них имели семейный анамнез з</w:t>
      </w:r>
      <w:r>
        <w:rPr>
          <w:rFonts w:ascii="Times New Roman" w:hAnsi="Times New Roman"/>
          <w:sz w:val="28"/>
          <w:szCs w:val="28"/>
        </w:rPr>
        <w:t>аболевания, а большая часть имела специфические генетические мутации, повышающие вероятность развития рака легкого [132,133]. Крупное проспективное исследование с участием близнецов показало, что общая наследуемость рака легкого составляет 18% [134].</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В рез</w:t>
      </w:r>
      <w:r>
        <w:rPr>
          <w:rFonts w:ascii="Times New Roman" w:hAnsi="Times New Roman" w:cs="Times New Roman"/>
          <w:sz w:val="28"/>
          <w:szCs w:val="28"/>
        </w:rPr>
        <w:t xml:space="preserve">ультате полногеномного исследования </w:t>
      </w:r>
      <w:r>
        <w:rPr>
          <w:rFonts w:ascii="Times New Roman" w:eastAsia="Helvetica" w:hAnsi="Times New Roman"/>
          <w:sz w:val="28"/>
          <w:szCs w:val="28"/>
          <w:shd w:val="clear" w:color="auto" w:fill="FFFFFF"/>
        </w:rPr>
        <w:t xml:space="preserve">135. </w:t>
      </w:r>
      <w:r>
        <w:rPr>
          <w:rFonts w:ascii="Times New Roman" w:eastAsia="Helvetica" w:hAnsi="Times New Roman"/>
          <w:sz w:val="28"/>
          <w:szCs w:val="28"/>
          <w:shd w:val="clear" w:color="auto" w:fill="FFFFFF"/>
          <w:lang w:val="en-US"/>
        </w:rPr>
        <w:t>Kachuri</w:t>
      </w:r>
      <w:r>
        <w:rPr>
          <w:rFonts w:ascii="Times New Roman" w:eastAsia="Helvetica" w:hAnsi="Times New Roman"/>
          <w:sz w:val="28"/>
          <w:szCs w:val="28"/>
          <w:shd w:val="clear" w:color="auto" w:fill="FFFFFF"/>
        </w:rPr>
        <w:t xml:space="preserve"> </w:t>
      </w:r>
      <w:r>
        <w:rPr>
          <w:rFonts w:ascii="Times New Roman" w:eastAsia="Helvetica" w:hAnsi="Times New Roman"/>
          <w:sz w:val="28"/>
          <w:szCs w:val="28"/>
          <w:shd w:val="clear" w:color="auto" w:fill="FFFFFF"/>
          <w:lang w:val="en-US"/>
        </w:rPr>
        <w:t>L</w:t>
      </w:r>
      <w:r>
        <w:rPr>
          <w:rFonts w:ascii="Times New Roman" w:eastAsia="Helvetica" w:hAnsi="Times New Roman"/>
          <w:sz w:val="28"/>
          <w:szCs w:val="28"/>
          <w:shd w:val="clear" w:color="auto" w:fill="FFFFFF"/>
        </w:rPr>
        <w:t>. с соавторами,</w:t>
      </w:r>
      <w:r>
        <w:rPr>
          <w:rFonts w:ascii="Times New Roman" w:hAnsi="Times New Roman" w:cs="Times New Roman"/>
          <w:sz w:val="28"/>
          <w:szCs w:val="28"/>
        </w:rPr>
        <w:t xml:space="preserve"> были обнаружены участки хромосом 5p15, 15q25-26 и 6q21, связанные с </w:t>
      </w:r>
      <w:r>
        <w:rPr>
          <w:rFonts w:ascii="Times New Roman" w:hAnsi="Times New Roman" w:cs="Times New Roman"/>
          <w:sz w:val="28"/>
          <w:szCs w:val="28"/>
        </w:rPr>
        <w:lastRenderedPageBreak/>
        <w:t>повышенным риском развития рака легкого [135]. В развитии рака легкого, область хромосомы 5р15, кодирующая теломеразную об</w:t>
      </w:r>
      <w:r>
        <w:rPr>
          <w:rFonts w:ascii="Times New Roman" w:hAnsi="Times New Roman" w:cs="Times New Roman"/>
          <w:sz w:val="28"/>
          <w:szCs w:val="28"/>
        </w:rPr>
        <w:t>ратную транскриптазу и участвующая в репликации клеток, связана с развитием аденокарциномы как у курильщиков, так и некурящих. Мутации в локусе хромосомы 15q25-26 имеют связь с никотиновой зависимостью и с предрасположенностью к возникновению рака легкого.</w:t>
      </w:r>
      <w:r>
        <w:rPr>
          <w:rFonts w:ascii="Times New Roman" w:hAnsi="Times New Roman" w:cs="Times New Roman"/>
          <w:sz w:val="28"/>
          <w:szCs w:val="28"/>
        </w:rPr>
        <w:t xml:space="preserve"> Изменения в хромосомном локусе 6p21 повышают риск для тех, кто никогда не курил [136,137]. </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sz w:val="28"/>
          <w:szCs w:val="28"/>
        </w:rPr>
        <w:t xml:space="preserve">Учеными </w:t>
      </w:r>
      <w:r>
        <w:rPr>
          <w:rFonts w:ascii="Times New Roman" w:hAnsi="Times New Roman"/>
          <w:sz w:val="28"/>
          <w:szCs w:val="28"/>
          <w:lang w:val="en-US"/>
        </w:rPr>
        <w:t>Velmurugan</w:t>
      </w:r>
      <w:r>
        <w:rPr>
          <w:rFonts w:ascii="Times New Roman" w:hAnsi="Times New Roman"/>
          <w:sz w:val="28"/>
          <w:szCs w:val="28"/>
        </w:rPr>
        <w:t xml:space="preserve"> </w:t>
      </w:r>
      <w:r>
        <w:rPr>
          <w:rFonts w:ascii="Times New Roman" w:hAnsi="Times New Roman"/>
          <w:sz w:val="28"/>
          <w:szCs w:val="28"/>
          <w:lang w:val="en-US"/>
        </w:rPr>
        <w:t>K</w:t>
      </w:r>
      <w:r>
        <w:rPr>
          <w:rFonts w:ascii="Times New Roman" w:hAnsi="Times New Roman"/>
          <w:sz w:val="28"/>
          <w:szCs w:val="28"/>
        </w:rPr>
        <w:t>.</w:t>
      </w:r>
      <w:r>
        <w:rPr>
          <w:rFonts w:ascii="Times New Roman" w:hAnsi="Times New Roman"/>
          <w:sz w:val="28"/>
          <w:szCs w:val="28"/>
          <w:lang w:val="en-US"/>
        </w:rPr>
        <w:t>R</w:t>
      </w:r>
      <w:r>
        <w:rPr>
          <w:rFonts w:ascii="Times New Roman" w:hAnsi="Times New Roman"/>
          <w:sz w:val="28"/>
          <w:szCs w:val="28"/>
        </w:rPr>
        <w:t>. с соавторами было высказано предположение, что хроническое воспаление в ответ на повторяющееся воздействие табака участвует в онкогенезе кл</w:t>
      </w:r>
      <w:r>
        <w:rPr>
          <w:rFonts w:ascii="Times New Roman" w:hAnsi="Times New Roman"/>
          <w:sz w:val="28"/>
          <w:szCs w:val="28"/>
        </w:rPr>
        <w:t>еток легких. Гены, кодирующие интерлейкины или циклооксигеназы, участвующие в воспалении, или металлопротеазы, участвующие в восстановлении во время воспаления, связаны с риском рака легкого [138].</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Некоторые мутации имеют постоянную связь с гистологией опу</w:t>
      </w:r>
      <w:r>
        <w:rPr>
          <w:rFonts w:ascii="Times New Roman" w:hAnsi="Times New Roman" w:cs="Times New Roman"/>
          <w:sz w:val="28"/>
          <w:szCs w:val="28"/>
        </w:rPr>
        <w:t>холи легких; например, мутации EGFR и EML4-ALK связаны с аденокарциномой у некурящих [139]. В то время как мелкоклеточный рак легкого характеризуется преимущественно изменениями в регуляции клеточного цикла, передаче сигналов Notch и нейроэндокринной диффе</w:t>
      </w:r>
      <w:r>
        <w:rPr>
          <w:rFonts w:ascii="Times New Roman" w:hAnsi="Times New Roman" w:cs="Times New Roman"/>
          <w:sz w:val="28"/>
          <w:szCs w:val="28"/>
        </w:rPr>
        <w:t xml:space="preserve">ренцировке. Данные исследования </w:t>
      </w:r>
      <w:r>
        <w:rPr>
          <w:rFonts w:ascii="Times New Roman" w:eastAsia="Helvetica" w:hAnsi="Times New Roman"/>
          <w:sz w:val="28"/>
          <w:szCs w:val="28"/>
          <w:shd w:val="clear" w:color="auto" w:fill="FFFFFF"/>
        </w:rPr>
        <w:t xml:space="preserve">140. </w:t>
      </w:r>
      <w:r>
        <w:rPr>
          <w:rFonts w:ascii="Times New Roman" w:eastAsia="Helvetica" w:hAnsi="Times New Roman"/>
          <w:sz w:val="28"/>
          <w:szCs w:val="28"/>
          <w:shd w:val="clear" w:color="auto" w:fill="FFFFFF"/>
          <w:lang w:val="en-US"/>
        </w:rPr>
        <w:t>Papavassiliou</w:t>
      </w:r>
      <w:r>
        <w:rPr>
          <w:rFonts w:ascii="Times New Roman" w:eastAsia="Helvetica" w:hAnsi="Times New Roman"/>
          <w:sz w:val="28"/>
          <w:szCs w:val="28"/>
          <w:shd w:val="clear" w:color="auto" w:fill="FFFFFF"/>
        </w:rPr>
        <w:t xml:space="preserve"> </w:t>
      </w:r>
      <w:r>
        <w:rPr>
          <w:rFonts w:ascii="Times New Roman" w:eastAsia="Helvetica" w:hAnsi="Times New Roman"/>
          <w:sz w:val="28"/>
          <w:szCs w:val="28"/>
          <w:shd w:val="clear" w:color="auto" w:fill="FFFFFF"/>
          <w:lang w:val="en-US"/>
        </w:rPr>
        <w:t>K</w:t>
      </w:r>
      <w:r>
        <w:rPr>
          <w:rFonts w:ascii="Times New Roman" w:eastAsia="Helvetica" w:hAnsi="Times New Roman"/>
          <w:sz w:val="28"/>
          <w:szCs w:val="28"/>
          <w:shd w:val="clear" w:color="auto" w:fill="FFFFFF"/>
        </w:rPr>
        <w:t>. с соавторами,</w:t>
      </w:r>
      <w:r>
        <w:rPr>
          <w:rFonts w:ascii="Times New Roman" w:hAnsi="Times New Roman" w:cs="Times New Roman"/>
          <w:sz w:val="28"/>
          <w:szCs w:val="28"/>
        </w:rPr>
        <w:t xml:space="preserve"> позволяют предположить, что потеря TP53 и RB1 в нейроэндокринных клетках дыхательных путей мышей приводит к возникновения мелкоклеточного рака легкого [140].</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 xml:space="preserve">Согласно данным исследований </w:t>
      </w:r>
      <w:r>
        <w:rPr>
          <w:rFonts w:ascii="Times New Roman" w:hAnsi="Times New Roman" w:cs="Times New Roman"/>
          <w:sz w:val="28"/>
          <w:szCs w:val="28"/>
          <w:lang w:val="en-US" w:eastAsia="zh-CN"/>
        </w:rPr>
        <w:t>Y</w:t>
      </w:r>
      <w:r>
        <w:rPr>
          <w:rFonts w:ascii="Times New Roman" w:hAnsi="Times New Roman" w:cs="Times New Roman"/>
          <w:sz w:val="28"/>
          <w:szCs w:val="28"/>
          <w:lang w:val="en-US" w:eastAsia="zh-CN"/>
        </w:rPr>
        <w:t>amamoto</w:t>
      </w:r>
      <w:r>
        <w:rPr>
          <w:rFonts w:ascii="Times New Roman" w:hAnsi="Times New Roman" w:cs="Times New Roman"/>
          <w:sz w:val="28"/>
          <w:szCs w:val="28"/>
          <w:lang w:eastAsia="zh-CN"/>
        </w:rPr>
        <w:t xml:space="preserve"> </w:t>
      </w:r>
      <w:r>
        <w:rPr>
          <w:rFonts w:ascii="Times New Roman" w:hAnsi="Times New Roman" w:cs="Times New Roman"/>
          <w:sz w:val="28"/>
          <w:szCs w:val="28"/>
          <w:lang w:val="en-US" w:eastAsia="zh-CN"/>
        </w:rPr>
        <w:t>H</w:t>
      </w:r>
      <w:r>
        <w:rPr>
          <w:rFonts w:ascii="Times New Roman" w:hAnsi="Times New Roman" w:cs="Times New Roman"/>
          <w:sz w:val="28"/>
          <w:szCs w:val="28"/>
          <w:lang w:eastAsia="zh-CN"/>
        </w:rPr>
        <w:t>. с соавторами,</w:t>
      </w:r>
      <w:r>
        <w:rPr>
          <w:rFonts w:ascii="Times New Roman" w:hAnsi="Times New Roman" w:cs="Times New Roman"/>
          <w:sz w:val="28"/>
          <w:szCs w:val="28"/>
        </w:rPr>
        <w:t xml:space="preserve"> большинство случаев рака легкого не связаны с наследственными генетическими изменениями, но имеют связь с соматическими мутациями, которые возникают только в определенных клетках легочной ткани. В редких случаях, когда рак легкого связан с унаследованными</w:t>
      </w:r>
      <w:r>
        <w:rPr>
          <w:rFonts w:ascii="Times New Roman" w:hAnsi="Times New Roman" w:cs="Times New Roman"/>
          <w:sz w:val="28"/>
          <w:szCs w:val="28"/>
        </w:rPr>
        <w:t xml:space="preserve"> генетическими изменениями, риск возникновения рака следует по аутосомно-доминантному типу, что означает, что одной копии измененного гена в каждой клетке достаточно, чтобы увеличить вероятность развития заболевания. Важно отметить, что согласно предположе</w:t>
      </w:r>
      <w:r>
        <w:rPr>
          <w:rFonts w:ascii="Times New Roman" w:hAnsi="Times New Roman" w:cs="Times New Roman"/>
          <w:sz w:val="28"/>
          <w:szCs w:val="28"/>
        </w:rPr>
        <w:t>ниям, ученых имеется наследственная предрасположенность повышенного риска развития рака, а не само заболевание. Таким образом, не у всех людей, которые наследуют мутации в этих генах, развивается рак легкого [141,142].</w:t>
      </w:r>
    </w:p>
    <w:p w:rsidR="00A75A8D" w:rsidRDefault="008A6A51">
      <w:pPr>
        <w:spacing w:after="0" w:line="240" w:lineRule="auto"/>
        <w:ind w:firstLineChars="201" w:firstLine="563"/>
        <w:jc w:val="both"/>
        <w:rPr>
          <w:rFonts w:ascii="Times New Roman" w:hAnsi="Times New Roman"/>
          <w:sz w:val="28"/>
          <w:szCs w:val="28"/>
        </w:rPr>
      </w:pPr>
      <w:r>
        <w:rPr>
          <w:rFonts w:ascii="Times New Roman" w:hAnsi="Times New Roman"/>
          <w:sz w:val="28"/>
          <w:szCs w:val="28"/>
        </w:rPr>
        <w:t>По данным литературных источников, хр</w:t>
      </w:r>
      <w:r>
        <w:rPr>
          <w:rFonts w:ascii="Times New Roman" w:hAnsi="Times New Roman"/>
          <w:sz w:val="28"/>
          <w:szCs w:val="28"/>
        </w:rPr>
        <w:t xml:space="preserve">онические заболевания легких также связаны с повышенным риском развития рака легкого, причем наиболее сильная связь наблюдается с хронической обструктивной болезнью легких (ХОБЛ), особенно у мужчин [143-145]. </w:t>
      </w:r>
    </w:p>
    <w:p w:rsidR="00A75A8D" w:rsidRDefault="008A6A51">
      <w:pPr>
        <w:spacing w:after="0" w:line="240" w:lineRule="auto"/>
        <w:ind w:firstLineChars="201" w:firstLine="563"/>
        <w:jc w:val="both"/>
        <w:rPr>
          <w:rFonts w:ascii="Times New Roman" w:hAnsi="Times New Roman"/>
          <w:sz w:val="28"/>
          <w:szCs w:val="28"/>
        </w:rPr>
      </w:pPr>
      <w:r>
        <w:rPr>
          <w:rFonts w:ascii="Times New Roman" w:hAnsi="Times New Roman"/>
          <w:sz w:val="28"/>
          <w:szCs w:val="28"/>
        </w:rPr>
        <w:t xml:space="preserve">Согласно исследованиям, проводимым для оценки </w:t>
      </w:r>
      <w:r>
        <w:rPr>
          <w:rFonts w:ascii="Times New Roman" w:hAnsi="Times New Roman"/>
          <w:sz w:val="28"/>
          <w:szCs w:val="28"/>
        </w:rPr>
        <w:t>взаимосвязи между ХОБЛ и раком легкого, распространенность ХОБЛ у пациентов с раком легкого колеблется от 28,4% до 39,8% [146,147]. По данным метаанализа, в который были включены 7 368 пациентов, у 2 809 из которых на компьютерной томографии была обнаружен</w:t>
      </w:r>
      <w:r>
        <w:rPr>
          <w:rFonts w:ascii="Times New Roman" w:hAnsi="Times New Roman"/>
          <w:sz w:val="28"/>
          <w:szCs w:val="28"/>
        </w:rPr>
        <w:t>а эмфизема легких и 870 больных с раком легкого, риск развития последнего составлял 2,11 (95% ДИ 1,10–4,04) для пациентов с эмфиземой [148].</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lastRenderedPageBreak/>
        <w:t>Таким образом, учитывая многофакторность рисков развития рака легкого, необходимо принимать во внимание все возможн</w:t>
      </w:r>
      <w:r>
        <w:rPr>
          <w:rFonts w:ascii="Times New Roman" w:hAnsi="Times New Roman" w:cs="Times New Roman"/>
          <w:sz w:val="28"/>
          <w:szCs w:val="28"/>
        </w:rPr>
        <w:t>ые причины при формировании групп риска для проведения более эффективной ранней диагностики.</w:t>
      </w:r>
    </w:p>
    <w:p w:rsidR="00A75A8D" w:rsidRDefault="00A75A8D">
      <w:pPr>
        <w:spacing w:after="0" w:line="240" w:lineRule="auto"/>
        <w:ind w:firstLineChars="201" w:firstLine="563"/>
        <w:jc w:val="both"/>
        <w:rPr>
          <w:rFonts w:ascii="Times New Roman" w:hAnsi="Times New Roman" w:cs="Times New Roman"/>
          <w:sz w:val="28"/>
          <w:szCs w:val="28"/>
        </w:rPr>
      </w:pPr>
    </w:p>
    <w:p w:rsidR="00A75A8D" w:rsidRDefault="008A6A51">
      <w:pPr>
        <w:pStyle w:val="af4"/>
        <w:ind w:firstLine="567"/>
        <w:jc w:val="left"/>
        <w:rPr>
          <w:rFonts w:ascii="Times New Roman" w:hAnsi="Times New Roman"/>
          <w:b/>
          <w:sz w:val="28"/>
        </w:rPr>
      </w:pPr>
      <w:bookmarkStart w:id="8" w:name="_Toc186925727"/>
      <w:r>
        <w:rPr>
          <w:rFonts w:ascii="Times New Roman" w:hAnsi="Times New Roman"/>
          <w:b/>
          <w:sz w:val="28"/>
        </w:rPr>
        <w:t>1.3 Методы исследования в диагностике рака легкого</w:t>
      </w:r>
      <w:bookmarkEnd w:id="8"/>
      <w:r>
        <w:rPr>
          <w:rFonts w:ascii="Times New Roman" w:hAnsi="Times New Roman"/>
          <w:b/>
          <w:sz w:val="28"/>
        </w:rPr>
        <w:t xml:space="preserve"> </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Первые попытки ранней диагностики рака легкого были предприняты в 50-е годы прошлого столетия с применением ре</w:t>
      </w:r>
      <w:r>
        <w:rPr>
          <w:rFonts w:ascii="Times New Roman" w:hAnsi="Times New Roman" w:cs="Times New Roman"/>
          <w:sz w:val="28"/>
          <w:szCs w:val="28"/>
        </w:rPr>
        <w:t xml:space="preserve">нтгенологических, цитологических методов и их комбинаций. По всему миру было проведено несколько десятков различных по дизайну исследований. </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Одно из первых проспективных исследований - The Philadelphia Pulmonary Neoplasm Research Project, было начато в 19</w:t>
      </w:r>
      <w:r>
        <w:rPr>
          <w:rFonts w:ascii="Times New Roman" w:hAnsi="Times New Roman" w:cs="Times New Roman"/>
          <w:sz w:val="28"/>
          <w:szCs w:val="28"/>
        </w:rPr>
        <w:t>51 году. В качестве метода ранней диагностики рака легкого была применена флюорография. Участниками были 6136 мужчин в возрасте от 45 лет. Согласно дизайну, каждые 6 месяцев участникам проводилась флюорография. Появление изменений на флюорограммах, появлен</w:t>
      </w:r>
      <w:r>
        <w:rPr>
          <w:rFonts w:ascii="Times New Roman" w:hAnsi="Times New Roman" w:cs="Times New Roman"/>
          <w:sz w:val="28"/>
          <w:szCs w:val="28"/>
        </w:rPr>
        <w:t xml:space="preserve">ие кашля, кровохарканья, односторонних хрипов при аускультации или потеря веса были показаниями для консультации с врачом и для проведения более детального исследования – рентгенографии органов грудной клетки. За десятилетний период наблюдения, всего было </w:t>
      </w:r>
      <w:r>
        <w:rPr>
          <w:rFonts w:ascii="Times New Roman" w:hAnsi="Times New Roman" w:cs="Times New Roman"/>
          <w:sz w:val="28"/>
          <w:szCs w:val="28"/>
        </w:rPr>
        <w:t xml:space="preserve">выявлено 121 новых случаев рака легкого, а 5-летняя выживаемость составила 8% [149]. </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 xml:space="preserve">Похожее по дизайну исследование было проведено в округе Эрфурт, Германия, с участием 41 532 мужчин, которым проводилась флюорография с 6-месячным интервалом (опытная </w:t>
      </w:r>
      <w:r>
        <w:rPr>
          <w:rFonts w:ascii="Times New Roman" w:hAnsi="Times New Roman" w:cs="Times New Roman"/>
          <w:sz w:val="28"/>
          <w:szCs w:val="28"/>
        </w:rPr>
        <w:t>группа) и с интервалом 18 месяцев (контрольная группа). В результате исследования не было достигнуто значительного снижения смертности от рака легкого. Однако, полугодовой скрининг привел к более высокому уровню выявления (9% против 6,5%), увеличению часто</w:t>
      </w:r>
      <w:r>
        <w:rPr>
          <w:rFonts w:ascii="Times New Roman" w:hAnsi="Times New Roman" w:cs="Times New Roman"/>
          <w:sz w:val="28"/>
          <w:szCs w:val="28"/>
        </w:rPr>
        <w:t>ты резекции (28% против 19%) и более высокой 5- и 10-летней выживаемости (52%; 27% против 39%; 19%), чем скрининг с интервалом в 18 месяцев [150].</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Другое, более крупное, проспективное исследование, проведенное B</w:t>
      </w:r>
      <w:r>
        <w:rPr>
          <w:rFonts w:ascii="Times New Roman" w:hAnsi="Times New Roman" w:cs="Times New Roman"/>
          <w:sz w:val="28"/>
          <w:szCs w:val="28"/>
          <w:lang w:val="en-US"/>
        </w:rPr>
        <w:t>rett</w:t>
      </w:r>
      <w:r>
        <w:rPr>
          <w:rFonts w:ascii="Times New Roman" w:hAnsi="Times New Roman" w:cs="Times New Roman"/>
          <w:sz w:val="28"/>
          <w:szCs w:val="28"/>
        </w:rPr>
        <w:t xml:space="preserve"> G. Z. и опубликованное в 1968 году, вклю</w:t>
      </w:r>
      <w:r>
        <w:rPr>
          <w:rFonts w:ascii="Times New Roman" w:hAnsi="Times New Roman" w:cs="Times New Roman"/>
          <w:sz w:val="28"/>
          <w:szCs w:val="28"/>
        </w:rPr>
        <w:t>чало 55 034 мужчин в возрасте 40 лет и старше. С целью оценки раннего выявления рака легкого использовалась рентгенография органов грудной клетки, проводимая каждые шесть месяцев. Участники были разделены на 2 группы. Опытной группе проводилась рентгеногра</w:t>
      </w:r>
      <w:r>
        <w:rPr>
          <w:rFonts w:ascii="Times New Roman" w:hAnsi="Times New Roman" w:cs="Times New Roman"/>
          <w:sz w:val="28"/>
          <w:szCs w:val="28"/>
        </w:rPr>
        <w:t>фия каждые шесть месяцев в течение трех лет, в то время как контрольной группе рентгенография проводилась только в начале и в конце исследования. Резектабельный рак легкого в опытной группе был выявлен в 43,6% случаев, тогда как в контрольной у 29% участни</w:t>
      </w:r>
      <w:r>
        <w:rPr>
          <w:rFonts w:ascii="Times New Roman" w:hAnsi="Times New Roman" w:cs="Times New Roman"/>
          <w:sz w:val="28"/>
          <w:szCs w:val="28"/>
        </w:rPr>
        <w:t>ков. Однако, существенной разницы в смертности между двумя группами не наблюдалось, 62 и 59 случаев смерти в опытной и контрольной группах соответственно [151].</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 xml:space="preserve">В 1974 году было начато исследование </w:t>
      </w:r>
      <w:r>
        <w:rPr>
          <w:rFonts w:ascii="Times New Roman" w:hAnsi="Times New Roman" w:cs="Times New Roman"/>
          <w:sz w:val="28"/>
          <w:szCs w:val="28"/>
          <w:lang w:val="en-US"/>
        </w:rPr>
        <w:t>The</w:t>
      </w:r>
      <w:r>
        <w:rPr>
          <w:rFonts w:ascii="Times New Roman" w:hAnsi="Times New Roman" w:cs="Times New Roman"/>
          <w:sz w:val="28"/>
          <w:szCs w:val="28"/>
        </w:rPr>
        <w:t xml:space="preserve"> </w:t>
      </w:r>
      <w:r>
        <w:rPr>
          <w:rFonts w:ascii="Times New Roman" w:hAnsi="Times New Roman" w:cs="Times New Roman"/>
          <w:sz w:val="28"/>
          <w:szCs w:val="28"/>
          <w:lang w:val="en-US"/>
        </w:rPr>
        <w:t>Memorial</w:t>
      </w:r>
      <w:r>
        <w:rPr>
          <w:rFonts w:ascii="Times New Roman" w:hAnsi="Times New Roman" w:cs="Times New Roman"/>
          <w:sz w:val="28"/>
          <w:szCs w:val="28"/>
        </w:rPr>
        <w:t>-</w:t>
      </w:r>
      <w:r>
        <w:rPr>
          <w:rFonts w:ascii="Times New Roman" w:hAnsi="Times New Roman" w:cs="Times New Roman"/>
          <w:sz w:val="28"/>
          <w:szCs w:val="28"/>
          <w:lang w:val="en-US"/>
        </w:rPr>
        <w:t>Sloan</w:t>
      </w:r>
      <w:r>
        <w:rPr>
          <w:rFonts w:ascii="Times New Roman" w:hAnsi="Times New Roman" w:cs="Times New Roman"/>
          <w:sz w:val="28"/>
          <w:szCs w:val="28"/>
        </w:rPr>
        <w:t xml:space="preserve"> </w:t>
      </w:r>
      <w:r>
        <w:rPr>
          <w:rFonts w:ascii="Times New Roman" w:hAnsi="Times New Roman" w:cs="Times New Roman"/>
          <w:sz w:val="28"/>
          <w:szCs w:val="28"/>
          <w:lang w:val="en-US"/>
        </w:rPr>
        <w:t>Kettering</w:t>
      </w:r>
      <w:r>
        <w:rPr>
          <w:rFonts w:ascii="Times New Roman" w:hAnsi="Times New Roman" w:cs="Times New Roman"/>
          <w:sz w:val="28"/>
          <w:szCs w:val="28"/>
        </w:rPr>
        <w:t>, включающее 10 040 участников</w:t>
      </w:r>
      <w:r>
        <w:rPr>
          <w:rFonts w:ascii="Times New Roman" w:hAnsi="Times New Roman" w:cs="Times New Roman"/>
          <w:sz w:val="28"/>
          <w:szCs w:val="28"/>
        </w:rPr>
        <w:t xml:space="preserve"> (курящие мужчины в возрасте 45 лет и старше). Целью исследования было оценить возможность цитологического исследования мокроты в качестве дополнения к ежегодно проводимой рентгенографии органов грудной клетки. По результатам исследования, 40% случаев рака</w:t>
      </w:r>
      <w:r>
        <w:rPr>
          <w:rFonts w:ascii="Times New Roman" w:hAnsi="Times New Roman" w:cs="Times New Roman"/>
          <w:sz w:val="28"/>
          <w:szCs w:val="28"/>
        </w:rPr>
        <w:t xml:space="preserve"> легкого были диагностированы на I стадии, а 5-летняя выживаемость составила 76%, общая </w:t>
      </w:r>
      <w:r>
        <w:rPr>
          <w:rFonts w:ascii="Times New Roman" w:hAnsi="Times New Roman" w:cs="Times New Roman"/>
          <w:sz w:val="28"/>
          <w:szCs w:val="28"/>
        </w:rPr>
        <w:lastRenderedPageBreak/>
        <w:t>выживаемость составила 35%. Около трети случаев рака легкого была обнаружена при двойном скрининге (сочетание рентгенографии с цитологическим исследованием мокроты), 14</w:t>
      </w:r>
      <w:r>
        <w:rPr>
          <w:rFonts w:ascii="Times New Roman" w:hAnsi="Times New Roman" w:cs="Times New Roman"/>
          <w:sz w:val="28"/>
          <w:szCs w:val="28"/>
        </w:rPr>
        <w:t>% случаев рака легкого были обнаружены при цитологическом исследовании мокроты. Такое же количество пациентов с раком легкого, но с более поздними стадиями, были диагностированы в группе только рентгенографии. Тем не менее, в результате исследования статис</w:t>
      </w:r>
      <w:r>
        <w:rPr>
          <w:rFonts w:ascii="Times New Roman" w:hAnsi="Times New Roman" w:cs="Times New Roman"/>
          <w:sz w:val="28"/>
          <w:szCs w:val="28"/>
        </w:rPr>
        <w:t>тически значимых различий по выживаемости и смертности между двумя группами (только рентгенография и рентгенография в сочетании с цитологическим исследованием мокроты) выявлено не было. Это позволило предположить авторам, что плоскоклеточный рак, обнаружен</w:t>
      </w:r>
      <w:r>
        <w:rPr>
          <w:rFonts w:ascii="Times New Roman" w:hAnsi="Times New Roman" w:cs="Times New Roman"/>
          <w:sz w:val="28"/>
          <w:szCs w:val="28"/>
        </w:rPr>
        <w:t xml:space="preserve">ный только при цитологическом исследовании, имеет медленный темп роста и, соответственно, тенденцию оставаться локализованными до тех пор, пока не будет обнаружен при рентгенологическом исследовании [55, р.47]. </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 xml:space="preserve">В исследовании </w:t>
      </w:r>
      <w:r>
        <w:rPr>
          <w:rFonts w:ascii="Times New Roman" w:hAnsi="Times New Roman" w:cs="Times New Roman"/>
          <w:sz w:val="28"/>
          <w:szCs w:val="28"/>
          <w:lang w:val="en-US"/>
        </w:rPr>
        <w:t>The</w:t>
      </w:r>
      <w:r>
        <w:rPr>
          <w:rFonts w:ascii="Times New Roman" w:hAnsi="Times New Roman" w:cs="Times New Roman"/>
          <w:sz w:val="28"/>
          <w:szCs w:val="28"/>
        </w:rPr>
        <w:t xml:space="preserve"> </w:t>
      </w:r>
      <w:r>
        <w:rPr>
          <w:rFonts w:ascii="Times New Roman" w:hAnsi="Times New Roman" w:cs="Times New Roman"/>
          <w:sz w:val="28"/>
          <w:szCs w:val="28"/>
          <w:lang w:val="en-US" w:eastAsia="zh-CN"/>
        </w:rPr>
        <w:t>Johns</w:t>
      </w:r>
      <w:r>
        <w:rPr>
          <w:rFonts w:ascii="Times New Roman" w:hAnsi="Times New Roman" w:cs="Times New Roman"/>
          <w:sz w:val="28"/>
          <w:szCs w:val="28"/>
          <w:lang w:eastAsia="zh-CN"/>
        </w:rPr>
        <w:t xml:space="preserve"> </w:t>
      </w:r>
      <w:r>
        <w:rPr>
          <w:rFonts w:ascii="Times New Roman" w:hAnsi="Times New Roman" w:cs="Times New Roman"/>
          <w:sz w:val="28"/>
          <w:szCs w:val="28"/>
          <w:lang w:val="en-US" w:eastAsia="zh-CN"/>
        </w:rPr>
        <w:t>Hopkins</w:t>
      </w:r>
      <w:r>
        <w:rPr>
          <w:rFonts w:ascii="Times New Roman" w:hAnsi="Times New Roman" w:cs="Times New Roman"/>
          <w:sz w:val="28"/>
          <w:szCs w:val="28"/>
          <w:lang w:eastAsia="zh-CN"/>
        </w:rPr>
        <w:t xml:space="preserve"> </w:t>
      </w:r>
      <w:r>
        <w:rPr>
          <w:rFonts w:ascii="Times New Roman" w:hAnsi="Times New Roman" w:cs="Times New Roman"/>
          <w:sz w:val="28"/>
          <w:szCs w:val="28"/>
          <w:lang w:val="en-US" w:eastAsia="zh-CN"/>
        </w:rPr>
        <w:t>Study</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в</w:t>
      </w:r>
      <w:r>
        <w:rPr>
          <w:rFonts w:ascii="Times New Roman" w:hAnsi="Times New Roman" w:cs="Times New Roman"/>
          <w:sz w:val="28"/>
          <w:szCs w:val="28"/>
          <w:lang w:val="kk-KZ"/>
        </w:rPr>
        <w:t xml:space="preserve"> ко</w:t>
      </w:r>
      <w:r>
        <w:rPr>
          <w:rFonts w:ascii="Times New Roman" w:hAnsi="Times New Roman" w:cs="Times New Roman"/>
          <w:sz w:val="28"/>
          <w:szCs w:val="28"/>
          <w:lang w:val="kk-KZ"/>
        </w:rPr>
        <w:t>тором приняли участие</w:t>
      </w:r>
      <w:r>
        <w:rPr>
          <w:rFonts w:ascii="Times New Roman" w:hAnsi="Times New Roman" w:cs="Times New Roman"/>
          <w:sz w:val="28"/>
          <w:szCs w:val="28"/>
        </w:rPr>
        <w:t xml:space="preserve"> 10 387 мужчин, курильщики&gt; 45 лет, участники были разделены на две группы. Первой проводили рентгенографию органов клетки в двух проекциях, вторая группа проходила двойной скрининг. В результате ученые заключили, когда имелись подозре</w:t>
      </w:r>
      <w:r>
        <w:rPr>
          <w:rFonts w:ascii="Times New Roman" w:hAnsi="Times New Roman" w:cs="Times New Roman"/>
          <w:sz w:val="28"/>
          <w:szCs w:val="28"/>
        </w:rPr>
        <w:t>ния на рак легкого при интерпретации рентгенограмм, но цитологический анализ мокроты выявлял атипию средней или слабой степени, вероятность рака легкого составляла 50%. Однако, всякий раз, когда рак диагностировался по результату мокроты, независимо от рен</w:t>
      </w:r>
      <w:r>
        <w:rPr>
          <w:rFonts w:ascii="Times New Roman" w:hAnsi="Times New Roman" w:cs="Times New Roman"/>
          <w:sz w:val="28"/>
          <w:szCs w:val="28"/>
        </w:rPr>
        <w:t>тгенологического исследования, в конечном итоге доказывалось наличие рака. По результатам исследования, в обеих группах было диагностировано практически одинаковое количество подтвержденных случаев рака легкого (39/40). Тем не менее, при анализе выживаемос</w:t>
      </w:r>
      <w:r>
        <w:rPr>
          <w:rFonts w:ascii="Times New Roman" w:hAnsi="Times New Roman" w:cs="Times New Roman"/>
          <w:sz w:val="28"/>
          <w:szCs w:val="28"/>
        </w:rPr>
        <w:t>ти не было установлено значимой разницы между группами [56, р. 550].</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  </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 xml:space="preserve">Целью другого крупного исследования </w:t>
      </w:r>
      <w:r>
        <w:rPr>
          <w:rFonts w:ascii="Times New Roman" w:hAnsi="Times New Roman" w:cs="Times New Roman"/>
          <w:sz w:val="28"/>
          <w:szCs w:val="28"/>
          <w:lang w:val="en-US"/>
        </w:rPr>
        <w:t>Mayo</w:t>
      </w:r>
      <w:r>
        <w:rPr>
          <w:rFonts w:ascii="Times New Roman" w:hAnsi="Times New Roman" w:cs="Times New Roman"/>
          <w:sz w:val="28"/>
          <w:szCs w:val="28"/>
        </w:rPr>
        <w:t xml:space="preserve"> </w:t>
      </w:r>
      <w:r>
        <w:rPr>
          <w:rFonts w:ascii="Times New Roman" w:hAnsi="Times New Roman" w:cs="Times New Roman"/>
          <w:sz w:val="28"/>
          <w:szCs w:val="28"/>
          <w:lang w:val="en-US"/>
        </w:rPr>
        <w:t>Lung</w:t>
      </w:r>
      <w:r>
        <w:rPr>
          <w:rFonts w:ascii="Times New Roman" w:hAnsi="Times New Roman" w:cs="Times New Roman"/>
          <w:sz w:val="28"/>
          <w:szCs w:val="28"/>
        </w:rPr>
        <w:t xml:space="preserve"> </w:t>
      </w:r>
      <w:r>
        <w:rPr>
          <w:rFonts w:ascii="Times New Roman" w:hAnsi="Times New Roman" w:cs="Times New Roman"/>
          <w:sz w:val="28"/>
          <w:szCs w:val="28"/>
          <w:lang w:val="en-US"/>
        </w:rPr>
        <w:t>Cancer</w:t>
      </w:r>
      <w:r>
        <w:rPr>
          <w:rFonts w:ascii="Times New Roman" w:hAnsi="Times New Roman" w:cs="Times New Roman"/>
          <w:sz w:val="28"/>
          <w:szCs w:val="28"/>
        </w:rPr>
        <w:t xml:space="preserve"> </w:t>
      </w:r>
      <w:r>
        <w:rPr>
          <w:rFonts w:ascii="Times New Roman" w:hAnsi="Times New Roman" w:cs="Times New Roman"/>
          <w:sz w:val="28"/>
          <w:szCs w:val="28"/>
          <w:lang w:val="en-US"/>
        </w:rPr>
        <w:t>Project</w:t>
      </w:r>
      <w:r>
        <w:rPr>
          <w:rFonts w:ascii="Times New Roman" w:hAnsi="Times New Roman" w:cs="Times New Roman"/>
          <w:sz w:val="28"/>
          <w:szCs w:val="28"/>
        </w:rPr>
        <w:t xml:space="preserve"> (1971-1983), включающего 9 000 участников, было оценить скрининг рака легкого с помощью рентгенографии органов грудной клетки и цитологического анализа мокроты каждые 4 месяца в течение 6 лет. Главным выводом проекта стало признание скрининга неэффективны</w:t>
      </w:r>
      <w:r>
        <w:rPr>
          <w:rFonts w:ascii="Times New Roman" w:hAnsi="Times New Roman" w:cs="Times New Roman"/>
          <w:sz w:val="28"/>
          <w:szCs w:val="28"/>
        </w:rPr>
        <w:t xml:space="preserve">м. Несмотря на повышение выявляемости, резектабельности и выживаемости, снижение смертности в скрининговой группе не наблюдалось [57, р. 747].  </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 xml:space="preserve">Одно из последних исследований, доказавших неэффективность рентгенографии как метода скрининга рака легкого - </w:t>
      </w:r>
      <w:r>
        <w:rPr>
          <w:rFonts w:ascii="Times New Roman" w:hAnsi="Times New Roman" w:cs="Times New Roman"/>
          <w:sz w:val="28"/>
          <w:szCs w:val="28"/>
          <w:lang w:val="en-US"/>
        </w:rPr>
        <w:t>P</w:t>
      </w:r>
      <w:r>
        <w:rPr>
          <w:rFonts w:ascii="Times New Roman" w:hAnsi="Times New Roman" w:cs="Times New Roman"/>
          <w:sz w:val="28"/>
          <w:szCs w:val="28"/>
          <w:lang w:val="en-US"/>
        </w:rPr>
        <w:t>rostate</w:t>
      </w:r>
      <w:r>
        <w:rPr>
          <w:rFonts w:ascii="Times New Roman" w:hAnsi="Times New Roman" w:cs="Times New Roman"/>
          <w:sz w:val="28"/>
          <w:szCs w:val="28"/>
        </w:rPr>
        <w:t xml:space="preserve">, </w:t>
      </w:r>
      <w:r>
        <w:rPr>
          <w:rFonts w:ascii="Times New Roman" w:hAnsi="Times New Roman" w:cs="Times New Roman"/>
          <w:sz w:val="28"/>
          <w:szCs w:val="28"/>
          <w:lang w:val="en-US"/>
        </w:rPr>
        <w:t>Lung</w:t>
      </w:r>
      <w:r>
        <w:rPr>
          <w:rFonts w:ascii="Times New Roman" w:hAnsi="Times New Roman" w:cs="Times New Roman"/>
          <w:sz w:val="28"/>
          <w:szCs w:val="28"/>
        </w:rPr>
        <w:t xml:space="preserve">, </w:t>
      </w:r>
      <w:r>
        <w:rPr>
          <w:rFonts w:ascii="Times New Roman" w:hAnsi="Times New Roman" w:cs="Times New Roman"/>
          <w:sz w:val="28"/>
          <w:szCs w:val="28"/>
          <w:lang w:val="en-US"/>
        </w:rPr>
        <w:t>Colorectal</w:t>
      </w:r>
      <w:r>
        <w:rPr>
          <w:rFonts w:ascii="Times New Roman" w:hAnsi="Times New Roman" w:cs="Times New Roman"/>
          <w:sz w:val="28"/>
          <w:szCs w:val="28"/>
        </w:rPr>
        <w:t xml:space="preserve"> </w:t>
      </w:r>
      <w:r>
        <w:rPr>
          <w:rFonts w:ascii="Times New Roman" w:hAnsi="Times New Roman" w:cs="Times New Roman"/>
          <w:sz w:val="28"/>
          <w:szCs w:val="28"/>
          <w:lang w:val="en-US"/>
        </w:rPr>
        <w:t>and</w:t>
      </w:r>
      <w:r>
        <w:rPr>
          <w:rFonts w:ascii="Times New Roman" w:hAnsi="Times New Roman" w:cs="Times New Roman"/>
          <w:sz w:val="28"/>
          <w:szCs w:val="28"/>
        </w:rPr>
        <w:t xml:space="preserve"> </w:t>
      </w:r>
      <w:r>
        <w:rPr>
          <w:rFonts w:ascii="Times New Roman" w:hAnsi="Times New Roman" w:cs="Times New Roman"/>
          <w:sz w:val="28"/>
          <w:szCs w:val="28"/>
          <w:lang w:val="en-US"/>
        </w:rPr>
        <w:t>Ovarian</w:t>
      </w:r>
      <w:r>
        <w:rPr>
          <w:rFonts w:ascii="Times New Roman" w:hAnsi="Times New Roman" w:cs="Times New Roman"/>
          <w:sz w:val="28"/>
          <w:szCs w:val="28"/>
        </w:rPr>
        <w:t xml:space="preserve"> (</w:t>
      </w:r>
      <w:r>
        <w:rPr>
          <w:rFonts w:ascii="Times New Roman" w:hAnsi="Times New Roman" w:cs="Times New Roman"/>
          <w:sz w:val="28"/>
          <w:szCs w:val="28"/>
          <w:lang w:val="en-US"/>
        </w:rPr>
        <w:t>PLCO</w:t>
      </w:r>
      <w:r>
        <w:rPr>
          <w:rFonts w:ascii="Times New Roman" w:hAnsi="Times New Roman" w:cs="Times New Roman"/>
          <w:sz w:val="28"/>
          <w:szCs w:val="28"/>
        </w:rPr>
        <w:t xml:space="preserve">) </w:t>
      </w:r>
      <w:r>
        <w:rPr>
          <w:rFonts w:ascii="Times New Roman" w:hAnsi="Times New Roman" w:cs="Times New Roman"/>
          <w:sz w:val="28"/>
          <w:szCs w:val="28"/>
          <w:lang w:val="en-US"/>
        </w:rPr>
        <w:t>Cancer</w:t>
      </w:r>
      <w:r>
        <w:rPr>
          <w:rFonts w:ascii="Times New Roman" w:hAnsi="Times New Roman" w:cs="Times New Roman"/>
          <w:sz w:val="28"/>
          <w:szCs w:val="28"/>
        </w:rPr>
        <w:t xml:space="preserve"> </w:t>
      </w:r>
      <w:r>
        <w:rPr>
          <w:rFonts w:ascii="Times New Roman" w:hAnsi="Times New Roman" w:cs="Times New Roman"/>
          <w:sz w:val="28"/>
          <w:szCs w:val="28"/>
          <w:lang w:val="en-US"/>
        </w:rPr>
        <w:t>Screening</w:t>
      </w:r>
      <w:r>
        <w:rPr>
          <w:rFonts w:ascii="Times New Roman" w:hAnsi="Times New Roman" w:cs="Times New Roman"/>
          <w:sz w:val="28"/>
          <w:szCs w:val="28"/>
        </w:rPr>
        <w:t xml:space="preserve"> </w:t>
      </w:r>
      <w:r>
        <w:rPr>
          <w:rFonts w:ascii="Times New Roman" w:hAnsi="Times New Roman" w:cs="Times New Roman"/>
          <w:sz w:val="28"/>
          <w:szCs w:val="28"/>
          <w:lang w:val="en-US"/>
        </w:rPr>
        <w:t>Trial</w:t>
      </w:r>
      <w:r>
        <w:rPr>
          <w:rFonts w:ascii="Times New Roman" w:hAnsi="Times New Roman" w:cs="Times New Roman"/>
          <w:sz w:val="28"/>
          <w:szCs w:val="28"/>
        </w:rPr>
        <w:t>. Проект включал 154 901 участников, в возрасте от 55 до 74 лет. Опытной группе участников проводили ежегодную рентгенографию органов грудной клетки в течение 4 лет, в то время как участник</w:t>
      </w:r>
      <w:r>
        <w:rPr>
          <w:rFonts w:ascii="Times New Roman" w:hAnsi="Times New Roman" w:cs="Times New Roman"/>
          <w:sz w:val="28"/>
          <w:szCs w:val="28"/>
        </w:rPr>
        <w:t>ам контрольной группы никаких вмешательств не выполнялось. По окончанию 13-летнего проекта в первой группе наблюдалось 1213 случаев смерти от рака легкого по сравнению с 1230 во второй группе [58, р. 1866].</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Таким образом, скрининг рака легкого с помощью ре</w:t>
      </w:r>
      <w:r>
        <w:rPr>
          <w:rFonts w:ascii="Times New Roman" w:hAnsi="Times New Roman" w:cs="Times New Roman"/>
          <w:sz w:val="28"/>
          <w:szCs w:val="28"/>
        </w:rPr>
        <w:t xml:space="preserve">нтгенографических и цитологических методов диагностики не нашел свое применение, а широкое </w:t>
      </w:r>
      <w:r>
        <w:rPr>
          <w:rFonts w:ascii="Times New Roman" w:hAnsi="Times New Roman" w:cs="Times New Roman"/>
          <w:sz w:val="28"/>
          <w:szCs w:val="28"/>
        </w:rPr>
        <w:lastRenderedPageBreak/>
        <w:t xml:space="preserve">внедрение в медицинскую практику компьютерной томографии позволило открыть новые возможности в ранней диагностике рака легкого. </w:t>
      </w:r>
    </w:p>
    <w:p w:rsidR="00A75A8D" w:rsidRDefault="00A75A8D">
      <w:pPr>
        <w:spacing w:after="0" w:line="240" w:lineRule="auto"/>
        <w:ind w:firstLineChars="201" w:firstLine="563"/>
        <w:jc w:val="both"/>
        <w:rPr>
          <w:rFonts w:ascii="Times New Roman" w:hAnsi="Times New Roman" w:cs="Times New Roman"/>
          <w:color w:val="FF0000"/>
          <w:sz w:val="28"/>
          <w:szCs w:val="28"/>
        </w:rPr>
      </w:pPr>
    </w:p>
    <w:p w:rsidR="00A75A8D" w:rsidRDefault="008A6A51">
      <w:pPr>
        <w:pStyle w:val="af4"/>
        <w:ind w:firstLine="567"/>
        <w:jc w:val="both"/>
        <w:rPr>
          <w:rFonts w:ascii="Times New Roman" w:hAnsi="Times New Roman"/>
          <w:b/>
        </w:rPr>
      </w:pPr>
      <w:bookmarkStart w:id="9" w:name="_Toc186925728"/>
      <w:r>
        <w:rPr>
          <w:rFonts w:ascii="Times New Roman" w:hAnsi="Times New Roman"/>
          <w:b/>
          <w:sz w:val="28"/>
        </w:rPr>
        <w:t>1.4 Низкодозная компьютерная томогр</w:t>
      </w:r>
      <w:r>
        <w:rPr>
          <w:rFonts w:ascii="Times New Roman" w:hAnsi="Times New Roman"/>
          <w:b/>
          <w:sz w:val="28"/>
        </w:rPr>
        <w:t>афия в диагностике рака легкого</w:t>
      </w:r>
      <w:bookmarkEnd w:id="9"/>
    </w:p>
    <w:p w:rsidR="00A75A8D" w:rsidRDefault="008A6A51">
      <w:pPr>
        <w:spacing w:after="0" w:line="240" w:lineRule="auto"/>
        <w:ind w:firstLineChars="201" w:firstLine="563"/>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НДКТ - проведение исследования с эффективной дозой для пациента, не более 3 мЗв. Однако, согласно приказу </w:t>
      </w:r>
      <w:r>
        <w:rPr>
          <w:rFonts w:ascii="Times New Roman" w:hAnsi="Times New Roman" w:cs="Times New Roman"/>
          <w:sz w:val="28"/>
          <w:szCs w:val="28"/>
        </w:rPr>
        <w:t xml:space="preserve">и.о. Министра национальной экономики Республики Казахстан от 27 марта 2015 года №260 об утверждении Санитарных правил </w:t>
      </w:r>
      <w:r>
        <w:rPr>
          <w:rFonts w:ascii="Times New Roman" w:hAnsi="Times New Roman" w:cs="Times New Roman"/>
          <w:sz w:val="28"/>
          <w:szCs w:val="28"/>
        </w:rPr>
        <w:t>"Санитарно-эпидемиологические требования к радиационно-опасным объектам"</w:t>
      </w:r>
      <w:r>
        <w:rPr>
          <w:rFonts w:ascii="Times New Roman" w:hAnsi="Times New Roman" w:cs="Times New Roman"/>
          <w:sz w:val="28"/>
          <w:szCs w:val="28"/>
          <w:lang w:val="kk-KZ"/>
        </w:rPr>
        <w:t xml:space="preserve"> - установленный норматив годового профилактического облучения при проведении профилактических медицинских рентгенологических исследований и научных исследований практически здоровых л</w:t>
      </w:r>
      <w:r>
        <w:rPr>
          <w:rFonts w:ascii="Times New Roman" w:hAnsi="Times New Roman" w:cs="Times New Roman"/>
          <w:sz w:val="28"/>
          <w:szCs w:val="28"/>
          <w:lang w:val="kk-KZ"/>
        </w:rPr>
        <w:t>иц не должен превышать 1 мЗв.</w:t>
      </w:r>
    </w:p>
    <w:p w:rsidR="00A75A8D" w:rsidRDefault="008A6A51">
      <w:pPr>
        <w:spacing w:after="0" w:line="240" w:lineRule="auto"/>
        <w:ind w:firstLineChars="201" w:firstLine="563"/>
        <w:jc w:val="both"/>
        <w:rPr>
          <w:rFonts w:ascii="Times New Roman" w:hAnsi="Times New Roman" w:cs="Times New Roman"/>
          <w:sz w:val="28"/>
          <w:szCs w:val="28"/>
          <w:lang w:val="kk-KZ"/>
        </w:rPr>
      </w:pPr>
      <w:r>
        <w:rPr>
          <w:rFonts w:ascii="Times New Roman" w:hAnsi="Times New Roman" w:cs="Times New Roman"/>
          <w:sz w:val="28"/>
          <w:szCs w:val="28"/>
          <w:lang w:val="kk-KZ"/>
        </w:rPr>
        <w:t>В 2001 году S</w:t>
      </w:r>
      <w:r>
        <w:rPr>
          <w:rFonts w:ascii="Times New Roman" w:hAnsi="Times New Roman" w:cs="Times New Roman"/>
          <w:sz w:val="28"/>
          <w:szCs w:val="28"/>
          <w:lang w:val="en-US"/>
        </w:rPr>
        <w:t>one</w:t>
      </w:r>
      <w:r>
        <w:rPr>
          <w:rFonts w:ascii="Times New Roman" w:hAnsi="Times New Roman" w:cs="Times New Roman"/>
          <w:sz w:val="28"/>
          <w:szCs w:val="28"/>
        </w:rPr>
        <w:t xml:space="preserve"> </w:t>
      </w:r>
      <w:r>
        <w:rPr>
          <w:rFonts w:ascii="Times New Roman" w:hAnsi="Times New Roman" w:cs="Times New Roman"/>
          <w:sz w:val="28"/>
          <w:szCs w:val="28"/>
          <w:lang w:val="en-US"/>
        </w:rPr>
        <w:t>S</w:t>
      </w:r>
      <w:r>
        <w:rPr>
          <w:rFonts w:ascii="Times New Roman" w:hAnsi="Times New Roman" w:cs="Times New Roman"/>
          <w:sz w:val="28"/>
          <w:szCs w:val="28"/>
        </w:rPr>
        <w:t xml:space="preserve">. </w:t>
      </w:r>
      <w:r>
        <w:rPr>
          <w:rFonts w:ascii="Times New Roman" w:hAnsi="Times New Roman" w:cs="Times New Roman"/>
          <w:sz w:val="28"/>
          <w:szCs w:val="28"/>
          <w:lang w:val="en-US"/>
        </w:rPr>
        <w:t>c</w:t>
      </w:r>
      <w:r>
        <w:rPr>
          <w:rFonts w:ascii="Times New Roman" w:hAnsi="Times New Roman" w:cs="Times New Roman"/>
          <w:sz w:val="28"/>
          <w:szCs w:val="28"/>
        </w:rPr>
        <w:t xml:space="preserve"> соавторами</w:t>
      </w:r>
      <w:r>
        <w:rPr>
          <w:rFonts w:ascii="Times New Roman" w:hAnsi="Times New Roman" w:cs="Times New Roman"/>
          <w:sz w:val="28"/>
          <w:szCs w:val="28"/>
          <w:lang w:val="kk-KZ"/>
        </w:rPr>
        <w:t xml:space="preserve"> опубликовали</w:t>
      </w:r>
      <w:r>
        <w:rPr>
          <w:rFonts w:ascii="Times New Roman" w:hAnsi="Times New Roman" w:cs="Times New Roman"/>
          <w:sz w:val="28"/>
          <w:szCs w:val="28"/>
        </w:rPr>
        <w:t xml:space="preserve"> результаты</w:t>
      </w:r>
      <w:r>
        <w:rPr>
          <w:rFonts w:ascii="Times New Roman" w:hAnsi="Times New Roman" w:cs="Times New Roman"/>
          <w:sz w:val="28"/>
          <w:szCs w:val="28"/>
          <w:lang w:val="kk-KZ"/>
        </w:rPr>
        <w:t xml:space="preserve"> перво</w:t>
      </w:r>
      <w:r>
        <w:rPr>
          <w:rFonts w:ascii="Times New Roman" w:hAnsi="Times New Roman" w:cs="Times New Roman"/>
          <w:sz w:val="28"/>
          <w:szCs w:val="28"/>
        </w:rPr>
        <w:t>го</w:t>
      </w:r>
      <w:r>
        <w:rPr>
          <w:rFonts w:ascii="Times New Roman" w:hAnsi="Times New Roman" w:cs="Times New Roman"/>
          <w:sz w:val="28"/>
          <w:szCs w:val="28"/>
          <w:lang w:val="kk-KZ"/>
        </w:rPr>
        <w:t xml:space="preserve"> одноэтапно</w:t>
      </w:r>
      <w:r>
        <w:rPr>
          <w:rFonts w:ascii="Times New Roman" w:hAnsi="Times New Roman" w:cs="Times New Roman"/>
          <w:sz w:val="28"/>
          <w:szCs w:val="28"/>
        </w:rPr>
        <w:t xml:space="preserve">го </w:t>
      </w:r>
      <w:r>
        <w:rPr>
          <w:rFonts w:ascii="Times New Roman" w:hAnsi="Times New Roman" w:cs="Times New Roman"/>
          <w:sz w:val="28"/>
          <w:szCs w:val="28"/>
          <w:lang w:val="kk-KZ"/>
        </w:rPr>
        <w:t>скринингово</w:t>
      </w:r>
      <w:r>
        <w:rPr>
          <w:rFonts w:ascii="Times New Roman" w:hAnsi="Times New Roman" w:cs="Times New Roman"/>
          <w:sz w:val="28"/>
          <w:szCs w:val="28"/>
        </w:rPr>
        <w:t>го</w:t>
      </w:r>
      <w:r>
        <w:rPr>
          <w:rFonts w:ascii="Times New Roman" w:hAnsi="Times New Roman" w:cs="Times New Roman"/>
          <w:sz w:val="28"/>
          <w:szCs w:val="28"/>
          <w:lang w:val="kk-KZ"/>
        </w:rPr>
        <w:t xml:space="preserve"> исследовани</w:t>
      </w:r>
      <w:r>
        <w:rPr>
          <w:rFonts w:ascii="Times New Roman" w:hAnsi="Times New Roman" w:cs="Times New Roman"/>
          <w:sz w:val="28"/>
          <w:szCs w:val="28"/>
        </w:rPr>
        <w:t>я</w:t>
      </w:r>
      <w:r>
        <w:rPr>
          <w:rFonts w:ascii="Times New Roman" w:hAnsi="Times New Roman" w:cs="Times New Roman"/>
          <w:sz w:val="28"/>
          <w:szCs w:val="28"/>
          <w:lang w:val="kk-KZ"/>
        </w:rPr>
        <w:t>, начавше</w:t>
      </w:r>
      <w:r>
        <w:rPr>
          <w:rFonts w:ascii="Times New Roman" w:hAnsi="Times New Roman" w:cs="Times New Roman"/>
          <w:sz w:val="28"/>
          <w:szCs w:val="28"/>
        </w:rPr>
        <w:t>гося</w:t>
      </w:r>
      <w:r>
        <w:rPr>
          <w:rFonts w:ascii="Times New Roman" w:hAnsi="Times New Roman" w:cs="Times New Roman"/>
          <w:sz w:val="28"/>
          <w:szCs w:val="28"/>
          <w:lang w:val="kk-KZ"/>
        </w:rPr>
        <w:t xml:space="preserve"> в 1996 году, с примененим КТ с низкой дозой, которое продолжалось три года. В исследовании приняли участие 5</w:t>
      </w:r>
      <w:r>
        <w:rPr>
          <w:rFonts w:ascii="Times New Roman" w:hAnsi="Times New Roman" w:cs="Times New Roman"/>
          <w:sz w:val="28"/>
          <w:szCs w:val="28"/>
          <w:lang w:val="kk-KZ"/>
        </w:rPr>
        <w:t xml:space="preserve"> 483 курильщиков и некурящих мужчин и женщин в возрасте от 40 до 74 лет. По окончании третьего раунда рак легкого на стадии 1А был выявлен в 88% (55 из 60) случаев. </w:t>
      </w:r>
      <w:r>
        <w:rPr>
          <w:rFonts w:ascii="Times New Roman" w:hAnsi="Times New Roman" w:cs="Times New Roman"/>
          <w:sz w:val="28"/>
          <w:szCs w:val="28"/>
        </w:rPr>
        <w:t>Согласно данным проведенного исследования</w:t>
      </w:r>
      <w:r>
        <w:rPr>
          <w:rFonts w:ascii="Times New Roman" w:hAnsi="Times New Roman" w:cs="Times New Roman"/>
          <w:sz w:val="28"/>
          <w:szCs w:val="28"/>
          <w:lang w:val="kk-KZ"/>
        </w:rPr>
        <w:t>, было выявлено в 11 раз больше ожидаемого ежегодн</w:t>
      </w:r>
      <w:r>
        <w:rPr>
          <w:rFonts w:ascii="Times New Roman" w:hAnsi="Times New Roman" w:cs="Times New Roman"/>
          <w:sz w:val="28"/>
          <w:szCs w:val="28"/>
          <w:lang w:val="kk-KZ"/>
        </w:rPr>
        <w:t xml:space="preserve">ого числа случаев заболевания на ранней стадии. </w:t>
      </w:r>
      <w:r>
        <w:rPr>
          <w:rFonts w:ascii="Times New Roman" w:hAnsi="Times New Roman" w:cs="Times New Roman"/>
          <w:sz w:val="28"/>
          <w:szCs w:val="28"/>
        </w:rPr>
        <w:t>Более того, д</w:t>
      </w:r>
      <w:r>
        <w:rPr>
          <w:rFonts w:ascii="Times New Roman" w:hAnsi="Times New Roman" w:cs="Times New Roman"/>
          <w:sz w:val="28"/>
          <w:szCs w:val="28"/>
          <w:lang w:val="kk-KZ"/>
        </w:rPr>
        <w:t>ве трети (67%, 40/60 случаев) случаев рака легкого, выявленных на КТ с низкой дозой, были невидимы при ретроспективной интерпретации рентгенограмм органов грудной клетки [</w:t>
      </w:r>
      <w:r>
        <w:rPr>
          <w:rFonts w:ascii="Times New Roman" w:hAnsi="Times New Roman" w:cs="Times New Roman"/>
          <w:sz w:val="28"/>
          <w:szCs w:val="28"/>
        </w:rPr>
        <w:t>152</w:t>
      </w:r>
      <w:r>
        <w:rPr>
          <w:rFonts w:ascii="Times New Roman" w:hAnsi="Times New Roman" w:cs="Times New Roman"/>
          <w:sz w:val="28"/>
          <w:szCs w:val="28"/>
          <w:lang w:val="kk-KZ"/>
        </w:rPr>
        <w:t>].</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lang w:val="kk-KZ"/>
        </w:rPr>
        <w:t xml:space="preserve">В доступной литературе </w:t>
      </w:r>
      <w:r>
        <w:rPr>
          <w:rFonts w:ascii="Times New Roman" w:hAnsi="Times New Roman" w:cs="Times New Roman"/>
          <w:sz w:val="28"/>
          <w:szCs w:val="28"/>
        </w:rPr>
        <w:t xml:space="preserve">имеются результаты двух крупных рандомизированных исследований по скринингу рака легкого с применением НДКТ которые доказали, что данная методика снижает смертность от рака легкого. </w:t>
      </w:r>
    </w:p>
    <w:p w:rsidR="00A75A8D" w:rsidRDefault="008A6A51">
      <w:pPr>
        <w:spacing w:after="0" w:line="240" w:lineRule="auto"/>
        <w:ind w:firstLineChars="201" w:firstLine="563"/>
        <w:jc w:val="both"/>
        <w:rPr>
          <w:rFonts w:ascii="Times New Roman" w:hAnsi="Times New Roman" w:cs="Times New Roman"/>
          <w:sz w:val="28"/>
          <w:szCs w:val="28"/>
          <w:highlight w:val="cyan"/>
        </w:rPr>
      </w:pPr>
      <w:r>
        <w:rPr>
          <w:rFonts w:ascii="Times New Roman" w:hAnsi="Times New Roman" w:cs="Times New Roman"/>
          <w:sz w:val="28"/>
          <w:szCs w:val="28"/>
        </w:rPr>
        <w:t>Первое и самое крупное многоцентровое рандомизиров</w:t>
      </w:r>
      <w:r>
        <w:rPr>
          <w:rFonts w:ascii="Times New Roman" w:hAnsi="Times New Roman" w:cs="Times New Roman"/>
          <w:sz w:val="28"/>
          <w:szCs w:val="28"/>
        </w:rPr>
        <w:t xml:space="preserve">анное контролируемое исследование </w:t>
      </w:r>
      <w:r>
        <w:rPr>
          <w:rFonts w:ascii="Times New Roman" w:hAnsi="Times New Roman" w:cs="Times New Roman"/>
          <w:sz w:val="28"/>
          <w:szCs w:val="28"/>
          <w:lang w:val="en-US"/>
        </w:rPr>
        <w:t>The</w:t>
      </w:r>
      <w:r>
        <w:rPr>
          <w:rFonts w:ascii="Times New Roman" w:hAnsi="Times New Roman" w:cs="Times New Roman"/>
          <w:sz w:val="28"/>
          <w:szCs w:val="28"/>
        </w:rPr>
        <w:t xml:space="preserve"> National Lung Screening Trial было начато в сентябре 2002 года, в США, в котором приняли участие 53 456 человек. В ходе исследования был проведен сравнительный анализ двух групп: участники, прошедшие НДКТ в качестве ск</w:t>
      </w:r>
      <w:r>
        <w:rPr>
          <w:rFonts w:ascii="Times New Roman" w:hAnsi="Times New Roman" w:cs="Times New Roman"/>
          <w:sz w:val="28"/>
          <w:szCs w:val="28"/>
        </w:rPr>
        <w:t>рининга рака легкого и участники, которым была проведена обзорная рентгенография органов грудной клетки. Критериями включения были: возраст от 55 до 74 лет, курильщики и бывшие курильщики со стажем курения не менее 30 пачка/лет. В группе НДКТ было меньше с</w:t>
      </w:r>
      <w:r>
        <w:rPr>
          <w:rFonts w:ascii="Times New Roman" w:hAnsi="Times New Roman" w:cs="Times New Roman"/>
          <w:sz w:val="28"/>
          <w:szCs w:val="28"/>
        </w:rPr>
        <w:t xml:space="preserve">мертей от рака легкого, чем в группе рентгенографии. Таким образом, применение НДКТ в качестве скрининга привело к снижению смертности от рака легкого на 20,0%, а также общей смертности до 6,7% [52, </w:t>
      </w:r>
      <w:r>
        <w:rPr>
          <w:rFonts w:ascii="Times New Roman" w:hAnsi="Times New Roman" w:cs="Times New Roman"/>
          <w:sz w:val="28"/>
          <w:szCs w:val="28"/>
          <w:lang w:val="en-US"/>
        </w:rPr>
        <w:t>p</w:t>
      </w:r>
      <w:r>
        <w:rPr>
          <w:rFonts w:ascii="Times New Roman" w:hAnsi="Times New Roman" w:cs="Times New Roman"/>
          <w:sz w:val="28"/>
          <w:szCs w:val="28"/>
        </w:rPr>
        <w:t xml:space="preserve">.395-404]. </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После публикации результатов Американская ас</w:t>
      </w:r>
      <w:r>
        <w:rPr>
          <w:rFonts w:ascii="Times New Roman" w:hAnsi="Times New Roman" w:cs="Times New Roman"/>
          <w:sz w:val="28"/>
          <w:szCs w:val="28"/>
        </w:rPr>
        <w:t xml:space="preserve">социация торакальной хирургии рекомендовала ежегодный скрининг по раннему выявлению рака легкого, в возрастной группе от 50 до 79 лет, у пациентов со стажем курения 20 лет [153]. </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Целью второго, Голландско-Бельгийского рандомизированного исследования (NELS</w:t>
      </w:r>
      <w:r>
        <w:rPr>
          <w:rFonts w:ascii="Times New Roman" w:hAnsi="Times New Roman" w:cs="Times New Roman"/>
          <w:sz w:val="28"/>
          <w:szCs w:val="28"/>
        </w:rPr>
        <w:t xml:space="preserve">ON), было выяснить, приведет ли скрининг рака легкого с помощью НДКТ к снижению 10-летней смертности от рака легкого не менее чем </w:t>
      </w:r>
      <w:r>
        <w:rPr>
          <w:rFonts w:ascii="Times New Roman" w:hAnsi="Times New Roman" w:cs="Times New Roman"/>
          <w:sz w:val="28"/>
          <w:szCs w:val="28"/>
        </w:rPr>
        <w:lastRenderedPageBreak/>
        <w:t>на 25% по сравнению с контрольной группой без скрининга. Исследование стартовало в 2003 году и включало 15 792 участников: быв</w:t>
      </w:r>
      <w:r>
        <w:rPr>
          <w:rFonts w:ascii="Times New Roman" w:hAnsi="Times New Roman" w:cs="Times New Roman"/>
          <w:sz w:val="28"/>
          <w:szCs w:val="28"/>
        </w:rPr>
        <w:t>ших курильщиков и курящих в настоящее время в возрасте от 50 до 75 лет, со стажем курения не менее 15 пачка/лет. По окончании проекта, исследователи пришли к выводу, что ежегодный скрининг с помощью НДКТ у пациентов с высоким риском снижает смертность от р</w:t>
      </w:r>
      <w:r>
        <w:rPr>
          <w:rFonts w:ascii="Times New Roman" w:hAnsi="Times New Roman" w:cs="Times New Roman"/>
          <w:sz w:val="28"/>
          <w:szCs w:val="28"/>
        </w:rPr>
        <w:t xml:space="preserve">ака легкого на 24% у мужчин и до 33% у женщин [16, </w:t>
      </w:r>
      <w:r>
        <w:rPr>
          <w:rFonts w:ascii="Times New Roman" w:hAnsi="Times New Roman" w:cs="Times New Roman"/>
          <w:sz w:val="28"/>
          <w:szCs w:val="28"/>
          <w:lang w:val="en-US"/>
        </w:rPr>
        <w:t>p</w:t>
      </w:r>
      <w:r>
        <w:rPr>
          <w:rFonts w:ascii="Times New Roman" w:hAnsi="Times New Roman" w:cs="Times New Roman"/>
          <w:sz w:val="28"/>
          <w:szCs w:val="28"/>
        </w:rPr>
        <w:t xml:space="preserve">.51]. </w:t>
      </w:r>
    </w:p>
    <w:p w:rsidR="00A75A8D" w:rsidRDefault="008A6A51">
      <w:pPr>
        <w:spacing w:after="0" w:line="240" w:lineRule="auto"/>
        <w:ind w:firstLineChars="201" w:firstLine="563"/>
        <w:jc w:val="both"/>
        <w:rPr>
          <w:rFonts w:ascii="Times New Roman" w:hAnsi="Times New Roman"/>
          <w:sz w:val="28"/>
          <w:szCs w:val="28"/>
        </w:rPr>
      </w:pPr>
      <w:r>
        <w:rPr>
          <w:rFonts w:ascii="Times New Roman" w:hAnsi="Times New Roman"/>
          <w:sz w:val="28"/>
          <w:szCs w:val="28"/>
        </w:rPr>
        <w:t>Исследование German Lung Cancer Screening Intervention показало еще большее несоответствие между преимуществами скрининга, полученными в мужских и женских когортах скрининга, при этом у женщин набл</w:t>
      </w:r>
      <w:r>
        <w:rPr>
          <w:rFonts w:ascii="Times New Roman" w:hAnsi="Times New Roman"/>
          <w:sz w:val="28"/>
          <w:szCs w:val="28"/>
        </w:rPr>
        <w:t xml:space="preserve">юдалось статистически значимое снижение смертности от рака легкого, которое не наблюдалось среди мужчин [154]. </w:t>
      </w:r>
    </w:p>
    <w:p w:rsidR="00A75A8D" w:rsidRDefault="008A6A51">
      <w:pPr>
        <w:spacing w:after="0" w:line="240" w:lineRule="auto"/>
        <w:ind w:firstLineChars="201" w:firstLine="563"/>
        <w:jc w:val="both"/>
        <w:rPr>
          <w:rFonts w:ascii="Times New Roman" w:hAnsi="Times New Roman"/>
          <w:sz w:val="28"/>
          <w:szCs w:val="28"/>
        </w:rPr>
      </w:pPr>
      <w:r>
        <w:rPr>
          <w:rFonts w:ascii="Times New Roman" w:hAnsi="Times New Roman"/>
          <w:sz w:val="28"/>
          <w:szCs w:val="28"/>
        </w:rPr>
        <w:t>Недавно опубликованное исследование Multicentric Italian Lung Detection (MILD) (возраст 50–75 лет, нынешние или бывшие курильщики в течение 10 л</w:t>
      </w:r>
      <w:r>
        <w:rPr>
          <w:rFonts w:ascii="Times New Roman" w:hAnsi="Times New Roman"/>
          <w:sz w:val="28"/>
          <w:szCs w:val="28"/>
        </w:rPr>
        <w:t xml:space="preserve">ет, ≥20 пачка-лет) сообщили о снижении </w:t>
      </w:r>
      <w:r>
        <w:rPr>
          <w:rFonts w:ascii="Times New Roman" w:hAnsi="Times New Roman" w:cs="Times New Roman"/>
          <w:sz w:val="28"/>
          <w:szCs w:val="28"/>
        </w:rPr>
        <w:t>кумулятивного риска смертности от рака легкого на 39%</w:t>
      </w:r>
      <w:r>
        <w:rPr>
          <w:rFonts w:ascii="Times New Roman" w:hAnsi="Times New Roman"/>
          <w:sz w:val="28"/>
          <w:szCs w:val="28"/>
        </w:rPr>
        <w:t xml:space="preserve"> в течение 10 лет благодаря НДКТ-скринингу [155].</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sz w:val="28"/>
          <w:szCs w:val="28"/>
        </w:rPr>
        <w:t>Tang W. с соавторами сообщили о результатах НДКТ-скрининга у 4 690 бессимптомных участников в возрасте ≥40 лет в п</w:t>
      </w:r>
      <w:r>
        <w:rPr>
          <w:rFonts w:ascii="Times New Roman" w:hAnsi="Times New Roman"/>
          <w:sz w:val="28"/>
          <w:szCs w:val="28"/>
        </w:rPr>
        <w:t>ериод с 2007 по 2012 год с частотой выявления рака легкого 0,55%, 76,9% из которых составила I стадия. Было показано, что частота выявления рака легкого у женщин, подвергшихся пассивному курению, был выше, чем у курильщиков из группы высокого риска и у муж</w:t>
      </w:r>
      <w:r>
        <w:rPr>
          <w:rFonts w:ascii="Times New Roman" w:hAnsi="Times New Roman"/>
          <w:sz w:val="28"/>
          <w:szCs w:val="28"/>
        </w:rPr>
        <w:t>чин из группы пассивно курящих (1,4% против 0,9%, 0,4%) [156</w:t>
      </w:r>
      <w:r>
        <w:rPr>
          <w:rFonts w:ascii="Times New Roman" w:hAnsi="Times New Roman"/>
          <w:sz w:val="28"/>
          <w:szCs w:val="28"/>
          <w:lang w:eastAsia="zh-CN"/>
        </w:rPr>
        <w:t>].</w:t>
      </w:r>
      <w:r>
        <w:rPr>
          <w:rFonts w:ascii="Times New Roman" w:hAnsi="Times New Roman"/>
          <w:sz w:val="28"/>
          <w:szCs w:val="28"/>
        </w:rPr>
        <w:t xml:space="preserve"> </w:t>
      </w:r>
    </w:p>
    <w:p w:rsidR="00A75A8D" w:rsidRDefault="008A6A51">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rPr>
        <w:t>Согласно доступной литературе, не во всех исследованиях обязательным критерием включения был определенный стаж курения. Так, результаты когортного исследования, проведенного в городе Хитачи (Я</w:t>
      </w:r>
      <w:r>
        <w:rPr>
          <w:rFonts w:ascii="Times New Roman" w:hAnsi="Times New Roman" w:cs="Times New Roman"/>
          <w:sz w:val="28"/>
          <w:szCs w:val="28"/>
        </w:rPr>
        <w:t>пония), включающего участников без учета стажа курения со средним периодом наблюдения 9 лет показали, что показатель заболеваемости раком легкого у жителей города, которые прошли НДКТ-скрининг увеличился на 23% по сравнению с теми, кому была сделана рентге</w:t>
      </w:r>
      <w:r>
        <w:rPr>
          <w:rFonts w:ascii="Times New Roman" w:hAnsi="Times New Roman" w:cs="Times New Roman"/>
          <w:sz w:val="28"/>
          <w:szCs w:val="28"/>
        </w:rPr>
        <w:t xml:space="preserve">нография органов грудной клетки. Однако, смертность от рака легкого снизилась на 51% за счет выявления ранних стадий [157]. </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Исследование С</w:t>
      </w:r>
      <w:r>
        <w:rPr>
          <w:rFonts w:ascii="Times New Roman" w:hAnsi="Times New Roman" w:cs="Times New Roman"/>
          <w:sz w:val="28"/>
          <w:szCs w:val="28"/>
          <w:lang w:val="en-US"/>
        </w:rPr>
        <w:t>hen</w:t>
      </w:r>
      <w:r>
        <w:rPr>
          <w:rFonts w:ascii="Times New Roman" w:hAnsi="Times New Roman" w:cs="Times New Roman"/>
          <w:sz w:val="28"/>
          <w:szCs w:val="28"/>
        </w:rPr>
        <w:t xml:space="preserve"> </w:t>
      </w:r>
      <w:r>
        <w:rPr>
          <w:rFonts w:ascii="Times New Roman" w:hAnsi="Times New Roman" w:cs="Times New Roman"/>
          <w:sz w:val="28"/>
          <w:szCs w:val="28"/>
          <w:lang w:val="en-US"/>
        </w:rPr>
        <w:t>Ch</w:t>
      </w:r>
      <w:r>
        <w:rPr>
          <w:rFonts w:ascii="Times New Roman" w:hAnsi="Times New Roman" w:cs="Times New Roman"/>
          <w:sz w:val="28"/>
          <w:szCs w:val="28"/>
        </w:rPr>
        <w:t>. с соавторами включало бывших и по настоящее время курильщиков, а также никогда не курящих участников. Так, и</w:t>
      </w:r>
      <w:r>
        <w:rPr>
          <w:rFonts w:ascii="Times New Roman" w:hAnsi="Times New Roman" w:cs="Times New Roman"/>
          <w:sz w:val="28"/>
          <w:szCs w:val="28"/>
        </w:rPr>
        <w:t xml:space="preserve">з 3 339 участников, 32% случаев рака легкого было выявлено у никогда не курящих; 20% случаев рака легкого было диагностировано у бывших курильщиков и 47% - у заядлых курильщиков [158]. </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Результаты данных исследований показали, что скрининг рака легкого с и</w:t>
      </w:r>
      <w:r>
        <w:rPr>
          <w:rFonts w:ascii="Times New Roman" w:hAnsi="Times New Roman" w:cs="Times New Roman"/>
          <w:sz w:val="28"/>
          <w:szCs w:val="28"/>
        </w:rPr>
        <w:t>спользованием НДКТ, включая некурящих и курильщиков с маленьким стажем курения может быть эффективным.</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Таким образом, количество лет и выкуриваемых сигарет в день не является обязательным критерием включения при формировании группы риска для проведения ран</w:t>
      </w:r>
      <w:r>
        <w:rPr>
          <w:rFonts w:ascii="Times New Roman" w:hAnsi="Times New Roman" w:cs="Times New Roman"/>
          <w:sz w:val="28"/>
          <w:szCs w:val="28"/>
        </w:rPr>
        <w:t xml:space="preserve">ней диагностики рака легкого с применением НДКТ. Принимая во внимание разнородность данных исследований, </w:t>
      </w:r>
      <w:r>
        <w:rPr>
          <w:rFonts w:ascii="Times New Roman" w:hAnsi="Times New Roman" w:cs="Times New Roman"/>
          <w:color w:val="000000" w:themeColor="text1"/>
          <w:sz w:val="28"/>
          <w:szCs w:val="28"/>
        </w:rPr>
        <w:t>имеется</w:t>
      </w:r>
      <w:r>
        <w:rPr>
          <w:rFonts w:ascii="Times New Roman" w:hAnsi="Times New Roman" w:cs="Times New Roman"/>
          <w:sz w:val="28"/>
          <w:szCs w:val="28"/>
        </w:rPr>
        <w:t xml:space="preserve"> необходимость в изучении особенностей факторов риска развития рака легкого в Казахстане с определением групп высокого риска для проведения ранн</w:t>
      </w:r>
      <w:r>
        <w:rPr>
          <w:rFonts w:ascii="Times New Roman" w:hAnsi="Times New Roman" w:cs="Times New Roman"/>
          <w:sz w:val="28"/>
          <w:szCs w:val="28"/>
        </w:rPr>
        <w:t xml:space="preserve">ей диагностики, что </w:t>
      </w:r>
      <w:r>
        <w:rPr>
          <w:rFonts w:ascii="Times New Roman" w:hAnsi="Times New Roman" w:cs="Times New Roman"/>
          <w:sz w:val="28"/>
          <w:szCs w:val="28"/>
        </w:rPr>
        <w:lastRenderedPageBreak/>
        <w:t>приведет к более эффективному лечению и, следовательно, к снижению смертности от рака легкого.</w:t>
      </w:r>
    </w:p>
    <w:p w:rsidR="00A75A8D" w:rsidRDefault="008A6A51">
      <w:pPr>
        <w:rPr>
          <w:rFonts w:ascii="Times New Roman" w:hAnsi="Times New Roman" w:cs="Times New Roman"/>
          <w:color w:val="FF0000"/>
          <w:sz w:val="28"/>
          <w:szCs w:val="28"/>
        </w:rPr>
      </w:pPr>
      <w:r>
        <w:rPr>
          <w:rFonts w:ascii="Times New Roman" w:hAnsi="Times New Roman" w:cs="Times New Roman"/>
          <w:color w:val="FF0000"/>
          <w:sz w:val="28"/>
          <w:szCs w:val="28"/>
        </w:rPr>
        <w:br w:type="page"/>
      </w:r>
    </w:p>
    <w:p w:rsidR="00A75A8D" w:rsidRDefault="008A6A51">
      <w:pPr>
        <w:pStyle w:val="1"/>
        <w:numPr>
          <w:ilvl w:val="0"/>
          <w:numId w:val="0"/>
        </w:numPr>
        <w:spacing w:before="0" w:line="240" w:lineRule="auto"/>
        <w:ind w:firstLine="567"/>
        <w:rPr>
          <w:rFonts w:ascii="Times New Roman" w:hAnsi="Times New Roman" w:cs="Times New Roman"/>
          <w:b/>
          <w:color w:val="auto"/>
          <w:sz w:val="28"/>
        </w:rPr>
      </w:pPr>
      <w:bookmarkStart w:id="10" w:name="_Toc186925729"/>
      <w:r>
        <w:rPr>
          <w:rFonts w:ascii="Times New Roman" w:hAnsi="Times New Roman" w:cs="Times New Roman"/>
          <w:b/>
          <w:color w:val="auto"/>
          <w:sz w:val="28"/>
        </w:rPr>
        <w:lastRenderedPageBreak/>
        <w:t>2 МАТЕРИАЛ И МЕТОДЫ ИССЛЕДОВАНИЯ</w:t>
      </w:r>
      <w:bookmarkEnd w:id="10"/>
    </w:p>
    <w:p w:rsidR="00A75A8D" w:rsidRDefault="008A6A51">
      <w:pPr>
        <w:pStyle w:val="af4"/>
        <w:spacing w:after="0" w:line="240" w:lineRule="auto"/>
        <w:ind w:firstLine="567"/>
        <w:jc w:val="left"/>
        <w:rPr>
          <w:rFonts w:ascii="Times New Roman" w:hAnsi="Times New Roman"/>
          <w:b/>
          <w:sz w:val="28"/>
        </w:rPr>
      </w:pPr>
      <w:bookmarkStart w:id="11" w:name="_Toc186925730"/>
      <w:r>
        <w:rPr>
          <w:rFonts w:ascii="Times New Roman" w:hAnsi="Times New Roman"/>
          <w:b/>
          <w:sz w:val="28"/>
        </w:rPr>
        <w:t>2.1 Дизайн исследования</w:t>
      </w:r>
      <w:bookmarkEnd w:id="11"/>
    </w:p>
    <w:p w:rsidR="00A75A8D" w:rsidRDefault="008A6A51">
      <w:pPr>
        <w:pStyle w:val="af4"/>
        <w:spacing w:after="0" w:line="240" w:lineRule="auto"/>
        <w:ind w:firstLine="567"/>
        <w:jc w:val="left"/>
        <w:rPr>
          <w:rFonts w:ascii="Times New Roman" w:hAnsi="Times New Roman"/>
          <w:sz w:val="28"/>
        </w:rPr>
      </w:pPr>
      <w:bookmarkStart w:id="12" w:name="_Toc186925731"/>
      <w:r>
        <w:rPr>
          <w:rFonts w:ascii="Times New Roman" w:hAnsi="Times New Roman"/>
          <w:sz w:val="28"/>
        </w:rPr>
        <w:t>2.1.1 Дизайн</w:t>
      </w:r>
      <w:bookmarkEnd w:id="12"/>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Для реализации первой задачи диссертационной работы мы изучили </w:t>
      </w:r>
      <w:r>
        <w:rPr>
          <w:rFonts w:ascii="Times New Roman" w:hAnsi="Times New Roman" w:cs="Times New Roman"/>
          <w:sz w:val="28"/>
          <w:szCs w:val="28"/>
        </w:rPr>
        <w:t>показатели заболеваемости и смертности от рака легкого в Казахстане, а также динамику данных показателей за 10-летний период с 2009 по 2018 года, с выявлением половозрастных и географических особенностей (описательная эпидемиология). </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Для выполнения послед</w:t>
      </w:r>
      <w:r>
        <w:rPr>
          <w:rFonts w:ascii="Times New Roman" w:hAnsi="Times New Roman" w:cs="Times New Roman"/>
          <w:sz w:val="28"/>
          <w:szCs w:val="28"/>
        </w:rPr>
        <w:t>ующих задач исследования было проведено мультицентровое проспективное поперечное клиническое исследование с целью определения эффективности применения низкодозной компьютерной томографии в ранней диагностике рака легкого у бессимптомного населения, а также</w:t>
      </w:r>
      <w:r>
        <w:rPr>
          <w:rFonts w:ascii="Times New Roman" w:hAnsi="Times New Roman" w:cs="Times New Roman"/>
          <w:sz w:val="28"/>
          <w:szCs w:val="28"/>
        </w:rPr>
        <w:t xml:space="preserve"> был проведен корреляционный анализ факторов риска развития рака легкого. </w:t>
      </w:r>
    </w:p>
    <w:p w:rsidR="00A75A8D" w:rsidRDefault="008A6A51">
      <w:pPr>
        <w:pStyle w:val="af4"/>
        <w:spacing w:after="0" w:line="240" w:lineRule="auto"/>
        <w:ind w:firstLine="567"/>
        <w:jc w:val="left"/>
        <w:rPr>
          <w:rFonts w:ascii="Times New Roman" w:hAnsi="Times New Roman"/>
        </w:rPr>
      </w:pPr>
      <w:bookmarkStart w:id="13" w:name="_Toc186925732"/>
      <w:r>
        <w:rPr>
          <w:rFonts w:ascii="Times New Roman" w:hAnsi="Times New Roman"/>
          <w:sz w:val="28"/>
        </w:rPr>
        <w:t>2.1.2 Расчет объема выборки</w:t>
      </w:r>
      <w:bookmarkEnd w:id="13"/>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Для расчета объема выборки для нашего исследования было использовано программное обеспечение Power Analysis and Sample Size с учетом ошибки I рода. С пом</w:t>
      </w:r>
      <w:r>
        <w:rPr>
          <w:rFonts w:ascii="Times New Roman" w:hAnsi="Times New Roman" w:cs="Times New Roman"/>
          <w:sz w:val="28"/>
          <w:szCs w:val="28"/>
        </w:rPr>
        <w:t xml:space="preserve">ощью программного обеспечения мы посчитали, что при распространенности рака легкого 11.5% (согласно статистическим данным РК за 2018 год), нам необходим размер выборки не менее 384 человек для достижения минимальной мощности 95% с доверительным интервалом </w:t>
      </w:r>
      <w:r>
        <w:rPr>
          <w:rFonts w:ascii="Times New Roman" w:hAnsi="Times New Roman" w:cs="Times New Roman"/>
          <w:sz w:val="28"/>
          <w:szCs w:val="28"/>
        </w:rPr>
        <w:t>95% и уровня значимости р≥0,05.  </w:t>
      </w:r>
    </w:p>
    <w:p w:rsidR="00A75A8D" w:rsidRDefault="00A75A8D">
      <w:pPr>
        <w:spacing w:after="0" w:line="240" w:lineRule="auto"/>
        <w:ind w:firstLine="567"/>
        <w:jc w:val="both"/>
        <w:rPr>
          <w:rFonts w:ascii="Times New Roman" w:hAnsi="Times New Roman" w:cs="Times New Roman"/>
          <w:sz w:val="28"/>
          <w:szCs w:val="28"/>
        </w:rPr>
      </w:pPr>
    </w:p>
    <w:p w:rsidR="00A75A8D" w:rsidRDefault="008A6A51">
      <w:pPr>
        <w:pStyle w:val="af4"/>
        <w:ind w:firstLine="567"/>
        <w:jc w:val="left"/>
        <w:rPr>
          <w:rFonts w:ascii="Times New Roman" w:hAnsi="Times New Roman"/>
          <w:b/>
          <w:sz w:val="28"/>
          <w:szCs w:val="28"/>
        </w:rPr>
      </w:pPr>
      <w:r>
        <w:t xml:space="preserve"> </w:t>
      </w:r>
      <w:bookmarkStart w:id="14" w:name="_Toc186925733"/>
      <w:r>
        <w:rPr>
          <w:rFonts w:ascii="Times New Roman" w:hAnsi="Times New Roman"/>
          <w:b/>
          <w:sz w:val="28"/>
          <w:szCs w:val="28"/>
        </w:rPr>
        <w:t>2.2 Материал исследования</w:t>
      </w:r>
      <w:bookmarkEnd w:id="14"/>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Для изучения показателей заболеваемости и смертности от рака легкого за период 2009-2018гг нами использованы данные Электронного регистра онкологических больных Республики Казахстан и Комитета п</w:t>
      </w:r>
      <w:r>
        <w:rPr>
          <w:rFonts w:ascii="Times New Roman" w:hAnsi="Times New Roman" w:cs="Times New Roman"/>
          <w:sz w:val="28"/>
          <w:szCs w:val="28"/>
        </w:rPr>
        <w:t>о статистике Министерства Национальной экономики Республики Казахстан.</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Процесс набора участников проводился при помощи организаций первичной медико-санитарной помощи. Для проведения НДКТ приглашены 5000 мужчин и женщин, без жалоб со стороны дыхательной сис</w:t>
      </w:r>
      <w:r>
        <w:rPr>
          <w:rFonts w:ascii="Times New Roman" w:hAnsi="Times New Roman" w:cs="Times New Roman"/>
          <w:sz w:val="28"/>
          <w:szCs w:val="28"/>
        </w:rPr>
        <w:t>темы, подходящие по критериям включения. Из пяти тысяч приглашенных, 943 (18,9%) отказались от участия, 4057 (81,1%) согласились. Из согласившихся 3675/4057 (90,6%) человек обратились в центры для прохождения НДКТ, а 382/4057 (9,4%) передумали и отказались</w:t>
      </w:r>
      <w:r>
        <w:rPr>
          <w:rFonts w:ascii="Times New Roman" w:hAnsi="Times New Roman" w:cs="Times New Roman"/>
          <w:sz w:val="28"/>
          <w:szCs w:val="28"/>
        </w:rPr>
        <w:t>. Еще 4/3675 (0,1%) участника не подписали информированное согласие. В результате из 5000 приглашенных участников исследования НДКТ прошли 3671 (73,4%) человек.</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Возрастная категория участников исследования определена в соответствии с показателями заболевае</w:t>
      </w:r>
      <w:r>
        <w:rPr>
          <w:rFonts w:ascii="Times New Roman" w:hAnsi="Times New Roman" w:cs="Times New Roman"/>
          <w:sz w:val="28"/>
          <w:szCs w:val="28"/>
        </w:rPr>
        <w:t>мости и смертности от рака легкого в Казахстане. </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Отбор участников проведен согласно критериям включения и исключения. Критерии включения: асимптомные мужчины и женщины в возрасте от 40 до 75 лет, без онкологических заболеваний в анамнезе. Критерии исключе</w:t>
      </w:r>
      <w:r>
        <w:rPr>
          <w:rFonts w:ascii="Times New Roman" w:hAnsi="Times New Roman" w:cs="Times New Roman"/>
          <w:sz w:val="28"/>
          <w:szCs w:val="28"/>
        </w:rPr>
        <w:t xml:space="preserve">ния: беременность; наличие жалоб со стороны дыхательной системы (кашель, одышка, кровохарканье); наличие в анамнезе какого-либо онкологического </w:t>
      </w:r>
      <w:r>
        <w:rPr>
          <w:rFonts w:ascii="Times New Roman" w:hAnsi="Times New Roman" w:cs="Times New Roman"/>
          <w:sz w:val="28"/>
          <w:szCs w:val="28"/>
        </w:rPr>
        <w:lastRenderedPageBreak/>
        <w:t>заболевания или тяжелого коморбидного состояния; пациенты, которым в течение года проводилось КТ-исследование лю</w:t>
      </w:r>
      <w:r>
        <w:rPr>
          <w:rFonts w:ascii="Times New Roman" w:hAnsi="Times New Roman" w:cs="Times New Roman"/>
          <w:sz w:val="28"/>
          <w:szCs w:val="28"/>
        </w:rPr>
        <w:t>бой локализации; пациенты с массой тела более 140 кг. Статус курения не являлся обязательным критерием включения, в исследовании приняли участие бывшие и по настоящее время курильщики, а также никогда не курящие.</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таблице 1 представлена характеристика уча</w:t>
      </w:r>
      <w:r>
        <w:rPr>
          <w:rFonts w:ascii="Times New Roman" w:hAnsi="Times New Roman" w:cs="Times New Roman"/>
          <w:sz w:val="28"/>
          <w:szCs w:val="28"/>
        </w:rPr>
        <w:t>стников, включенных в исследование.</w:t>
      </w:r>
    </w:p>
    <w:p w:rsidR="00A75A8D" w:rsidRDefault="00A75A8D">
      <w:pPr>
        <w:spacing w:after="0" w:line="240" w:lineRule="auto"/>
        <w:ind w:firstLine="567"/>
        <w:jc w:val="both"/>
        <w:rPr>
          <w:rFonts w:ascii="Times New Roman" w:hAnsi="Times New Roman" w:cs="Times New Roman"/>
          <w:sz w:val="28"/>
          <w:szCs w:val="28"/>
        </w:rPr>
      </w:pPr>
    </w:p>
    <w:p w:rsidR="00A75A8D" w:rsidRDefault="008A6A51">
      <w:pPr>
        <w:spacing w:after="0" w:line="240" w:lineRule="auto"/>
        <w:jc w:val="both"/>
        <w:rPr>
          <w:rFonts w:ascii="Times New Roman" w:hAnsi="Times New Roman" w:cs="Times New Roman"/>
          <w:color w:val="000000"/>
          <w:sz w:val="28"/>
          <w:szCs w:val="28"/>
        </w:rPr>
      </w:pPr>
      <w:r>
        <w:rPr>
          <w:rFonts w:ascii="Times New Roman" w:hAnsi="Times New Roman" w:cs="Times New Roman"/>
          <w:sz w:val="28"/>
          <w:szCs w:val="28"/>
        </w:rPr>
        <w:t>Таблица 1 – Характеристика участнико</w:t>
      </w:r>
      <w:r>
        <w:rPr>
          <w:rFonts w:ascii="Times New Roman" w:hAnsi="Times New Roman" w:cs="Times New Roman"/>
          <w:color w:val="000000"/>
          <w:sz w:val="28"/>
          <w:szCs w:val="28"/>
        </w:rPr>
        <w:t>в, прошедших НДКТ легких (</w:t>
      </w:r>
      <w:r>
        <w:rPr>
          <w:rFonts w:ascii="Times New Roman" w:hAnsi="Times New Roman" w:cs="Times New Roman"/>
          <w:color w:val="000000"/>
          <w:sz w:val="28"/>
          <w:szCs w:val="28"/>
          <w:lang w:val="en-US"/>
        </w:rPr>
        <w:t>n</w:t>
      </w:r>
      <w:r>
        <w:rPr>
          <w:rFonts w:ascii="Times New Roman" w:hAnsi="Times New Roman" w:cs="Times New Roman"/>
          <w:color w:val="000000"/>
          <w:sz w:val="28"/>
          <w:szCs w:val="28"/>
        </w:rPr>
        <w:t>=3671)</w:t>
      </w:r>
    </w:p>
    <w:p w:rsidR="00A75A8D" w:rsidRDefault="00A75A8D">
      <w:pPr>
        <w:spacing w:after="0" w:line="240" w:lineRule="auto"/>
        <w:ind w:firstLine="567"/>
        <w:jc w:val="both"/>
        <w:rPr>
          <w:rFonts w:ascii="Times New Roman" w:hAnsi="Times New Roman" w:cs="Times New Roman"/>
          <w:color w:val="000000"/>
          <w:sz w:val="28"/>
          <w:szCs w:val="28"/>
        </w:rPr>
      </w:pPr>
    </w:p>
    <w:tbl>
      <w:tblPr>
        <w:tblStyle w:val="af6"/>
        <w:tblW w:w="4998" w:type="pct"/>
        <w:tblLook w:val="04A0" w:firstRow="1" w:lastRow="0" w:firstColumn="1" w:lastColumn="0" w:noHBand="0" w:noVBand="1"/>
      </w:tblPr>
      <w:tblGrid>
        <w:gridCol w:w="4150"/>
        <w:gridCol w:w="3623"/>
        <w:gridCol w:w="992"/>
        <w:gridCol w:w="901"/>
      </w:tblGrid>
      <w:tr w:rsidR="00A75A8D">
        <w:tc>
          <w:tcPr>
            <w:tcW w:w="2146" w:type="pct"/>
            <w:tcBorders>
              <w:tl2br w:val="nil"/>
              <w:tr2bl w:val="nil"/>
            </w:tcBorders>
            <w:vAlign w:val="center"/>
          </w:tcPr>
          <w:p w:rsidR="00A75A8D" w:rsidRDefault="008A6A51">
            <w:pPr>
              <w:widowControl w:val="0"/>
              <w:jc w:val="center"/>
              <w:rPr>
                <w:rFonts w:ascii="Times New Roman" w:hAnsi="Times New Roman" w:cs="Times New Roman"/>
                <w:b/>
                <w:sz w:val="28"/>
                <w:szCs w:val="28"/>
              </w:rPr>
            </w:pPr>
            <w:r>
              <w:rPr>
                <w:rFonts w:ascii="Times New Roman" w:hAnsi="Times New Roman" w:cs="Times New Roman"/>
                <w:b/>
                <w:sz w:val="28"/>
                <w:szCs w:val="28"/>
              </w:rPr>
              <w:t>Факторы</w:t>
            </w:r>
          </w:p>
        </w:tc>
        <w:tc>
          <w:tcPr>
            <w:tcW w:w="1873" w:type="pct"/>
            <w:tcBorders>
              <w:tl2br w:val="nil"/>
              <w:tr2bl w:val="nil"/>
            </w:tcBorders>
            <w:vAlign w:val="center"/>
          </w:tcPr>
          <w:p w:rsidR="00A75A8D" w:rsidRDefault="008A6A51">
            <w:pPr>
              <w:widowControl w:val="0"/>
              <w:jc w:val="center"/>
              <w:rPr>
                <w:rFonts w:ascii="Times New Roman" w:hAnsi="Times New Roman" w:cs="Times New Roman"/>
                <w:b/>
                <w:sz w:val="28"/>
                <w:szCs w:val="28"/>
              </w:rPr>
            </w:pPr>
            <w:r>
              <w:rPr>
                <w:rFonts w:ascii="Times New Roman" w:hAnsi="Times New Roman" w:cs="Times New Roman"/>
                <w:b/>
                <w:sz w:val="28"/>
                <w:szCs w:val="28"/>
              </w:rPr>
              <w:t>Параметры</w:t>
            </w:r>
          </w:p>
        </w:tc>
        <w:tc>
          <w:tcPr>
            <w:tcW w:w="513" w:type="pct"/>
            <w:tcBorders>
              <w:tl2br w:val="nil"/>
              <w:tr2bl w:val="nil"/>
            </w:tcBorders>
            <w:vAlign w:val="center"/>
          </w:tcPr>
          <w:p w:rsidR="00A75A8D" w:rsidRDefault="008A6A51">
            <w:pPr>
              <w:widowControl w:val="0"/>
              <w:jc w:val="center"/>
              <w:rPr>
                <w:rFonts w:ascii="Times New Roman" w:hAnsi="Times New Roman" w:cs="Times New Roman"/>
                <w:b/>
                <w:sz w:val="28"/>
                <w:szCs w:val="28"/>
              </w:rPr>
            </w:pPr>
            <w:r>
              <w:rPr>
                <w:rFonts w:ascii="Times New Roman" w:hAnsi="Times New Roman" w:cs="Times New Roman"/>
                <w:b/>
                <w:sz w:val="28"/>
                <w:szCs w:val="28"/>
              </w:rPr>
              <w:t>n</w:t>
            </w:r>
          </w:p>
        </w:tc>
        <w:tc>
          <w:tcPr>
            <w:tcW w:w="466" w:type="pct"/>
            <w:tcBorders>
              <w:tl2br w:val="nil"/>
              <w:tr2bl w:val="nil"/>
            </w:tcBorders>
            <w:vAlign w:val="center"/>
          </w:tcPr>
          <w:p w:rsidR="00A75A8D" w:rsidRDefault="008A6A51">
            <w:pPr>
              <w:widowControl w:val="0"/>
              <w:jc w:val="center"/>
              <w:rPr>
                <w:rFonts w:ascii="Times New Roman" w:hAnsi="Times New Roman" w:cs="Times New Roman"/>
                <w:b/>
                <w:sz w:val="28"/>
                <w:szCs w:val="28"/>
              </w:rPr>
            </w:pPr>
            <w:r>
              <w:rPr>
                <w:rFonts w:ascii="Times New Roman" w:hAnsi="Times New Roman" w:cs="Times New Roman"/>
                <w:b/>
                <w:sz w:val="28"/>
                <w:szCs w:val="28"/>
              </w:rPr>
              <w:t>%</w:t>
            </w:r>
          </w:p>
        </w:tc>
      </w:tr>
      <w:tr w:rsidR="00A75A8D">
        <w:trPr>
          <w:trHeight w:val="393"/>
        </w:trPr>
        <w:tc>
          <w:tcPr>
            <w:tcW w:w="2146" w:type="pct"/>
            <w:vMerge w:val="restart"/>
            <w:tcBorders>
              <w:tl2br w:val="nil"/>
              <w:tr2bl w:val="nil"/>
            </w:tcBorders>
            <w:vAlign w:val="center"/>
          </w:tcPr>
          <w:p w:rsidR="00A75A8D" w:rsidRDefault="008A6A51">
            <w:pPr>
              <w:widowControl w:val="0"/>
              <w:jc w:val="center"/>
              <w:rPr>
                <w:rFonts w:ascii="Times New Roman" w:hAnsi="Times New Roman" w:cs="Times New Roman"/>
                <w:sz w:val="28"/>
                <w:szCs w:val="28"/>
              </w:rPr>
            </w:pPr>
            <w:r>
              <w:rPr>
                <w:rFonts w:ascii="Times New Roman" w:hAnsi="Times New Roman" w:cs="Times New Roman"/>
                <w:sz w:val="28"/>
                <w:szCs w:val="28"/>
              </w:rPr>
              <w:t>Пол</w:t>
            </w:r>
          </w:p>
        </w:tc>
        <w:tc>
          <w:tcPr>
            <w:tcW w:w="1873" w:type="pct"/>
            <w:tcBorders>
              <w:tl2br w:val="nil"/>
              <w:tr2bl w:val="nil"/>
            </w:tcBorders>
          </w:tcPr>
          <w:p w:rsidR="00A75A8D" w:rsidRDefault="008A6A51">
            <w:pPr>
              <w:widowControl w:val="0"/>
              <w:jc w:val="center"/>
              <w:rPr>
                <w:rFonts w:ascii="Times New Roman" w:hAnsi="Times New Roman" w:cs="Times New Roman"/>
                <w:sz w:val="28"/>
                <w:szCs w:val="28"/>
              </w:rPr>
            </w:pPr>
            <w:r>
              <w:rPr>
                <w:rFonts w:ascii="Times New Roman" w:hAnsi="Times New Roman" w:cs="Times New Roman"/>
                <w:sz w:val="28"/>
                <w:szCs w:val="28"/>
              </w:rPr>
              <w:t>Мужчины</w:t>
            </w:r>
          </w:p>
        </w:tc>
        <w:tc>
          <w:tcPr>
            <w:tcW w:w="513" w:type="pct"/>
            <w:tcBorders>
              <w:tl2br w:val="nil"/>
              <w:tr2bl w:val="nil"/>
            </w:tcBorders>
          </w:tcPr>
          <w:p w:rsidR="00A75A8D" w:rsidRDefault="008A6A51">
            <w:pPr>
              <w:widowControl w:val="0"/>
              <w:jc w:val="center"/>
              <w:rPr>
                <w:rFonts w:ascii="Times New Roman" w:hAnsi="Times New Roman" w:cs="Times New Roman"/>
                <w:sz w:val="28"/>
                <w:szCs w:val="28"/>
              </w:rPr>
            </w:pPr>
            <w:r>
              <w:rPr>
                <w:rFonts w:ascii="Times New Roman" w:hAnsi="Times New Roman" w:cs="Times New Roman"/>
                <w:sz w:val="28"/>
                <w:szCs w:val="28"/>
              </w:rPr>
              <w:t>1582</w:t>
            </w:r>
          </w:p>
        </w:tc>
        <w:tc>
          <w:tcPr>
            <w:tcW w:w="466" w:type="pct"/>
            <w:tcBorders>
              <w:tl2br w:val="nil"/>
              <w:tr2bl w:val="nil"/>
            </w:tcBorders>
          </w:tcPr>
          <w:p w:rsidR="00A75A8D" w:rsidRDefault="008A6A51">
            <w:pPr>
              <w:widowControl w:val="0"/>
              <w:jc w:val="center"/>
              <w:rPr>
                <w:rFonts w:ascii="Times New Roman" w:hAnsi="Times New Roman" w:cs="Times New Roman"/>
                <w:sz w:val="28"/>
                <w:szCs w:val="28"/>
              </w:rPr>
            </w:pPr>
            <w:r>
              <w:rPr>
                <w:rFonts w:ascii="Times New Roman" w:hAnsi="Times New Roman" w:cs="Times New Roman"/>
                <w:sz w:val="28"/>
                <w:szCs w:val="28"/>
              </w:rPr>
              <w:t>43.1</w:t>
            </w:r>
          </w:p>
        </w:tc>
      </w:tr>
      <w:tr w:rsidR="00A75A8D">
        <w:tc>
          <w:tcPr>
            <w:tcW w:w="2146" w:type="pct"/>
            <w:vMerge/>
            <w:tcBorders>
              <w:tl2br w:val="nil"/>
              <w:tr2bl w:val="nil"/>
            </w:tcBorders>
            <w:vAlign w:val="center"/>
          </w:tcPr>
          <w:p w:rsidR="00A75A8D" w:rsidRDefault="00A75A8D">
            <w:pPr>
              <w:widowControl w:val="0"/>
              <w:jc w:val="center"/>
              <w:rPr>
                <w:rFonts w:ascii="Times New Roman" w:hAnsi="Times New Roman" w:cs="Times New Roman"/>
                <w:sz w:val="28"/>
                <w:szCs w:val="28"/>
              </w:rPr>
            </w:pPr>
          </w:p>
        </w:tc>
        <w:tc>
          <w:tcPr>
            <w:tcW w:w="1873" w:type="pct"/>
            <w:tcBorders>
              <w:tl2br w:val="nil"/>
              <w:tr2bl w:val="nil"/>
            </w:tcBorders>
          </w:tcPr>
          <w:p w:rsidR="00A75A8D" w:rsidRDefault="008A6A51">
            <w:pPr>
              <w:widowControl w:val="0"/>
              <w:jc w:val="center"/>
              <w:rPr>
                <w:rFonts w:ascii="Times New Roman" w:hAnsi="Times New Roman" w:cs="Times New Roman"/>
                <w:sz w:val="28"/>
                <w:szCs w:val="28"/>
              </w:rPr>
            </w:pPr>
            <w:r>
              <w:rPr>
                <w:rFonts w:ascii="Times New Roman" w:hAnsi="Times New Roman" w:cs="Times New Roman"/>
                <w:sz w:val="28"/>
                <w:szCs w:val="28"/>
              </w:rPr>
              <w:t>Женщины</w:t>
            </w:r>
          </w:p>
        </w:tc>
        <w:tc>
          <w:tcPr>
            <w:tcW w:w="513" w:type="pct"/>
            <w:tcBorders>
              <w:tl2br w:val="nil"/>
              <w:tr2bl w:val="nil"/>
            </w:tcBorders>
          </w:tcPr>
          <w:p w:rsidR="00A75A8D" w:rsidRDefault="008A6A51">
            <w:pPr>
              <w:widowControl w:val="0"/>
              <w:jc w:val="center"/>
              <w:rPr>
                <w:rFonts w:ascii="Times New Roman" w:hAnsi="Times New Roman" w:cs="Times New Roman"/>
                <w:sz w:val="28"/>
                <w:szCs w:val="28"/>
              </w:rPr>
            </w:pPr>
            <w:r>
              <w:rPr>
                <w:rFonts w:ascii="Times New Roman" w:hAnsi="Times New Roman" w:cs="Times New Roman"/>
                <w:sz w:val="28"/>
                <w:szCs w:val="28"/>
              </w:rPr>
              <w:t>2089</w:t>
            </w:r>
          </w:p>
        </w:tc>
        <w:tc>
          <w:tcPr>
            <w:tcW w:w="466" w:type="pct"/>
            <w:tcBorders>
              <w:tl2br w:val="nil"/>
              <w:tr2bl w:val="nil"/>
            </w:tcBorders>
          </w:tcPr>
          <w:p w:rsidR="00A75A8D" w:rsidRDefault="008A6A51">
            <w:pPr>
              <w:widowControl w:val="0"/>
              <w:jc w:val="center"/>
              <w:rPr>
                <w:rFonts w:ascii="Times New Roman" w:hAnsi="Times New Roman" w:cs="Times New Roman"/>
                <w:sz w:val="28"/>
                <w:szCs w:val="28"/>
              </w:rPr>
            </w:pPr>
            <w:r>
              <w:rPr>
                <w:rFonts w:ascii="Times New Roman" w:hAnsi="Times New Roman" w:cs="Times New Roman"/>
                <w:sz w:val="28"/>
                <w:szCs w:val="28"/>
              </w:rPr>
              <w:t>56.9</w:t>
            </w:r>
          </w:p>
        </w:tc>
      </w:tr>
      <w:tr w:rsidR="00A75A8D">
        <w:tc>
          <w:tcPr>
            <w:tcW w:w="2146" w:type="pct"/>
            <w:vMerge w:val="restart"/>
            <w:tcBorders>
              <w:tl2br w:val="nil"/>
              <w:tr2bl w:val="nil"/>
            </w:tcBorders>
            <w:vAlign w:val="center"/>
          </w:tcPr>
          <w:p w:rsidR="00A75A8D" w:rsidRDefault="008A6A51">
            <w:pPr>
              <w:widowControl w:val="0"/>
              <w:jc w:val="center"/>
              <w:rPr>
                <w:rFonts w:ascii="Times New Roman" w:hAnsi="Times New Roman" w:cs="Times New Roman"/>
                <w:sz w:val="28"/>
                <w:szCs w:val="28"/>
              </w:rPr>
            </w:pPr>
            <w:r>
              <w:rPr>
                <w:rFonts w:ascii="Times New Roman" w:hAnsi="Times New Roman" w:cs="Times New Roman"/>
                <w:sz w:val="28"/>
                <w:szCs w:val="28"/>
              </w:rPr>
              <w:t>Возрастные группы</w:t>
            </w:r>
          </w:p>
        </w:tc>
        <w:tc>
          <w:tcPr>
            <w:tcW w:w="1873" w:type="pct"/>
            <w:tcBorders>
              <w:tl2br w:val="nil"/>
              <w:tr2bl w:val="nil"/>
            </w:tcBorders>
          </w:tcPr>
          <w:p w:rsidR="00A75A8D" w:rsidRDefault="008A6A51">
            <w:pPr>
              <w:widowControl w:val="0"/>
              <w:jc w:val="center"/>
              <w:rPr>
                <w:rFonts w:ascii="Times New Roman" w:hAnsi="Times New Roman" w:cs="Times New Roman"/>
                <w:sz w:val="28"/>
                <w:szCs w:val="28"/>
              </w:rPr>
            </w:pPr>
            <w:r>
              <w:rPr>
                <w:rFonts w:ascii="Times New Roman" w:hAnsi="Times New Roman" w:cs="Times New Roman"/>
                <w:sz w:val="28"/>
                <w:szCs w:val="28"/>
              </w:rPr>
              <w:t>40-49</w:t>
            </w:r>
          </w:p>
        </w:tc>
        <w:tc>
          <w:tcPr>
            <w:tcW w:w="513" w:type="pct"/>
            <w:tcBorders>
              <w:tl2br w:val="nil"/>
              <w:tr2bl w:val="nil"/>
            </w:tcBorders>
          </w:tcPr>
          <w:p w:rsidR="00A75A8D" w:rsidRDefault="008A6A51">
            <w:pPr>
              <w:widowControl w:val="0"/>
              <w:jc w:val="center"/>
              <w:rPr>
                <w:rFonts w:ascii="Times New Roman" w:hAnsi="Times New Roman" w:cs="Times New Roman"/>
                <w:sz w:val="28"/>
                <w:szCs w:val="28"/>
              </w:rPr>
            </w:pPr>
            <w:r>
              <w:rPr>
                <w:rFonts w:ascii="Times New Roman" w:hAnsi="Times New Roman" w:cs="Times New Roman"/>
                <w:sz w:val="28"/>
                <w:szCs w:val="28"/>
              </w:rPr>
              <w:t>811</w:t>
            </w:r>
          </w:p>
        </w:tc>
        <w:tc>
          <w:tcPr>
            <w:tcW w:w="466" w:type="pct"/>
            <w:tcBorders>
              <w:tl2br w:val="nil"/>
              <w:tr2bl w:val="nil"/>
            </w:tcBorders>
          </w:tcPr>
          <w:p w:rsidR="00A75A8D" w:rsidRDefault="008A6A51">
            <w:pPr>
              <w:widowControl w:val="0"/>
              <w:jc w:val="center"/>
              <w:rPr>
                <w:rFonts w:ascii="Times New Roman" w:hAnsi="Times New Roman" w:cs="Times New Roman"/>
                <w:sz w:val="28"/>
                <w:szCs w:val="28"/>
              </w:rPr>
            </w:pPr>
            <w:r>
              <w:rPr>
                <w:rFonts w:ascii="Times New Roman" w:hAnsi="Times New Roman" w:cs="Times New Roman"/>
                <w:sz w:val="28"/>
                <w:szCs w:val="28"/>
              </w:rPr>
              <w:t>22.1</w:t>
            </w:r>
          </w:p>
        </w:tc>
      </w:tr>
      <w:tr w:rsidR="00A75A8D">
        <w:tc>
          <w:tcPr>
            <w:tcW w:w="2146" w:type="pct"/>
            <w:vMerge/>
            <w:tcBorders>
              <w:tl2br w:val="nil"/>
              <w:tr2bl w:val="nil"/>
            </w:tcBorders>
            <w:vAlign w:val="center"/>
          </w:tcPr>
          <w:p w:rsidR="00A75A8D" w:rsidRDefault="00A75A8D">
            <w:pPr>
              <w:widowControl w:val="0"/>
              <w:jc w:val="both"/>
              <w:rPr>
                <w:rFonts w:ascii="Times New Roman" w:hAnsi="Times New Roman" w:cs="Times New Roman"/>
                <w:sz w:val="28"/>
                <w:szCs w:val="28"/>
              </w:rPr>
            </w:pPr>
          </w:p>
        </w:tc>
        <w:tc>
          <w:tcPr>
            <w:tcW w:w="1873" w:type="pct"/>
            <w:tcBorders>
              <w:tl2br w:val="nil"/>
              <w:tr2bl w:val="nil"/>
            </w:tcBorders>
          </w:tcPr>
          <w:p w:rsidR="00A75A8D" w:rsidRDefault="008A6A51">
            <w:pPr>
              <w:widowControl w:val="0"/>
              <w:jc w:val="center"/>
              <w:rPr>
                <w:rFonts w:ascii="Times New Roman" w:hAnsi="Times New Roman" w:cs="Times New Roman"/>
                <w:sz w:val="28"/>
                <w:szCs w:val="28"/>
              </w:rPr>
            </w:pPr>
            <w:r>
              <w:rPr>
                <w:rFonts w:ascii="Times New Roman" w:hAnsi="Times New Roman" w:cs="Times New Roman"/>
                <w:sz w:val="28"/>
                <w:szCs w:val="28"/>
              </w:rPr>
              <w:t>50-59</w:t>
            </w:r>
          </w:p>
        </w:tc>
        <w:tc>
          <w:tcPr>
            <w:tcW w:w="513" w:type="pct"/>
            <w:tcBorders>
              <w:tl2br w:val="nil"/>
              <w:tr2bl w:val="nil"/>
            </w:tcBorders>
          </w:tcPr>
          <w:p w:rsidR="00A75A8D" w:rsidRDefault="008A6A51">
            <w:pPr>
              <w:widowControl w:val="0"/>
              <w:jc w:val="center"/>
              <w:rPr>
                <w:rFonts w:ascii="Times New Roman" w:hAnsi="Times New Roman" w:cs="Times New Roman"/>
                <w:sz w:val="28"/>
                <w:szCs w:val="28"/>
              </w:rPr>
            </w:pPr>
            <w:r>
              <w:rPr>
                <w:rFonts w:ascii="Times New Roman" w:hAnsi="Times New Roman" w:cs="Times New Roman"/>
                <w:sz w:val="28"/>
                <w:szCs w:val="28"/>
              </w:rPr>
              <w:t>1356</w:t>
            </w:r>
          </w:p>
        </w:tc>
        <w:tc>
          <w:tcPr>
            <w:tcW w:w="466" w:type="pct"/>
            <w:tcBorders>
              <w:tl2br w:val="nil"/>
              <w:tr2bl w:val="nil"/>
            </w:tcBorders>
          </w:tcPr>
          <w:p w:rsidR="00A75A8D" w:rsidRDefault="008A6A51">
            <w:pPr>
              <w:widowControl w:val="0"/>
              <w:jc w:val="center"/>
              <w:rPr>
                <w:rFonts w:ascii="Times New Roman" w:hAnsi="Times New Roman" w:cs="Times New Roman"/>
                <w:sz w:val="28"/>
                <w:szCs w:val="28"/>
              </w:rPr>
            </w:pPr>
            <w:r>
              <w:rPr>
                <w:rFonts w:ascii="Times New Roman" w:hAnsi="Times New Roman" w:cs="Times New Roman"/>
                <w:sz w:val="28"/>
                <w:szCs w:val="28"/>
              </w:rPr>
              <w:t>37.0</w:t>
            </w:r>
          </w:p>
        </w:tc>
      </w:tr>
      <w:tr w:rsidR="00A75A8D">
        <w:tc>
          <w:tcPr>
            <w:tcW w:w="2146" w:type="pct"/>
            <w:vMerge/>
            <w:tcBorders>
              <w:tl2br w:val="nil"/>
              <w:tr2bl w:val="nil"/>
            </w:tcBorders>
            <w:vAlign w:val="center"/>
          </w:tcPr>
          <w:p w:rsidR="00A75A8D" w:rsidRDefault="00A75A8D">
            <w:pPr>
              <w:widowControl w:val="0"/>
              <w:jc w:val="both"/>
              <w:rPr>
                <w:rFonts w:ascii="Times New Roman" w:hAnsi="Times New Roman" w:cs="Times New Roman"/>
                <w:sz w:val="28"/>
                <w:szCs w:val="28"/>
              </w:rPr>
            </w:pPr>
          </w:p>
        </w:tc>
        <w:tc>
          <w:tcPr>
            <w:tcW w:w="1873" w:type="pct"/>
            <w:tcBorders>
              <w:tl2br w:val="nil"/>
              <w:tr2bl w:val="nil"/>
            </w:tcBorders>
          </w:tcPr>
          <w:p w:rsidR="00A75A8D" w:rsidRDefault="008A6A51">
            <w:pPr>
              <w:widowControl w:val="0"/>
              <w:jc w:val="center"/>
              <w:rPr>
                <w:rFonts w:ascii="Times New Roman" w:hAnsi="Times New Roman" w:cs="Times New Roman"/>
                <w:sz w:val="28"/>
                <w:szCs w:val="28"/>
              </w:rPr>
            </w:pPr>
            <w:r>
              <w:rPr>
                <w:rFonts w:ascii="Times New Roman" w:hAnsi="Times New Roman" w:cs="Times New Roman"/>
                <w:sz w:val="28"/>
                <w:szCs w:val="28"/>
              </w:rPr>
              <w:t>60-69</w:t>
            </w:r>
          </w:p>
        </w:tc>
        <w:tc>
          <w:tcPr>
            <w:tcW w:w="513" w:type="pct"/>
            <w:tcBorders>
              <w:tl2br w:val="nil"/>
              <w:tr2bl w:val="nil"/>
            </w:tcBorders>
          </w:tcPr>
          <w:p w:rsidR="00A75A8D" w:rsidRDefault="008A6A51">
            <w:pPr>
              <w:widowControl w:val="0"/>
              <w:jc w:val="center"/>
              <w:rPr>
                <w:rFonts w:ascii="Times New Roman" w:hAnsi="Times New Roman" w:cs="Times New Roman"/>
                <w:sz w:val="28"/>
                <w:szCs w:val="28"/>
              </w:rPr>
            </w:pPr>
            <w:r>
              <w:rPr>
                <w:rFonts w:ascii="Times New Roman" w:hAnsi="Times New Roman" w:cs="Times New Roman"/>
                <w:sz w:val="28"/>
                <w:szCs w:val="28"/>
              </w:rPr>
              <w:t>1092</w:t>
            </w:r>
          </w:p>
        </w:tc>
        <w:tc>
          <w:tcPr>
            <w:tcW w:w="466" w:type="pct"/>
            <w:tcBorders>
              <w:tl2br w:val="nil"/>
              <w:tr2bl w:val="nil"/>
            </w:tcBorders>
          </w:tcPr>
          <w:p w:rsidR="00A75A8D" w:rsidRDefault="008A6A51">
            <w:pPr>
              <w:widowControl w:val="0"/>
              <w:jc w:val="center"/>
              <w:rPr>
                <w:rFonts w:ascii="Times New Roman" w:hAnsi="Times New Roman" w:cs="Times New Roman"/>
                <w:sz w:val="28"/>
                <w:szCs w:val="28"/>
              </w:rPr>
            </w:pPr>
            <w:r>
              <w:rPr>
                <w:rFonts w:ascii="Times New Roman" w:hAnsi="Times New Roman" w:cs="Times New Roman"/>
                <w:sz w:val="28"/>
                <w:szCs w:val="28"/>
              </w:rPr>
              <w:t>29.7</w:t>
            </w:r>
          </w:p>
        </w:tc>
      </w:tr>
      <w:tr w:rsidR="00A75A8D">
        <w:tc>
          <w:tcPr>
            <w:tcW w:w="2146" w:type="pct"/>
            <w:vMerge/>
            <w:tcBorders>
              <w:tl2br w:val="nil"/>
              <w:tr2bl w:val="nil"/>
            </w:tcBorders>
            <w:vAlign w:val="center"/>
          </w:tcPr>
          <w:p w:rsidR="00A75A8D" w:rsidRDefault="00A75A8D">
            <w:pPr>
              <w:widowControl w:val="0"/>
              <w:jc w:val="both"/>
              <w:rPr>
                <w:rFonts w:ascii="Times New Roman" w:hAnsi="Times New Roman" w:cs="Times New Roman"/>
                <w:sz w:val="28"/>
                <w:szCs w:val="28"/>
              </w:rPr>
            </w:pPr>
          </w:p>
        </w:tc>
        <w:tc>
          <w:tcPr>
            <w:tcW w:w="1873" w:type="pct"/>
            <w:tcBorders>
              <w:tl2br w:val="nil"/>
              <w:tr2bl w:val="nil"/>
            </w:tcBorders>
          </w:tcPr>
          <w:p w:rsidR="00A75A8D" w:rsidRDefault="008A6A51">
            <w:pPr>
              <w:widowControl w:val="0"/>
              <w:jc w:val="center"/>
              <w:rPr>
                <w:rFonts w:ascii="Times New Roman" w:hAnsi="Times New Roman" w:cs="Times New Roman"/>
                <w:sz w:val="28"/>
                <w:szCs w:val="28"/>
              </w:rPr>
            </w:pPr>
            <w:r>
              <w:rPr>
                <w:rFonts w:ascii="Times New Roman" w:hAnsi="Times New Roman" w:cs="Times New Roman"/>
                <w:sz w:val="28"/>
                <w:szCs w:val="28"/>
              </w:rPr>
              <w:t>70-75</w:t>
            </w:r>
          </w:p>
        </w:tc>
        <w:tc>
          <w:tcPr>
            <w:tcW w:w="513" w:type="pct"/>
            <w:tcBorders>
              <w:tl2br w:val="nil"/>
              <w:tr2bl w:val="nil"/>
            </w:tcBorders>
          </w:tcPr>
          <w:p w:rsidR="00A75A8D" w:rsidRDefault="008A6A51">
            <w:pPr>
              <w:widowControl w:val="0"/>
              <w:jc w:val="center"/>
              <w:rPr>
                <w:rFonts w:ascii="Times New Roman" w:hAnsi="Times New Roman" w:cs="Times New Roman"/>
                <w:sz w:val="28"/>
                <w:szCs w:val="28"/>
              </w:rPr>
            </w:pPr>
            <w:r>
              <w:rPr>
                <w:rFonts w:ascii="Times New Roman" w:hAnsi="Times New Roman" w:cs="Times New Roman"/>
                <w:sz w:val="28"/>
                <w:szCs w:val="28"/>
              </w:rPr>
              <w:t>412</w:t>
            </w:r>
          </w:p>
        </w:tc>
        <w:tc>
          <w:tcPr>
            <w:tcW w:w="466" w:type="pct"/>
            <w:tcBorders>
              <w:tl2br w:val="nil"/>
              <w:tr2bl w:val="nil"/>
            </w:tcBorders>
          </w:tcPr>
          <w:p w:rsidR="00A75A8D" w:rsidRDefault="008A6A51">
            <w:pPr>
              <w:widowControl w:val="0"/>
              <w:jc w:val="center"/>
              <w:rPr>
                <w:rFonts w:ascii="Times New Roman" w:hAnsi="Times New Roman" w:cs="Times New Roman"/>
                <w:sz w:val="28"/>
                <w:szCs w:val="28"/>
              </w:rPr>
            </w:pPr>
            <w:r>
              <w:rPr>
                <w:rFonts w:ascii="Times New Roman" w:hAnsi="Times New Roman" w:cs="Times New Roman"/>
                <w:sz w:val="28"/>
                <w:szCs w:val="28"/>
              </w:rPr>
              <w:t>11.2</w:t>
            </w:r>
          </w:p>
        </w:tc>
      </w:tr>
      <w:tr w:rsidR="00A75A8D">
        <w:tc>
          <w:tcPr>
            <w:tcW w:w="2146" w:type="pct"/>
            <w:vMerge w:val="restart"/>
            <w:tcBorders>
              <w:tl2br w:val="nil"/>
              <w:tr2bl w:val="nil"/>
            </w:tcBorders>
            <w:vAlign w:val="center"/>
          </w:tcPr>
          <w:p w:rsidR="00A75A8D" w:rsidRDefault="008A6A51">
            <w:pPr>
              <w:widowControl w:val="0"/>
              <w:jc w:val="center"/>
              <w:rPr>
                <w:rFonts w:ascii="Times New Roman" w:hAnsi="Times New Roman" w:cs="Times New Roman"/>
                <w:sz w:val="28"/>
                <w:szCs w:val="28"/>
              </w:rPr>
            </w:pPr>
            <w:r>
              <w:rPr>
                <w:rFonts w:ascii="Times New Roman" w:hAnsi="Times New Roman" w:cs="Times New Roman"/>
                <w:sz w:val="28"/>
                <w:szCs w:val="28"/>
              </w:rPr>
              <w:t>Статус курения</w:t>
            </w:r>
          </w:p>
        </w:tc>
        <w:tc>
          <w:tcPr>
            <w:tcW w:w="1873" w:type="pct"/>
            <w:tcBorders>
              <w:tl2br w:val="nil"/>
              <w:tr2bl w:val="nil"/>
            </w:tcBorders>
          </w:tcPr>
          <w:p w:rsidR="00A75A8D" w:rsidRDefault="008A6A51">
            <w:pPr>
              <w:widowControl w:val="0"/>
              <w:jc w:val="center"/>
              <w:rPr>
                <w:rFonts w:ascii="Times New Roman" w:hAnsi="Times New Roman" w:cs="Times New Roman"/>
                <w:sz w:val="28"/>
                <w:szCs w:val="28"/>
              </w:rPr>
            </w:pPr>
            <w:r>
              <w:rPr>
                <w:rFonts w:ascii="Times New Roman" w:hAnsi="Times New Roman" w:cs="Times New Roman"/>
                <w:sz w:val="28"/>
                <w:szCs w:val="28"/>
              </w:rPr>
              <w:t>Никогда не курящие</w:t>
            </w:r>
          </w:p>
        </w:tc>
        <w:tc>
          <w:tcPr>
            <w:tcW w:w="513" w:type="pct"/>
            <w:tcBorders>
              <w:tl2br w:val="nil"/>
              <w:tr2bl w:val="nil"/>
            </w:tcBorders>
          </w:tcPr>
          <w:p w:rsidR="00A75A8D" w:rsidRDefault="008A6A51">
            <w:pPr>
              <w:widowControl w:val="0"/>
              <w:jc w:val="center"/>
              <w:rPr>
                <w:rFonts w:ascii="Times New Roman" w:hAnsi="Times New Roman" w:cs="Times New Roman"/>
                <w:sz w:val="28"/>
                <w:szCs w:val="28"/>
              </w:rPr>
            </w:pPr>
            <w:r>
              <w:rPr>
                <w:rFonts w:ascii="Times New Roman" w:hAnsi="Times New Roman" w:cs="Times New Roman"/>
                <w:sz w:val="28"/>
                <w:szCs w:val="28"/>
              </w:rPr>
              <w:t>2198</w:t>
            </w:r>
          </w:p>
        </w:tc>
        <w:tc>
          <w:tcPr>
            <w:tcW w:w="466" w:type="pct"/>
            <w:tcBorders>
              <w:tl2br w:val="nil"/>
              <w:tr2bl w:val="nil"/>
            </w:tcBorders>
          </w:tcPr>
          <w:p w:rsidR="00A75A8D" w:rsidRDefault="008A6A51">
            <w:pPr>
              <w:widowControl w:val="0"/>
              <w:jc w:val="center"/>
              <w:rPr>
                <w:rFonts w:ascii="Times New Roman" w:hAnsi="Times New Roman" w:cs="Times New Roman"/>
                <w:sz w:val="28"/>
                <w:szCs w:val="28"/>
              </w:rPr>
            </w:pPr>
            <w:r>
              <w:rPr>
                <w:rFonts w:ascii="Times New Roman" w:hAnsi="Times New Roman" w:cs="Times New Roman"/>
                <w:sz w:val="28"/>
                <w:szCs w:val="28"/>
              </w:rPr>
              <w:t>59.9</w:t>
            </w:r>
          </w:p>
        </w:tc>
      </w:tr>
      <w:tr w:rsidR="00A75A8D">
        <w:tc>
          <w:tcPr>
            <w:tcW w:w="2146" w:type="pct"/>
            <w:vMerge/>
            <w:tcBorders>
              <w:tl2br w:val="nil"/>
              <w:tr2bl w:val="nil"/>
            </w:tcBorders>
            <w:vAlign w:val="center"/>
          </w:tcPr>
          <w:p w:rsidR="00A75A8D" w:rsidRDefault="00A75A8D">
            <w:pPr>
              <w:widowControl w:val="0"/>
              <w:jc w:val="center"/>
              <w:rPr>
                <w:rFonts w:ascii="Times New Roman" w:hAnsi="Times New Roman" w:cs="Times New Roman"/>
                <w:sz w:val="28"/>
                <w:szCs w:val="28"/>
              </w:rPr>
            </w:pPr>
          </w:p>
        </w:tc>
        <w:tc>
          <w:tcPr>
            <w:tcW w:w="1873" w:type="pct"/>
            <w:tcBorders>
              <w:tl2br w:val="nil"/>
              <w:tr2bl w:val="nil"/>
            </w:tcBorders>
          </w:tcPr>
          <w:p w:rsidR="00A75A8D" w:rsidRDefault="008A6A51">
            <w:pPr>
              <w:widowControl w:val="0"/>
              <w:jc w:val="center"/>
              <w:rPr>
                <w:rFonts w:ascii="Times New Roman" w:hAnsi="Times New Roman" w:cs="Times New Roman"/>
                <w:sz w:val="28"/>
                <w:szCs w:val="28"/>
              </w:rPr>
            </w:pPr>
            <w:r>
              <w:rPr>
                <w:rFonts w:ascii="Times New Roman" w:hAnsi="Times New Roman" w:cs="Times New Roman"/>
                <w:sz w:val="28"/>
                <w:szCs w:val="28"/>
              </w:rPr>
              <w:t>Бывшие курильщики</w:t>
            </w:r>
            <w:r>
              <w:rPr>
                <w:rFonts w:ascii="Times New Roman" w:hAnsi="Times New Roman" w:cs="Times New Roman"/>
                <w:sz w:val="28"/>
                <w:szCs w:val="28"/>
                <w:vertAlign w:val="superscript"/>
              </w:rPr>
              <w:t>1</w:t>
            </w:r>
          </w:p>
        </w:tc>
        <w:tc>
          <w:tcPr>
            <w:tcW w:w="513" w:type="pct"/>
            <w:tcBorders>
              <w:tl2br w:val="nil"/>
              <w:tr2bl w:val="nil"/>
            </w:tcBorders>
          </w:tcPr>
          <w:p w:rsidR="00A75A8D" w:rsidRDefault="008A6A51">
            <w:pPr>
              <w:widowControl w:val="0"/>
              <w:jc w:val="center"/>
              <w:rPr>
                <w:rFonts w:ascii="Times New Roman" w:hAnsi="Times New Roman" w:cs="Times New Roman"/>
                <w:sz w:val="28"/>
                <w:szCs w:val="28"/>
              </w:rPr>
            </w:pPr>
            <w:r>
              <w:rPr>
                <w:rFonts w:ascii="Times New Roman" w:hAnsi="Times New Roman" w:cs="Times New Roman"/>
                <w:sz w:val="28"/>
                <w:szCs w:val="28"/>
              </w:rPr>
              <w:t>514</w:t>
            </w:r>
          </w:p>
        </w:tc>
        <w:tc>
          <w:tcPr>
            <w:tcW w:w="466" w:type="pct"/>
            <w:tcBorders>
              <w:tl2br w:val="nil"/>
              <w:tr2bl w:val="nil"/>
            </w:tcBorders>
          </w:tcPr>
          <w:p w:rsidR="00A75A8D" w:rsidRDefault="008A6A51">
            <w:pPr>
              <w:widowControl w:val="0"/>
              <w:jc w:val="center"/>
              <w:rPr>
                <w:rFonts w:ascii="Times New Roman" w:hAnsi="Times New Roman" w:cs="Times New Roman"/>
                <w:sz w:val="28"/>
                <w:szCs w:val="28"/>
              </w:rPr>
            </w:pPr>
            <w:r>
              <w:rPr>
                <w:rFonts w:ascii="Times New Roman" w:hAnsi="Times New Roman" w:cs="Times New Roman"/>
                <w:sz w:val="28"/>
                <w:szCs w:val="28"/>
              </w:rPr>
              <w:t>14.2</w:t>
            </w:r>
          </w:p>
        </w:tc>
      </w:tr>
      <w:tr w:rsidR="00A75A8D">
        <w:tc>
          <w:tcPr>
            <w:tcW w:w="2146" w:type="pct"/>
            <w:vMerge/>
            <w:tcBorders>
              <w:tl2br w:val="nil"/>
              <w:tr2bl w:val="nil"/>
            </w:tcBorders>
            <w:vAlign w:val="center"/>
          </w:tcPr>
          <w:p w:rsidR="00A75A8D" w:rsidRDefault="00A75A8D">
            <w:pPr>
              <w:widowControl w:val="0"/>
              <w:jc w:val="center"/>
              <w:rPr>
                <w:rFonts w:ascii="Times New Roman" w:hAnsi="Times New Roman" w:cs="Times New Roman"/>
                <w:sz w:val="28"/>
                <w:szCs w:val="28"/>
              </w:rPr>
            </w:pPr>
          </w:p>
        </w:tc>
        <w:tc>
          <w:tcPr>
            <w:tcW w:w="1873" w:type="pct"/>
            <w:tcBorders>
              <w:tl2br w:val="nil"/>
              <w:tr2bl w:val="nil"/>
            </w:tcBorders>
          </w:tcPr>
          <w:p w:rsidR="00A75A8D" w:rsidRDefault="008A6A51">
            <w:pPr>
              <w:widowControl w:val="0"/>
              <w:jc w:val="center"/>
              <w:rPr>
                <w:rFonts w:ascii="Times New Roman" w:hAnsi="Times New Roman" w:cs="Times New Roman"/>
                <w:sz w:val="28"/>
                <w:szCs w:val="28"/>
              </w:rPr>
            </w:pPr>
            <w:r>
              <w:rPr>
                <w:rFonts w:ascii="Times New Roman" w:hAnsi="Times New Roman" w:cs="Times New Roman"/>
                <w:sz w:val="28"/>
                <w:szCs w:val="28"/>
              </w:rPr>
              <w:t>Курящие</w:t>
            </w:r>
          </w:p>
        </w:tc>
        <w:tc>
          <w:tcPr>
            <w:tcW w:w="513" w:type="pct"/>
            <w:tcBorders>
              <w:tl2br w:val="nil"/>
              <w:tr2bl w:val="nil"/>
            </w:tcBorders>
          </w:tcPr>
          <w:p w:rsidR="00A75A8D" w:rsidRDefault="008A6A51">
            <w:pPr>
              <w:widowControl w:val="0"/>
              <w:jc w:val="center"/>
              <w:rPr>
                <w:rFonts w:ascii="Times New Roman" w:hAnsi="Times New Roman" w:cs="Times New Roman"/>
                <w:sz w:val="28"/>
                <w:szCs w:val="28"/>
              </w:rPr>
            </w:pPr>
            <w:r>
              <w:rPr>
                <w:rFonts w:ascii="Times New Roman" w:hAnsi="Times New Roman" w:cs="Times New Roman"/>
                <w:sz w:val="28"/>
                <w:szCs w:val="28"/>
              </w:rPr>
              <w:t>959</w:t>
            </w:r>
          </w:p>
        </w:tc>
        <w:tc>
          <w:tcPr>
            <w:tcW w:w="466" w:type="pct"/>
            <w:tcBorders>
              <w:tl2br w:val="nil"/>
              <w:tr2bl w:val="nil"/>
            </w:tcBorders>
          </w:tcPr>
          <w:p w:rsidR="00A75A8D" w:rsidRDefault="008A6A51">
            <w:pPr>
              <w:widowControl w:val="0"/>
              <w:jc w:val="center"/>
              <w:rPr>
                <w:rFonts w:ascii="Times New Roman" w:hAnsi="Times New Roman" w:cs="Times New Roman"/>
                <w:sz w:val="28"/>
                <w:szCs w:val="28"/>
              </w:rPr>
            </w:pPr>
            <w:r>
              <w:rPr>
                <w:rFonts w:ascii="Times New Roman" w:hAnsi="Times New Roman" w:cs="Times New Roman"/>
                <w:sz w:val="28"/>
                <w:szCs w:val="28"/>
              </w:rPr>
              <w:t>26.1</w:t>
            </w:r>
          </w:p>
        </w:tc>
      </w:tr>
      <w:tr w:rsidR="00A75A8D">
        <w:tc>
          <w:tcPr>
            <w:tcW w:w="2146" w:type="pct"/>
            <w:vMerge w:val="restart"/>
            <w:tcBorders>
              <w:tl2br w:val="nil"/>
              <w:tr2bl w:val="nil"/>
            </w:tcBorders>
            <w:vAlign w:val="center"/>
          </w:tcPr>
          <w:p w:rsidR="00A75A8D" w:rsidRDefault="008A6A51">
            <w:pPr>
              <w:widowControl w:val="0"/>
              <w:jc w:val="center"/>
              <w:rPr>
                <w:rFonts w:ascii="Times New Roman" w:hAnsi="Times New Roman" w:cs="Times New Roman"/>
                <w:sz w:val="28"/>
                <w:szCs w:val="28"/>
              </w:rPr>
            </w:pPr>
            <w:r>
              <w:rPr>
                <w:rFonts w:ascii="Times New Roman" w:hAnsi="Times New Roman" w:cs="Times New Roman"/>
                <w:sz w:val="28"/>
                <w:szCs w:val="28"/>
              </w:rPr>
              <w:t>Наследственный анамнез</w:t>
            </w:r>
          </w:p>
        </w:tc>
        <w:tc>
          <w:tcPr>
            <w:tcW w:w="1873" w:type="pct"/>
            <w:tcBorders>
              <w:tl2br w:val="nil"/>
              <w:tr2bl w:val="nil"/>
            </w:tcBorders>
          </w:tcPr>
          <w:p w:rsidR="00A75A8D" w:rsidRDefault="008A6A51">
            <w:pPr>
              <w:widowControl w:val="0"/>
              <w:jc w:val="center"/>
              <w:rPr>
                <w:rFonts w:ascii="Times New Roman" w:hAnsi="Times New Roman" w:cs="Times New Roman"/>
                <w:sz w:val="28"/>
                <w:szCs w:val="28"/>
              </w:rPr>
            </w:pPr>
            <w:r>
              <w:rPr>
                <w:rFonts w:ascii="Times New Roman" w:hAnsi="Times New Roman" w:cs="Times New Roman"/>
                <w:sz w:val="28"/>
                <w:szCs w:val="28"/>
              </w:rPr>
              <w:t xml:space="preserve">Отягощенный </w:t>
            </w:r>
          </w:p>
        </w:tc>
        <w:tc>
          <w:tcPr>
            <w:tcW w:w="513" w:type="pct"/>
            <w:tcBorders>
              <w:tl2br w:val="nil"/>
              <w:tr2bl w:val="nil"/>
            </w:tcBorders>
          </w:tcPr>
          <w:p w:rsidR="00A75A8D" w:rsidRDefault="008A6A51">
            <w:pPr>
              <w:widowControl w:val="0"/>
              <w:jc w:val="center"/>
              <w:rPr>
                <w:rFonts w:ascii="Times New Roman" w:hAnsi="Times New Roman" w:cs="Times New Roman"/>
                <w:sz w:val="28"/>
                <w:szCs w:val="28"/>
              </w:rPr>
            </w:pPr>
            <w:r>
              <w:rPr>
                <w:rFonts w:ascii="Times New Roman" w:hAnsi="Times New Roman" w:cs="Times New Roman"/>
                <w:sz w:val="28"/>
                <w:szCs w:val="28"/>
              </w:rPr>
              <w:t>117</w:t>
            </w:r>
          </w:p>
        </w:tc>
        <w:tc>
          <w:tcPr>
            <w:tcW w:w="466" w:type="pct"/>
            <w:tcBorders>
              <w:tl2br w:val="nil"/>
              <w:tr2bl w:val="nil"/>
            </w:tcBorders>
          </w:tcPr>
          <w:p w:rsidR="00A75A8D" w:rsidRDefault="008A6A51">
            <w:pPr>
              <w:widowControl w:val="0"/>
              <w:jc w:val="center"/>
              <w:rPr>
                <w:rFonts w:ascii="Times New Roman" w:hAnsi="Times New Roman" w:cs="Times New Roman"/>
                <w:sz w:val="28"/>
                <w:szCs w:val="28"/>
              </w:rPr>
            </w:pPr>
            <w:r>
              <w:rPr>
                <w:rFonts w:ascii="Times New Roman" w:hAnsi="Times New Roman" w:cs="Times New Roman"/>
                <w:sz w:val="28"/>
                <w:szCs w:val="28"/>
              </w:rPr>
              <w:t>3.2</w:t>
            </w:r>
          </w:p>
        </w:tc>
      </w:tr>
      <w:tr w:rsidR="00A75A8D">
        <w:tc>
          <w:tcPr>
            <w:tcW w:w="2146" w:type="pct"/>
            <w:vMerge/>
            <w:tcBorders>
              <w:tl2br w:val="nil"/>
              <w:tr2bl w:val="nil"/>
            </w:tcBorders>
          </w:tcPr>
          <w:p w:rsidR="00A75A8D" w:rsidRDefault="00A75A8D">
            <w:pPr>
              <w:widowControl w:val="0"/>
              <w:rPr>
                <w:rFonts w:ascii="Times New Roman" w:hAnsi="Times New Roman" w:cs="Times New Roman"/>
                <w:sz w:val="28"/>
                <w:szCs w:val="28"/>
              </w:rPr>
            </w:pPr>
          </w:p>
        </w:tc>
        <w:tc>
          <w:tcPr>
            <w:tcW w:w="1873" w:type="pct"/>
            <w:tcBorders>
              <w:tl2br w:val="nil"/>
              <w:tr2bl w:val="nil"/>
            </w:tcBorders>
          </w:tcPr>
          <w:p w:rsidR="00A75A8D" w:rsidRDefault="008A6A51">
            <w:pPr>
              <w:widowControl w:val="0"/>
              <w:jc w:val="center"/>
              <w:rPr>
                <w:rFonts w:ascii="Times New Roman" w:hAnsi="Times New Roman" w:cs="Times New Roman"/>
                <w:sz w:val="28"/>
                <w:szCs w:val="28"/>
              </w:rPr>
            </w:pPr>
            <w:r>
              <w:rPr>
                <w:rFonts w:ascii="Times New Roman" w:hAnsi="Times New Roman" w:cs="Times New Roman"/>
                <w:sz w:val="28"/>
                <w:szCs w:val="28"/>
              </w:rPr>
              <w:t>Не отягощенный</w:t>
            </w:r>
          </w:p>
        </w:tc>
        <w:tc>
          <w:tcPr>
            <w:tcW w:w="513" w:type="pct"/>
            <w:tcBorders>
              <w:tl2br w:val="nil"/>
              <w:tr2bl w:val="nil"/>
            </w:tcBorders>
          </w:tcPr>
          <w:p w:rsidR="00A75A8D" w:rsidRDefault="008A6A51">
            <w:pPr>
              <w:widowControl w:val="0"/>
              <w:jc w:val="center"/>
              <w:rPr>
                <w:rFonts w:ascii="Times New Roman" w:hAnsi="Times New Roman" w:cs="Times New Roman"/>
                <w:sz w:val="28"/>
                <w:szCs w:val="28"/>
              </w:rPr>
            </w:pPr>
            <w:r>
              <w:rPr>
                <w:rFonts w:ascii="Times New Roman" w:hAnsi="Times New Roman" w:cs="Times New Roman"/>
                <w:sz w:val="28"/>
                <w:szCs w:val="28"/>
              </w:rPr>
              <w:t>3554</w:t>
            </w:r>
          </w:p>
        </w:tc>
        <w:tc>
          <w:tcPr>
            <w:tcW w:w="466" w:type="pct"/>
            <w:tcBorders>
              <w:tl2br w:val="nil"/>
              <w:tr2bl w:val="nil"/>
            </w:tcBorders>
          </w:tcPr>
          <w:p w:rsidR="00A75A8D" w:rsidRDefault="008A6A51">
            <w:pPr>
              <w:widowControl w:val="0"/>
              <w:jc w:val="center"/>
              <w:rPr>
                <w:rFonts w:ascii="Times New Roman" w:hAnsi="Times New Roman" w:cs="Times New Roman"/>
                <w:sz w:val="28"/>
                <w:szCs w:val="28"/>
              </w:rPr>
            </w:pPr>
            <w:r>
              <w:rPr>
                <w:rFonts w:ascii="Times New Roman" w:hAnsi="Times New Roman" w:cs="Times New Roman"/>
                <w:sz w:val="28"/>
                <w:szCs w:val="28"/>
              </w:rPr>
              <w:t>96.8</w:t>
            </w:r>
          </w:p>
        </w:tc>
      </w:tr>
    </w:tbl>
    <w:p w:rsidR="00A75A8D" w:rsidRDefault="008A6A51">
      <w:pPr>
        <w:pStyle w:val="af3"/>
        <w:rPr>
          <w:b/>
          <w:bCs/>
          <w:color w:val="000000"/>
          <w:vertAlign w:val="superscript"/>
        </w:rPr>
      </w:pPr>
      <w:r>
        <w:rPr>
          <w:color w:val="000000"/>
          <w:vertAlign w:val="superscript"/>
        </w:rPr>
        <w:t>1</w:t>
      </w:r>
      <w:r>
        <w:t>Участники, бросившие курить более 10 лет назад, были признаны бывшими курильщиками.</w:t>
      </w:r>
    </w:p>
    <w:p w:rsidR="00A75A8D" w:rsidRDefault="00A75A8D">
      <w:pPr>
        <w:spacing w:after="0" w:line="240" w:lineRule="auto"/>
        <w:ind w:firstLine="567"/>
        <w:jc w:val="both"/>
        <w:rPr>
          <w:rFonts w:ascii="Times New Roman" w:hAnsi="Times New Roman" w:cs="Times New Roman"/>
          <w:sz w:val="28"/>
          <w:szCs w:val="28"/>
        </w:rPr>
      </w:pP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Как видно из таблицы 1, в нашем исследовании женщин было больше, чем мужчин (56,9% против 43,1%). Превалировали участники возрастной группы 50-59 лет, что составило 37% (1356/3671). Меньше всего участников нашего исследования наблюдалось в возрастной групп</w:t>
      </w:r>
      <w:r>
        <w:rPr>
          <w:rFonts w:ascii="Times New Roman" w:hAnsi="Times New Roman" w:cs="Times New Roman"/>
          <w:sz w:val="28"/>
          <w:szCs w:val="28"/>
        </w:rPr>
        <w:t>е 70-75 лет, что составило 11,2% (412/3671). По характеру курения, превалировали не курящие - 2198/3671 (59,9%), в то время как курильщики составили четверть от общей исследуемой популяции - 959/3671 (26,1%); доля бывших курильщиков была наименьшей (участн</w:t>
      </w:r>
      <w:r>
        <w:rPr>
          <w:rFonts w:ascii="Times New Roman" w:hAnsi="Times New Roman" w:cs="Times New Roman"/>
          <w:sz w:val="28"/>
          <w:szCs w:val="28"/>
        </w:rPr>
        <w:t xml:space="preserve">ики, бросившие курить 10 и более лет назад) и составила 514/3671 (14,2%). </w:t>
      </w:r>
    </w:p>
    <w:p w:rsidR="00A75A8D" w:rsidRDefault="008A6A51">
      <w:pPr>
        <w:pStyle w:val="af4"/>
        <w:ind w:firstLine="567"/>
        <w:jc w:val="left"/>
        <w:rPr>
          <w:rFonts w:ascii="Times New Roman" w:hAnsi="Times New Roman"/>
          <w:b/>
          <w:sz w:val="28"/>
          <w:szCs w:val="28"/>
        </w:rPr>
      </w:pPr>
      <w:bookmarkStart w:id="15" w:name="_Toc186925734"/>
      <w:r>
        <w:rPr>
          <w:rFonts w:ascii="Times New Roman" w:hAnsi="Times New Roman"/>
          <w:b/>
          <w:sz w:val="28"/>
        </w:rPr>
        <w:lastRenderedPageBreak/>
        <w:t xml:space="preserve">2.3 Методы </w:t>
      </w:r>
      <w:r>
        <w:rPr>
          <w:rFonts w:ascii="Times New Roman" w:hAnsi="Times New Roman"/>
          <w:b/>
          <w:sz w:val="28"/>
          <w:szCs w:val="28"/>
        </w:rPr>
        <w:t>исследования</w:t>
      </w:r>
      <w:bookmarkEnd w:id="15"/>
    </w:p>
    <w:p w:rsidR="00A75A8D" w:rsidRDefault="008A6A51">
      <w:pPr>
        <w:pStyle w:val="af4"/>
        <w:ind w:firstLine="567"/>
        <w:jc w:val="both"/>
        <w:rPr>
          <w:rFonts w:ascii="Times New Roman" w:hAnsi="Times New Roman"/>
          <w:sz w:val="28"/>
          <w:szCs w:val="28"/>
        </w:rPr>
      </w:pPr>
      <w:bookmarkStart w:id="16" w:name="_Toc186925735"/>
      <w:r>
        <w:rPr>
          <w:rFonts w:ascii="Times New Roman" w:hAnsi="Times New Roman"/>
          <w:sz w:val="28"/>
          <w:szCs w:val="28"/>
        </w:rPr>
        <w:t>Всем 3671 участникам была проведена НДКТ органов грудной клетки с применением протокола сниженной дозы. Так как исследование было мультицентровым, сканирован</w:t>
      </w:r>
      <w:r>
        <w:rPr>
          <w:rFonts w:ascii="Times New Roman" w:hAnsi="Times New Roman"/>
          <w:sz w:val="28"/>
          <w:szCs w:val="28"/>
        </w:rPr>
        <w:t>ие проводилось на различных КТ-сканерах (Revolution EVO GE Healthcare, США; Optima GE Healthcare, США; Aquilion Prime Toshiba, Япония) с разным количеством детекторов (16-128) и толщиной среза не более 1,25 мм. Все сканеры имели протокол сканирования с низ</w:t>
      </w:r>
      <w:r>
        <w:rPr>
          <w:rFonts w:ascii="Times New Roman" w:hAnsi="Times New Roman"/>
          <w:sz w:val="28"/>
          <w:szCs w:val="28"/>
        </w:rPr>
        <w:t>кой дозой, при этом настройки сканера составляли: напряжение генерирования 120 кВ, экспозиция 10-40 мАс (рисунок 1).</w:t>
      </w:r>
      <w:bookmarkEnd w:id="16"/>
      <w:r>
        <w:rPr>
          <w:rFonts w:ascii="Times New Roman" w:hAnsi="Times New Roman"/>
          <w:sz w:val="28"/>
          <w:szCs w:val="28"/>
        </w:rPr>
        <w:t xml:space="preserve"> </w:t>
      </w:r>
    </w:p>
    <w:p w:rsidR="00A75A8D" w:rsidRDefault="008A6A51">
      <w:pPr>
        <w:contextualSpacing/>
        <w:jc w:val="both"/>
        <w:rPr>
          <w:rFonts w:ascii="Times New Roman" w:hAnsi="Times New Roman" w:cs="Times New Roman"/>
          <w:sz w:val="28"/>
          <w:szCs w:val="28"/>
        </w:rPr>
      </w:pPr>
      <w:r>
        <w:rPr>
          <w:noProof/>
          <w:lang w:eastAsia="ru-RU"/>
        </w:rPr>
        <w:drawing>
          <wp:inline distT="0" distB="0" distL="114300" distR="114300">
            <wp:extent cx="6070600" cy="4083685"/>
            <wp:effectExtent l="0" t="0" r="6350" b="0"/>
            <wp:docPr id="23"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 1"/>
                    <pic:cNvPicPr>
                      <a:picLocks noChangeAspect="1"/>
                    </pic:cNvPicPr>
                  </pic:nvPicPr>
                  <pic:blipFill>
                    <a:blip r:embed="rId8"/>
                    <a:stretch>
                      <a:fillRect/>
                    </a:stretch>
                  </pic:blipFill>
                  <pic:spPr>
                    <a:xfrm>
                      <a:off x="0" y="0"/>
                      <a:ext cx="6076614" cy="4087589"/>
                    </a:xfrm>
                    <a:prstGeom prst="rect">
                      <a:avLst/>
                    </a:prstGeom>
                    <a:noFill/>
                    <a:ln>
                      <a:noFill/>
                    </a:ln>
                  </pic:spPr>
                </pic:pic>
              </a:graphicData>
            </a:graphic>
          </wp:inline>
        </w:drawing>
      </w:r>
    </w:p>
    <w:p w:rsidR="00A75A8D" w:rsidRDefault="008A6A51">
      <w:pPr>
        <w:spacing w:after="0" w:line="240" w:lineRule="auto"/>
        <w:jc w:val="center"/>
        <w:rPr>
          <w:rFonts w:ascii="Times New Roman" w:hAnsi="Times New Roman" w:cs="Times New Roman"/>
          <w:b/>
          <w:bCs/>
          <w:sz w:val="28"/>
          <w:szCs w:val="28"/>
        </w:rPr>
      </w:pPr>
      <w:r>
        <w:rPr>
          <w:rFonts w:ascii="Times New Roman" w:hAnsi="Times New Roman" w:cs="Times New Roman"/>
          <w:sz w:val="28"/>
          <w:szCs w:val="28"/>
        </w:rPr>
        <w:t>Рисунок 1 - Параметры сканирования при проведении низкодозной компьютерной томографии легких</w:t>
      </w:r>
    </w:p>
    <w:p w:rsidR="00A75A8D" w:rsidRDefault="00A75A8D">
      <w:pPr>
        <w:spacing w:after="0" w:line="240" w:lineRule="auto"/>
        <w:ind w:firstLine="567"/>
        <w:jc w:val="both"/>
        <w:rPr>
          <w:rFonts w:ascii="Times New Roman" w:hAnsi="Times New Roman" w:cs="Times New Roman"/>
          <w:b/>
          <w:bCs/>
          <w:sz w:val="28"/>
          <w:szCs w:val="28"/>
        </w:rPr>
      </w:pP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Эффективная доза облучения на одного </w:t>
      </w:r>
      <w:r>
        <w:rPr>
          <w:rFonts w:ascii="Times New Roman" w:hAnsi="Times New Roman" w:cs="Times New Roman"/>
          <w:sz w:val="28"/>
          <w:szCs w:val="28"/>
        </w:rPr>
        <w:t>участника не превышала 1 мЗв (согласно приказу и.о. Министра национальной экономики Республики Казахстан от 27 марта 2015 года № 260 об утверждении Санитарных правил "Санитарно-эпидемиологические требования к радиационно-опасным объектам). Средняя эффектив</w:t>
      </w:r>
      <w:r>
        <w:rPr>
          <w:rFonts w:ascii="Times New Roman" w:hAnsi="Times New Roman" w:cs="Times New Roman"/>
          <w:sz w:val="28"/>
          <w:szCs w:val="28"/>
        </w:rPr>
        <w:t>ная доза облучения составила 0,69 ± 0,21 мЗв. Предварительной подготовки от участников не требовалось. НДКТ проводилась в положении пациента лежа на спине с заведенными за голову руками, при задержке дыхания в фазе спокойного вдоха от верхушки до основания</w:t>
      </w:r>
      <w:r>
        <w:rPr>
          <w:rFonts w:ascii="Times New Roman" w:hAnsi="Times New Roman" w:cs="Times New Roman"/>
          <w:sz w:val="28"/>
          <w:szCs w:val="28"/>
        </w:rPr>
        <w:t xml:space="preserve"> легких (рисунок 2). Контрастное вещество не вводилось.</w:t>
      </w:r>
    </w:p>
    <w:p w:rsidR="00A75A8D" w:rsidRDefault="008A6A51">
      <w:pPr>
        <w:contextualSpacing/>
        <w:jc w:val="both"/>
        <w:rPr>
          <w:rFonts w:ascii="Times New Roman" w:hAnsi="Times New Roman" w:cs="Times New Roman"/>
          <w:sz w:val="28"/>
          <w:szCs w:val="28"/>
        </w:rPr>
      </w:pPr>
      <w:r>
        <w:rPr>
          <w:noProof/>
          <w:lang w:eastAsia="ru-RU"/>
        </w:rPr>
        <w:lastRenderedPageBreak/>
        <w:drawing>
          <wp:inline distT="0" distB="0" distL="114300" distR="114300">
            <wp:extent cx="6034405" cy="4359275"/>
            <wp:effectExtent l="0" t="0" r="4445" b="3175"/>
            <wp:docPr id="4"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 1"/>
                    <pic:cNvPicPr>
                      <a:picLocks noChangeAspect="1"/>
                    </pic:cNvPicPr>
                  </pic:nvPicPr>
                  <pic:blipFill>
                    <a:blip r:embed="rId9"/>
                    <a:stretch>
                      <a:fillRect/>
                    </a:stretch>
                  </pic:blipFill>
                  <pic:spPr>
                    <a:xfrm>
                      <a:off x="0" y="0"/>
                      <a:ext cx="6050640" cy="4370621"/>
                    </a:xfrm>
                    <a:prstGeom prst="rect">
                      <a:avLst/>
                    </a:prstGeom>
                    <a:noFill/>
                    <a:ln>
                      <a:noFill/>
                    </a:ln>
                  </pic:spPr>
                </pic:pic>
              </a:graphicData>
            </a:graphic>
          </wp:inline>
        </w:drawing>
      </w:r>
    </w:p>
    <w:p w:rsidR="00A75A8D" w:rsidRDefault="008A6A51">
      <w:pPr>
        <w:spacing w:after="0" w:line="240" w:lineRule="auto"/>
        <w:jc w:val="center"/>
        <w:rPr>
          <w:rFonts w:ascii="Times New Roman" w:hAnsi="Times New Roman" w:cs="Times New Roman"/>
          <w:sz w:val="28"/>
          <w:szCs w:val="28"/>
        </w:rPr>
      </w:pPr>
      <w:r>
        <w:rPr>
          <w:rFonts w:ascii="Times New Roman" w:hAnsi="Times New Roman" w:cs="Times New Roman"/>
          <w:color w:val="000000"/>
          <w:sz w:val="28"/>
          <w:szCs w:val="28"/>
        </w:rPr>
        <w:t>Рисунок 2 - Пол</w:t>
      </w:r>
      <w:r>
        <w:rPr>
          <w:rFonts w:ascii="Times New Roman" w:hAnsi="Times New Roman" w:cs="Times New Roman"/>
          <w:sz w:val="28"/>
          <w:szCs w:val="28"/>
        </w:rPr>
        <w:t>ожение пациента при проведении низкодозной компьютерной томографии легких</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p>
    <w:p w:rsidR="00A75A8D" w:rsidRDefault="008A6A51">
      <w:pPr>
        <w:pStyle w:val="af4"/>
        <w:ind w:firstLine="567"/>
        <w:jc w:val="left"/>
        <w:rPr>
          <w:rFonts w:ascii="Times New Roman" w:hAnsi="Times New Roman"/>
          <w:b/>
          <w:sz w:val="28"/>
        </w:rPr>
      </w:pPr>
      <w:bookmarkStart w:id="17" w:name="_Toc186925736"/>
      <w:r>
        <w:rPr>
          <w:rFonts w:ascii="Times New Roman" w:hAnsi="Times New Roman"/>
          <w:b/>
          <w:sz w:val="28"/>
        </w:rPr>
        <w:t>2.4 Интерпретация результатов НДКТ</w:t>
      </w:r>
      <w:bookmarkEnd w:id="17"/>
    </w:p>
    <w:p w:rsidR="00A75A8D" w:rsidRDefault="008A6A51">
      <w:pPr>
        <w:pStyle w:val="af4"/>
        <w:ind w:firstLine="567"/>
        <w:jc w:val="both"/>
        <w:rPr>
          <w:color w:val="000000"/>
          <w:sz w:val="28"/>
          <w:szCs w:val="28"/>
        </w:rPr>
      </w:pPr>
      <w:bookmarkStart w:id="18" w:name="_Toc186925737"/>
      <w:r>
        <w:rPr>
          <w:rFonts w:ascii="Times New Roman" w:hAnsi="Times New Roman"/>
          <w:sz w:val="28"/>
        </w:rPr>
        <w:t>Интерпретация</w:t>
      </w:r>
      <w:r>
        <w:rPr>
          <w:rFonts w:ascii="Times New Roman" w:hAnsi="Times New Roman"/>
          <w:sz w:val="28"/>
          <w:szCs w:val="28"/>
        </w:rPr>
        <w:t xml:space="preserve"> изображений, полученных в результате проведения низкодозно</w:t>
      </w:r>
      <w:r>
        <w:rPr>
          <w:rFonts w:ascii="Times New Roman" w:hAnsi="Times New Roman"/>
          <w:sz w:val="28"/>
          <w:szCs w:val="28"/>
        </w:rPr>
        <w:t>й компьютерной томографии легких проводилась на рабочей станции врача лучевой диагностики с анализом сканов в легочном и медиастинальном режимах с применением 3</w:t>
      </w:r>
      <w:r>
        <w:rPr>
          <w:rFonts w:ascii="Times New Roman" w:hAnsi="Times New Roman"/>
          <w:sz w:val="28"/>
          <w:szCs w:val="28"/>
          <w:lang w:val="en-US"/>
        </w:rPr>
        <w:t>D</w:t>
      </w:r>
      <w:r>
        <w:rPr>
          <w:rFonts w:ascii="Times New Roman" w:hAnsi="Times New Roman"/>
          <w:sz w:val="28"/>
          <w:szCs w:val="28"/>
        </w:rPr>
        <w:t xml:space="preserve"> реконструкции (рисунок 3).</w:t>
      </w:r>
      <w:bookmarkEnd w:id="18"/>
      <w:r>
        <w:rPr>
          <w:color w:val="000000"/>
          <w:sz w:val="28"/>
          <w:szCs w:val="28"/>
        </w:rPr>
        <w:t xml:space="preserve"> </w:t>
      </w:r>
    </w:p>
    <w:p w:rsidR="00A75A8D" w:rsidRDefault="008A6A51">
      <w:pPr>
        <w:pStyle w:val="af3"/>
      </w:pPr>
      <w:r>
        <w:rPr>
          <w:noProof/>
          <w:lang w:eastAsia="ru-RU"/>
        </w:rPr>
        <w:lastRenderedPageBreak/>
        <w:drawing>
          <wp:inline distT="0" distB="0" distL="0" distR="0">
            <wp:extent cx="5709285" cy="3237865"/>
            <wp:effectExtent l="0" t="0" r="5715" b="635"/>
            <wp:docPr id="1" name="Рисунок 6" descr="C:\Users\GT\Desktop\Для диссе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6" descr="C:\Users\GT\Desktop\Для диссера.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5730956" cy="3250467"/>
                    </a:xfrm>
                    <a:prstGeom prst="rect">
                      <a:avLst/>
                    </a:prstGeom>
                    <a:noFill/>
                    <a:ln>
                      <a:noFill/>
                    </a:ln>
                  </pic:spPr>
                </pic:pic>
              </a:graphicData>
            </a:graphic>
          </wp:inline>
        </w:drawing>
      </w:r>
    </w:p>
    <w:p w:rsidR="00A75A8D" w:rsidRDefault="00A75A8D">
      <w:pPr>
        <w:pStyle w:val="af3"/>
      </w:pPr>
    </w:p>
    <w:p w:rsidR="00A75A8D" w:rsidRDefault="008A6A51">
      <w:pPr>
        <w:pStyle w:val="af3"/>
      </w:pPr>
      <w:r>
        <w:t>Рисунок 3 - НДКТ-изображение в легочном (А) и медиастинальном (</w:t>
      </w:r>
      <w:r>
        <w:t>Б) режимах, в трех стандартных проекциях (аксиальная, коронарная и сагиттальная)</w:t>
      </w:r>
    </w:p>
    <w:p w:rsidR="00A75A8D" w:rsidRDefault="00A75A8D">
      <w:pPr>
        <w:spacing w:after="0" w:line="240" w:lineRule="auto"/>
        <w:ind w:firstLine="567"/>
        <w:jc w:val="both"/>
        <w:rPr>
          <w:rFonts w:ascii="Times New Roman" w:hAnsi="Times New Roman" w:cs="Times New Roman"/>
          <w:sz w:val="28"/>
          <w:szCs w:val="28"/>
        </w:rPr>
      </w:pP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Анализ исследования основан на обнаружении узлов и образований в паренхиме легких. Согласно рекомендациям Общества Флейшнера (международное междисциплинарное медицинское обще</w:t>
      </w:r>
      <w:r>
        <w:rPr>
          <w:rFonts w:ascii="Times New Roman" w:hAnsi="Times New Roman" w:cs="Times New Roman"/>
          <w:sz w:val="28"/>
          <w:szCs w:val="28"/>
        </w:rPr>
        <w:t>ство торакальной радиологии, занимающееся диагностикой и лечением заболеваний органов грудной клетки), легочный узел представляет собой уплотнение легочной паренхимы, округлой или близкой к ней формы, с четкими или нечеткими контурами, размером до 3 см в д</w:t>
      </w:r>
      <w:r>
        <w:rPr>
          <w:rFonts w:ascii="Times New Roman" w:hAnsi="Times New Roman" w:cs="Times New Roman"/>
          <w:sz w:val="28"/>
          <w:szCs w:val="28"/>
        </w:rPr>
        <w:t xml:space="preserve">иаметре. Узлы размером более 3 см принято называть образованиями. </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Согласно классификации Общества Флейшнера, все узлы в легочной паренхиме, детектируемые на КТ сканах, разделены на три вида в зависимости от их структуры: солидные, частично солидные и по т</w:t>
      </w:r>
      <w:r>
        <w:rPr>
          <w:rFonts w:ascii="Times New Roman" w:hAnsi="Times New Roman" w:cs="Times New Roman"/>
          <w:sz w:val="28"/>
          <w:szCs w:val="28"/>
        </w:rPr>
        <w:t>ипу «матового стекла» (рисунок 4). Солидные узлы представляют собой плотные образования с однородной структурой и тканевой пл</w:t>
      </w:r>
      <w:r>
        <w:rPr>
          <w:rFonts w:ascii="Times New Roman" w:hAnsi="Times New Roman"/>
          <w:sz w:val="28"/>
          <w:szCs w:val="28"/>
        </w:rPr>
        <w:t>отностью.</w:t>
      </w:r>
      <w:r>
        <w:rPr>
          <w:rFonts w:ascii="Times New Roman" w:hAnsi="Times New Roman" w:cs="Times New Roman"/>
          <w:sz w:val="28"/>
          <w:szCs w:val="28"/>
        </w:rPr>
        <w:t xml:space="preserve"> </w:t>
      </w:r>
      <w:r>
        <w:rPr>
          <w:rFonts w:ascii="Times New Roman" w:hAnsi="Times New Roman"/>
          <w:sz w:val="28"/>
          <w:szCs w:val="28"/>
        </w:rPr>
        <w:t>Узлы по типу «матового стекла» характеризуются низкой плотностью, на их фоне визуализируются стенки бронхов и контуры сос</w:t>
      </w:r>
      <w:r>
        <w:rPr>
          <w:rFonts w:ascii="Times New Roman" w:hAnsi="Times New Roman"/>
          <w:sz w:val="28"/>
          <w:szCs w:val="28"/>
        </w:rPr>
        <w:t>удов. В основе морфологических изменений данного вида узлов лежит утолщение межальвеолярных перегородок на ограниченном участке при сохранении воздушности альвеол, вследствие воспалительной инфильтрации, фиброзных изменений или частичного заполнения альвео</w:t>
      </w:r>
      <w:r>
        <w:rPr>
          <w:rFonts w:ascii="Times New Roman" w:hAnsi="Times New Roman"/>
          <w:sz w:val="28"/>
          <w:szCs w:val="28"/>
        </w:rPr>
        <w:t xml:space="preserve">л экссудатом. Частично солидные узлы характеризуются сочетанием плотного (солидного) компонента в центре и зоны более низкой плотности по типу «матового стекла» по периферии. </w:t>
      </w:r>
    </w:p>
    <w:p w:rsidR="00A75A8D" w:rsidRDefault="008A6A51">
      <w:pPr>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6018530" cy="1831975"/>
            <wp:effectExtent l="0" t="0" r="1270" b="15875"/>
            <wp:docPr id="3" name="Рисунок 3" descr="C:\Users\GT\Desktop\Диссер\Типы узло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C:\Users\GT\Desktop\Диссер\Типы узлов.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6034659" cy="1836763"/>
                    </a:xfrm>
                    <a:prstGeom prst="rect">
                      <a:avLst/>
                    </a:prstGeom>
                    <a:noFill/>
                    <a:ln>
                      <a:noFill/>
                    </a:ln>
                  </pic:spPr>
                </pic:pic>
              </a:graphicData>
            </a:graphic>
          </wp:inline>
        </w:drawing>
      </w:r>
    </w:p>
    <w:p w:rsidR="00A75A8D" w:rsidRDefault="008A6A5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4 - Классификация легочных узлов. А – солидный тип;                   </w:t>
      </w:r>
      <w:r>
        <w:rPr>
          <w:rFonts w:ascii="Times New Roman" w:hAnsi="Times New Roman" w:cs="Times New Roman"/>
          <w:sz w:val="28"/>
          <w:szCs w:val="28"/>
        </w:rPr>
        <w:t xml:space="preserve">                 Б – суб-солидный; В – по типу «матового стекла»</w:t>
      </w:r>
    </w:p>
    <w:p w:rsidR="00A75A8D" w:rsidRDefault="00A75A8D">
      <w:pPr>
        <w:spacing w:after="0" w:line="240" w:lineRule="auto"/>
        <w:ind w:firstLine="567"/>
        <w:jc w:val="both"/>
        <w:rPr>
          <w:rFonts w:ascii="Times New Roman" w:hAnsi="Times New Roman" w:cs="Times New Roman"/>
          <w:sz w:val="28"/>
          <w:szCs w:val="28"/>
        </w:rPr>
      </w:pP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При интерпретации НДКТ изображений в случае выявления легочных узлов оценивались их локализация (по долям), структурный тип (солидный, суб-солидный, по типу «матового стекла»), форма (округлая, овальная, неправильная), контуры (четкие/нечеткие, ровные, буг</w:t>
      </w:r>
      <w:r>
        <w:rPr>
          <w:rFonts w:ascii="Times New Roman" w:hAnsi="Times New Roman" w:cs="Times New Roman"/>
          <w:sz w:val="28"/>
          <w:szCs w:val="28"/>
        </w:rPr>
        <w:t xml:space="preserve">ристые, спикулообразные), плотность в соответствии со шкалой Хаунсфилда (тканевая, жидкостная, жировая), размеры. Дополнительно оценивалось состояние легочной паренхимы (наличие/отсутствие эмфиземы и перифокальной инфильтрации), реакция прилежащей плевры. </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Важное значение имеет правильная техника измерения размеров легочных узлов. Размеры оценивались в аксиальной, сагиттальной и корональной плоскостях, а для анализа выбирались наибольшие размеры (рисунок 5).</w:t>
      </w:r>
    </w:p>
    <w:p w:rsidR="00A75A8D" w:rsidRDefault="00A75A8D">
      <w:pPr>
        <w:spacing w:after="0" w:line="240" w:lineRule="auto"/>
        <w:ind w:firstLine="567"/>
        <w:jc w:val="both"/>
        <w:rPr>
          <w:rFonts w:ascii="Times New Roman" w:hAnsi="Times New Roman" w:cs="Times New Roman"/>
          <w:sz w:val="28"/>
          <w:szCs w:val="28"/>
        </w:rPr>
      </w:pPr>
    </w:p>
    <w:p w:rsidR="00A75A8D" w:rsidRDefault="008A6A51">
      <w:pPr>
        <w:ind w:right="-1"/>
        <w:jc w:val="center"/>
        <w:rPr>
          <w:rFonts w:ascii="Times New Roman" w:hAnsi="Times New Roman"/>
          <w:sz w:val="28"/>
          <w:szCs w:val="28"/>
        </w:rPr>
      </w:pPr>
      <w:r>
        <w:rPr>
          <w:rFonts w:ascii="Times New Roman" w:hAnsi="Times New Roman"/>
          <w:bCs/>
          <w:noProof/>
          <w:sz w:val="28"/>
          <w:szCs w:val="28"/>
          <w:lang w:eastAsia="ru-RU"/>
        </w:rPr>
        <w:drawing>
          <wp:inline distT="0" distB="0" distL="114300" distR="114300">
            <wp:extent cx="5082540" cy="3089910"/>
            <wp:effectExtent l="0" t="0" r="3810" b="15240"/>
            <wp:docPr id="2" name="Изображение 2"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 2" descr="Безымянный"/>
                    <pic:cNvPicPr>
                      <a:picLocks noChangeAspect="1"/>
                    </pic:cNvPicPr>
                  </pic:nvPicPr>
                  <pic:blipFill>
                    <a:blip r:embed="rId12"/>
                    <a:stretch>
                      <a:fillRect/>
                    </a:stretch>
                  </pic:blipFill>
                  <pic:spPr>
                    <a:xfrm>
                      <a:off x="0" y="0"/>
                      <a:ext cx="5082540" cy="3089910"/>
                    </a:xfrm>
                    <a:prstGeom prst="rect">
                      <a:avLst/>
                    </a:prstGeom>
                  </pic:spPr>
                </pic:pic>
              </a:graphicData>
            </a:graphic>
          </wp:inline>
        </w:drawing>
      </w:r>
    </w:p>
    <w:p w:rsidR="00A75A8D" w:rsidRDefault="008A6A51">
      <w:pPr>
        <w:spacing w:after="0" w:line="240" w:lineRule="auto"/>
        <w:jc w:val="center"/>
        <w:rPr>
          <w:rFonts w:ascii="Times New Roman" w:hAnsi="Times New Roman" w:cs="Times New Roman"/>
          <w:sz w:val="28"/>
          <w:szCs w:val="28"/>
        </w:rPr>
      </w:pPr>
      <w:r>
        <w:rPr>
          <w:rFonts w:ascii="Times New Roman" w:hAnsi="Times New Roman"/>
          <w:sz w:val="28"/>
          <w:szCs w:val="28"/>
        </w:rPr>
        <w:t xml:space="preserve">Рисунок 5 - </w:t>
      </w:r>
      <w:r>
        <w:rPr>
          <w:rFonts w:ascii="Times New Roman" w:hAnsi="Times New Roman"/>
          <w:bCs/>
          <w:sz w:val="28"/>
          <w:szCs w:val="28"/>
        </w:rPr>
        <w:t>Тех</w:t>
      </w:r>
      <w:r>
        <w:rPr>
          <w:rFonts w:ascii="Times New Roman" w:hAnsi="Times New Roman" w:cs="Times New Roman"/>
          <w:sz w:val="28"/>
          <w:szCs w:val="28"/>
        </w:rPr>
        <w:t xml:space="preserve">ника измерения размеров </w:t>
      </w:r>
      <w:r>
        <w:rPr>
          <w:rFonts w:ascii="Times New Roman" w:hAnsi="Times New Roman" w:cs="Times New Roman"/>
          <w:sz w:val="28"/>
          <w:szCs w:val="28"/>
        </w:rPr>
        <w:t>легочных узлов</w:t>
      </w:r>
    </w:p>
    <w:p w:rsidR="00A75A8D" w:rsidRDefault="00A75A8D">
      <w:pPr>
        <w:spacing w:after="0" w:line="240" w:lineRule="auto"/>
        <w:ind w:firstLine="567"/>
        <w:jc w:val="both"/>
        <w:rPr>
          <w:rFonts w:ascii="Times New Roman" w:hAnsi="Times New Roman" w:cs="Times New Roman"/>
          <w:sz w:val="28"/>
          <w:szCs w:val="28"/>
        </w:rPr>
      </w:pP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Как показано на рисунке 3 размеры округлялись до целых миллиметров в большую сторону. В случае частично-солидных узлов измерение проводилось отдельно солидной части и части по типу «матового стекла».</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Все полученные НДКТ-изображения были отп</w:t>
      </w:r>
      <w:r>
        <w:rPr>
          <w:rFonts w:ascii="Times New Roman" w:hAnsi="Times New Roman" w:cs="Times New Roman"/>
          <w:sz w:val="28"/>
          <w:szCs w:val="28"/>
        </w:rPr>
        <w:t xml:space="preserve">равлены в Казахский научно-исследовательский институт онкологии и радиологии с использованием PACS системы. Узлы в легких классифицировали по категориям Lung-RADS 1.0 </w:t>
      </w:r>
      <w:r>
        <w:rPr>
          <w:rFonts w:ascii="Times New Roman" w:hAnsi="Times New Roman" w:cs="Times New Roman"/>
          <w:sz w:val="28"/>
          <w:szCs w:val="28"/>
          <w:lang w:eastAsia="zh-CN"/>
        </w:rPr>
        <w:t>в соответствии рекомендациям ACR</w:t>
      </w:r>
      <w:r>
        <w:rPr>
          <w:rFonts w:ascii="Times New Roman" w:hAnsi="Times New Roman" w:cs="Times New Roman"/>
          <w:sz w:val="28"/>
          <w:szCs w:val="28"/>
        </w:rPr>
        <w:t xml:space="preserve"> (таблица 2). Lung-RADS – это система описания, обработки</w:t>
      </w:r>
      <w:r>
        <w:rPr>
          <w:rFonts w:ascii="Times New Roman" w:hAnsi="Times New Roman" w:cs="Times New Roman"/>
          <w:sz w:val="28"/>
          <w:szCs w:val="28"/>
        </w:rPr>
        <w:t xml:space="preserve"> и стандартизации данных при НДКТ органов грудной клетки, используемая с целью скрининга рака легкого. </w:t>
      </w:r>
    </w:p>
    <w:p w:rsidR="00A75A8D" w:rsidRDefault="00A75A8D">
      <w:pPr>
        <w:spacing w:after="0" w:line="240" w:lineRule="auto"/>
        <w:ind w:firstLine="567"/>
        <w:jc w:val="both"/>
        <w:rPr>
          <w:rFonts w:ascii="Times New Roman" w:hAnsi="Times New Roman" w:cs="Times New Roman"/>
          <w:sz w:val="28"/>
          <w:szCs w:val="28"/>
        </w:rPr>
      </w:pPr>
    </w:p>
    <w:p w:rsidR="00A75A8D" w:rsidRDefault="008A6A51">
      <w:pPr>
        <w:spacing w:after="0" w:line="240" w:lineRule="auto"/>
        <w:jc w:val="both"/>
        <w:rPr>
          <w:rFonts w:ascii="Times New Roman" w:hAnsi="Times New Roman" w:cs="Times New Roman"/>
          <w:color w:val="FF0000"/>
          <w:sz w:val="28"/>
          <w:szCs w:val="28"/>
        </w:rPr>
      </w:pPr>
      <w:r>
        <w:rPr>
          <w:rFonts w:ascii="Times New Roman" w:hAnsi="Times New Roman" w:cs="Times New Roman"/>
          <w:sz w:val="28"/>
          <w:szCs w:val="28"/>
        </w:rPr>
        <w:t xml:space="preserve">Таблица 2 - Классификация Lung-RADS </w:t>
      </w:r>
    </w:p>
    <w:p w:rsidR="00A75A8D" w:rsidRDefault="00A75A8D">
      <w:pPr>
        <w:spacing w:after="0" w:line="240" w:lineRule="auto"/>
        <w:ind w:firstLine="567"/>
        <w:jc w:val="both"/>
        <w:rPr>
          <w:rFonts w:ascii="Times New Roman" w:hAnsi="Times New Roman" w:cs="Times New Roman"/>
          <w:sz w:val="28"/>
          <w:szCs w:val="28"/>
        </w:rPr>
      </w:pPr>
    </w:p>
    <w:tbl>
      <w:tblPr>
        <w:tblW w:w="4843" w:type="pct"/>
        <w:tblInd w:w="5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2186"/>
        <w:gridCol w:w="3542"/>
        <w:gridCol w:w="1935"/>
        <w:gridCol w:w="1703"/>
      </w:tblGrid>
      <w:tr w:rsidR="00A75A8D">
        <w:tc>
          <w:tcPr>
            <w:tcW w:w="1167" w:type="pct"/>
            <w:vAlign w:val="center"/>
          </w:tcPr>
          <w:p w:rsidR="00A75A8D" w:rsidRDefault="008A6A51">
            <w:pPr>
              <w:pStyle w:val="af3"/>
              <w:ind w:hanging="34"/>
              <w:jc w:val="left"/>
              <w:rPr>
                <w:sz w:val="24"/>
                <w:szCs w:val="24"/>
              </w:rPr>
            </w:pPr>
            <w:r>
              <w:rPr>
                <w:sz w:val="24"/>
                <w:szCs w:val="24"/>
              </w:rPr>
              <w:t>Категория и ее</w:t>
            </w:r>
          </w:p>
          <w:p w:rsidR="00A75A8D" w:rsidRDefault="008A6A51">
            <w:pPr>
              <w:pStyle w:val="af3"/>
              <w:ind w:hanging="34"/>
              <w:jc w:val="left"/>
              <w:rPr>
                <w:sz w:val="24"/>
                <w:szCs w:val="24"/>
              </w:rPr>
            </w:pPr>
            <w:r>
              <w:rPr>
                <w:sz w:val="24"/>
                <w:szCs w:val="24"/>
              </w:rPr>
              <w:t>характеристика</w:t>
            </w:r>
          </w:p>
        </w:tc>
        <w:tc>
          <w:tcPr>
            <w:tcW w:w="1891" w:type="pct"/>
            <w:vAlign w:val="center"/>
          </w:tcPr>
          <w:p w:rsidR="00A75A8D" w:rsidRDefault="008A6A51">
            <w:pPr>
              <w:pStyle w:val="af3"/>
              <w:jc w:val="center"/>
              <w:rPr>
                <w:sz w:val="24"/>
                <w:szCs w:val="24"/>
              </w:rPr>
            </w:pPr>
            <w:r>
              <w:rPr>
                <w:sz w:val="24"/>
                <w:szCs w:val="24"/>
              </w:rPr>
              <w:t>Находки</w:t>
            </w:r>
          </w:p>
        </w:tc>
        <w:tc>
          <w:tcPr>
            <w:tcW w:w="1033" w:type="pct"/>
            <w:vAlign w:val="center"/>
          </w:tcPr>
          <w:p w:rsidR="00A75A8D" w:rsidRDefault="008A6A51">
            <w:pPr>
              <w:pStyle w:val="af3"/>
              <w:ind w:left="0" w:firstLine="0"/>
              <w:jc w:val="center"/>
              <w:rPr>
                <w:sz w:val="24"/>
                <w:szCs w:val="24"/>
              </w:rPr>
            </w:pPr>
            <w:r>
              <w:rPr>
                <w:sz w:val="24"/>
                <w:szCs w:val="24"/>
              </w:rPr>
              <w:t>Дальнейшие действия</w:t>
            </w:r>
          </w:p>
        </w:tc>
        <w:tc>
          <w:tcPr>
            <w:tcW w:w="909" w:type="pct"/>
          </w:tcPr>
          <w:p w:rsidR="00A75A8D" w:rsidRDefault="008A6A51">
            <w:pPr>
              <w:pStyle w:val="af3"/>
              <w:ind w:left="0" w:firstLine="0"/>
              <w:jc w:val="center"/>
              <w:rPr>
                <w:sz w:val="24"/>
                <w:szCs w:val="24"/>
              </w:rPr>
            </w:pPr>
            <w:r>
              <w:rPr>
                <w:sz w:val="24"/>
                <w:szCs w:val="24"/>
              </w:rPr>
              <w:t>Вероятность злокачествен ности /Распростра ненность в п</w:t>
            </w:r>
            <w:r>
              <w:rPr>
                <w:sz w:val="24"/>
                <w:szCs w:val="24"/>
              </w:rPr>
              <w:t>опуляции</w:t>
            </w:r>
          </w:p>
        </w:tc>
      </w:tr>
      <w:tr w:rsidR="00A75A8D">
        <w:tc>
          <w:tcPr>
            <w:tcW w:w="1167" w:type="pct"/>
          </w:tcPr>
          <w:p w:rsidR="00A75A8D" w:rsidRDefault="00A75A8D">
            <w:pPr>
              <w:pStyle w:val="af3"/>
              <w:jc w:val="left"/>
              <w:rPr>
                <w:sz w:val="24"/>
                <w:szCs w:val="24"/>
              </w:rPr>
            </w:pPr>
          </w:p>
          <w:p w:rsidR="00A75A8D" w:rsidRDefault="008A6A51">
            <w:pPr>
              <w:pStyle w:val="af3"/>
              <w:ind w:hanging="34"/>
              <w:jc w:val="left"/>
              <w:rPr>
                <w:sz w:val="24"/>
                <w:szCs w:val="24"/>
              </w:rPr>
            </w:pPr>
            <w:r>
              <w:rPr>
                <w:sz w:val="24"/>
                <w:szCs w:val="24"/>
              </w:rPr>
              <w:t>0 - Неполная</w:t>
            </w:r>
          </w:p>
        </w:tc>
        <w:tc>
          <w:tcPr>
            <w:tcW w:w="1891" w:type="pct"/>
          </w:tcPr>
          <w:p w:rsidR="00A75A8D" w:rsidRDefault="008A6A51">
            <w:pPr>
              <w:pStyle w:val="af3"/>
              <w:ind w:left="0" w:firstLine="0"/>
              <w:rPr>
                <w:sz w:val="24"/>
                <w:szCs w:val="24"/>
              </w:rPr>
            </w:pPr>
            <w:r>
              <w:rPr>
                <w:sz w:val="24"/>
                <w:szCs w:val="24"/>
              </w:rPr>
              <w:t>- данные предыдущей КТ для сравнения не предоставлены</w:t>
            </w:r>
          </w:p>
          <w:p w:rsidR="00A75A8D" w:rsidRDefault="008A6A51">
            <w:pPr>
              <w:pStyle w:val="af3"/>
              <w:ind w:left="0" w:firstLine="0"/>
              <w:rPr>
                <w:sz w:val="24"/>
                <w:szCs w:val="24"/>
              </w:rPr>
            </w:pPr>
            <w:r>
              <w:rPr>
                <w:sz w:val="24"/>
                <w:szCs w:val="24"/>
              </w:rPr>
              <w:t>-  часть легких или все легкие не могут быть оценены             (напр. не захвачены в зону сканирования)</w:t>
            </w:r>
            <w:r>
              <w:rPr>
                <w:color w:val="FFFFFF"/>
                <w:sz w:val="24"/>
                <w:szCs w:val="24"/>
              </w:rPr>
              <w:t xml:space="preserve"> </w:t>
            </w:r>
          </w:p>
        </w:tc>
        <w:tc>
          <w:tcPr>
            <w:tcW w:w="1033" w:type="pct"/>
          </w:tcPr>
          <w:p w:rsidR="00A75A8D" w:rsidRDefault="008A6A51">
            <w:pPr>
              <w:pStyle w:val="af3"/>
              <w:ind w:left="0" w:firstLine="0"/>
              <w:jc w:val="center"/>
              <w:rPr>
                <w:sz w:val="24"/>
                <w:szCs w:val="24"/>
              </w:rPr>
            </w:pPr>
            <w:r>
              <w:rPr>
                <w:sz w:val="24"/>
                <w:szCs w:val="24"/>
              </w:rPr>
              <w:t>Дополнительное сканирование и/или сравнение с предыдущей  КТ</w:t>
            </w:r>
          </w:p>
        </w:tc>
        <w:tc>
          <w:tcPr>
            <w:tcW w:w="909" w:type="pct"/>
          </w:tcPr>
          <w:p w:rsidR="00A75A8D" w:rsidRDefault="00A75A8D">
            <w:pPr>
              <w:pStyle w:val="af3"/>
              <w:rPr>
                <w:sz w:val="24"/>
                <w:szCs w:val="24"/>
              </w:rPr>
            </w:pPr>
          </w:p>
          <w:p w:rsidR="00A75A8D" w:rsidRDefault="00A75A8D">
            <w:pPr>
              <w:pStyle w:val="af3"/>
              <w:rPr>
                <w:sz w:val="24"/>
                <w:szCs w:val="24"/>
              </w:rPr>
            </w:pPr>
          </w:p>
          <w:p w:rsidR="00A75A8D" w:rsidRDefault="008A6A51">
            <w:pPr>
              <w:pStyle w:val="af3"/>
              <w:ind w:firstLine="186"/>
              <w:jc w:val="center"/>
              <w:rPr>
                <w:sz w:val="24"/>
                <w:szCs w:val="24"/>
              </w:rPr>
            </w:pPr>
            <w:r>
              <w:rPr>
                <w:sz w:val="24"/>
                <w:szCs w:val="24"/>
              </w:rPr>
              <w:t>-</w:t>
            </w:r>
            <w:r>
              <w:rPr>
                <w:b/>
                <w:bCs/>
                <w:sz w:val="24"/>
                <w:szCs w:val="24"/>
              </w:rPr>
              <w:t>/</w:t>
            </w:r>
            <w:r>
              <w:rPr>
                <w:sz w:val="24"/>
                <w:szCs w:val="24"/>
              </w:rPr>
              <w:t>1%</w:t>
            </w:r>
          </w:p>
        </w:tc>
      </w:tr>
      <w:tr w:rsidR="00A75A8D">
        <w:tc>
          <w:tcPr>
            <w:tcW w:w="1167" w:type="pct"/>
          </w:tcPr>
          <w:p w:rsidR="00A75A8D" w:rsidRDefault="008A6A51">
            <w:pPr>
              <w:pStyle w:val="af3"/>
              <w:ind w:left="0" w:firstLine="0"/>
              <w:jc w:val="left"/>
              <w:rPr>
                <w:sz w:val="24"/>
                <w:szCs w:val="24"/>
              </w:rPr>
            </w:pPr>
            <w:r>
              <w:rPr>
                <w:sz w:val="24"/>
                <w:szCs w:val="24"/>
              </w:rPr>
              <w:t xml:space="preserve">1 </w:t>
            </w:r>
            <w:r>
              <w:rPr>
                <w:sz w:val="24"/>
                <w:szCs w:val="24"/>
              </w:rPr>
              <w:t>- Негативная</w:t>
            </w:r>
          </w:p>
          <w:p w:rsidR="00A75A8D" w:rsidRDefault="008A6A51">
            <w:pPr>
              <w:pStyle w:val="af3"/>
              <w:ind w:left="0" w:firstLine="0"/>
              <w:jc w:val="left"/>
              <w:rPr>
                <w:sz w:val="24"/>
                <w:szCs w:val="24"/>
              </w:rPr>
            </w:pPr>
            <w:r>
              <w:rPr>
                <w:sz w:val="24"/>
                <w:szCs w:val="24"/>
              </w:rPr>
              <w:t>(отрицательная)</w:t>
            </w:r>
            <w:r>
              <w:rPr>
                <w:sz w:val="24"/>
                <w:szCs w:val="24"/>
              </w:rPr>
              <w:br/>
              <w:t>Нет узелков, или узелки достоверно доброкачественные</w:t>
            </w:r>
          </w:p>
        </w:tc>
        <w:tc>
          <w:tcPr>
            <w:tcW w:w="1891" w:type="pct"/>
          </w:tcPr>
          <w:p w:rsidR="00A75A8D" w:rsidRDefault="008A6A51">
            <w:pPr>
              <w:pStyle w:val="af3"/>
              <w:ind w:left="0" w:firstLine="0"/>
              <w:rPr>
                <w:sz w:val="24"/>
                <w:szCs w:val="24"/>
              </w:rPr>
            </w:pPr>
            <w:r>
              <w:rPr>
                <w:sz w:val="24"/>
                <w:szCs w:val="24"/>
              </w:rPr>
              <w:t>- нет узлов в легких</w:t>
            </w:r>
          </w:p>
          <w:p w:rsidR="00A75A8D" w:rsidRDefault="008A6A51">
            <w:pPr>
              <w:pStyle w:val="af3"/>
              <w:ind w:left="0" w:firstLine="0"/>
              <w:rPr>
                <w:sz w:val="24"/>
                <w:szCs w:val="24"/>
              </w:rPr>
            </w:pPr>
            <w:r>
              <w:rPr>
                <w:sz w:val="24"/>
                <w:szCs w:val="24"/>
              </w:rPr>
              <w:t xml:space="preserve">- узелки со специфическими обызвествлениями </w:t>
            </w:r>
          </w:p>
        </w:tc>
        <w:tc>
          <w:tcPr>
            <w:tcW w:w="1033" w:type="pct"/>
            <w:vMerge w:val="restart"/>
            <w:vAlign w:val="center"/>
          </w:tcPr>
          <w:p w:rsidR="00A75A8D" w:rsidRDefault="008A6A51">
            <w:pPr>
              <w:pStyle w:val="af3"/>
              <w:ind w:left="0" w:firstLine="0"/>
              <w:jc w:val="center"/>
              <w:rPr>
                <w:sz w:val="24"/>
                <w:szCs w:val="24"/>
              </w:rPr>
            </w:pPr>
            <w:r>
              <w:rPr>
                <w:sz w:val="24"/>
                <w:szCs w:val="24"/>
              </w:rPr>
              <w:t>Продолжить ежегодный скрининг с НДКТ через 12 месяцев</w:t>
            </w:r>
          </w:p>
        </w:tc>
        <w:tc>
          <w:tcPr>
            <w:tcW w:w="909" w:type="pct"/>
            <w:vMerge w:val="restart"/>
          </w:tcPr>
          <w:p w:rsidR="00A75A8D" w:rsidRDefault="00A75A8D">
            <w:pPr>
              <w:pStyle w:val="af3"/>
              <w:rPr>
                <w:sz w:val="24"/>
                <w:szCs w:val="24"/>
              </w:rPr>
            </w:pPr>
          </w:p>
          <w:p w:rsidR="00A75A8D" w:rsidRDefault="00A75A8D">
            <w:pPr>
              <w:pStyle w:val="af3"/>
              <w:rPr>
                <w:sz w:val="24"/>
                <w:szCs w:val="24"/>
              </w:rPr>
            </w:pPr>
          </w:p>
          <w:p w:rsidR="00A75A8D" w:rsidRDefault="008A6A51">
            <w:pPr>
              <w:pStyle w:val="af3"/>
              <w:ind w:hanging="34"/>
              <w:jc w:val="center"/>
              <w:rPr>
                <w:sz w:val="24"/>
                <w:szCs w:val="24"/>
              </w:rPr>
            </w:pPr>
            <w:r>
              <w:rPr>
                <w:sz w:val="24"/>
                <w:szCs w:val="24"/>
              </w:rPr>
              <w:t>&lt;1%</w:t>
            </w:r>
            <w:r>
              <w:rPr>
                <w:b/>
                <w:bCs/>
                <w:sz w:val="24"/>
                <w:szCs w:val="24"/>
              </w:rPr>
              <w:t>/</w:t>
            </w:r>
            <w:r>
              <w:rPr>
                <w:sz w:val="24"/>
                <w:szCs w:val="24"/>
              </w:rPr>
              <w:t>90%</w:t>
            </w:r>
          </w:p>
        </w:tc>
      </w:tr>
      <w:tr w:rsidR="00A75A8D">
        <w:tc>
          <w:tcPr>
            <w:tcW w:w="1167" w:type="pct"/>
          </w:tcPr>
          <w:p w:rsidR="00A75A8D" w:rsidRDefault="008A6A51">
            <w:pPr>
              <w:pStyle w:val="af3"/>
              <w:ind w:left="0" w:firstLine="0"/>
              <w:jc w:val="left"/>
              <w:rPr>
                <w:sz w:val="24"/>
                <w:szCs w:val="24"/>
              </w:rPr>
            </w:pPr>
            <w:r>
              <w:rPr>
                <w:sz w:val="24"/>
                <w:szCs w:val="24"/>
              </w:rPr>
              <w:t xml:space="preserve">2 - </w:t>
            </w:r>
          </w:p>
          <w:p w:rsidR="00A75A8D" w:rsidRDefault="008A6A51">
            <w:pPr>
              <w:pStyle w:val="af3"/>
              <w:ind w:left="0" w:firstLine="0"/>
              <w:jc w:val="left"/>
              <w:rPr>
                <w:sz w:val="24"/>
                <w:szCs w:val="24"/>
              </w:rPr>
            </w:pPr>
            <w:r>
              <w:rPr>
                <w:sz w:val="24"/>
                <w:szCs w:val="24"/>
              </w:rPr>
              <w:t>Доброкачественные изменения</w:t>
            </w:r>
          </w:p>
        </w:tc>
        <w:tc>
          <w:tcPr>
            <w:tcW w:w="1891" w:type="pct"/>
          </w:tcPr>
          <w:p w:rsidR="00A75A8D" w:rsidRDefault="008A6A51">
            <w:pPr>
              <w:pStyle w:val="af3"/>
              <w:ind w:left="0" w:firstLine="0"/>
              <w:rPr>
                <w:sz w:val="24"/>
                <w:szCs w:val="24"/>
              </w:rPr>
            </w:pPr>
            <w:r>
              <w:rPr>
                <w:sz w:val="24"/>
                <w:szCs w:val="24"/>
              </w:rPr>
              <w:t xml:space="preserve">узелки с </w:t>
            </w:r>
            <w:r>
              <w:rPr>
                <w:sz w:val="24"/>
                <w:szCs w:val="24"/>
              </w:rPr>
              <w:t>крайне низким риском малигнизации, исходя из их размеров или характера роста:</w:t>
            </w:r>
          </w:p>
          <w:p w:rsidR="00A75A8D" w:rsidRDefault="008A6A51">
            <w:pPr>
              <w:pStyle w:val="af3"/>
              <w:ind w:left="0" w:firstLine="0"/>
              <w:rPr>
                <w:sz w:val="24"/>
                <w:szCs w:val="24"/>
              </w:rPr>
            </w:pPr>
            <w:r>
              <w:rPr>
                <w:sz w:val="24"/>
                <w:szCs w:val="24"/>
              </w:rPr>
              <w:t>- перифиссуральны</w:t>
            </w:r>
            <w:r>
              <w:rPr>
                <w:sz w:val="24"/>
                <w:szCs w:val="24"/>
                <w:lang w:val="kk-KZ"/>
              </w:rPr>
              <w:t>й</w:t>
            </w:r>
            <w:r>
              <w:rPr>
                <w:sz w:val="24"/>
                <w:szCs w:val="24"/>
              </w:rPr>
              <w:t xml:space="preserve"> узел: &lt;10 мм </w:t>
            </w:r>
          </w:p>
          <w:p w:rsidR="00A75A8D" w:rsidRDefault="008A6A51">
            <w:pPr>
              <w:pStyle w:val="a"/>
              <w:numPr>
                <w:ilvl w:val="0"/>
                <w:numId w:val="0"/>
              </w:numPr>
              <w:rPr>
                <w:rFonts w:ascii="Times New Roman" w:hAnsi="Times New Roman" w:cs="Times New Roman"/>
                <w:sz w:val="24"/>
                <w:szCs w:val="24"/>
              </w:rPr>
            </w:pPr>
            <w:r>
              <w:rPr>
                <w:rFonts w:ascii="Times New Roman" w:hAnsi="Times New Roman" w:cs="Times New Roman"/>
                <w:sz w:val="24"/>
                <w:szCs w:val="24"/>
              </w:rPr>
              <w:t xml:space="preserve">- солидный узел: &lt;6 мм </w:t>
            </w:r>
            <w:r>
              <w:rPr>
                <w:rFonts w:ascii="Times New Roman" w:hAnsi="Times New Roman" w:cs="Times New Roman"/>
                <w:sz w:val="24"/>
                <w:szCs w:val="24"/>
              </w:rPr>
              <w:br/>
              <w:t>* появление новых узлов &lt;4 мм</w:t>
            </w:r>
          </w:p>
          <w:p w:rsidR="00A75A8D" w:rsidRDefault="008A6A51">
            <w:pPr>
              <w:pStyle w:val="a"/>
              <w:numPr>
                <w:ilvl w:val="0"/>
                <w:numId w:val="0"/>
              </w:numPr>
              <w:rPr>
                <w:rFonts w:ascii="Times New Roman" w:hAnsi="Times New Roman" w:cs="Times New Roman"/>
                <w:sz w:val="24"/>
                <w:szCs w:val="24"/>
              </w:rPr>
            </w:pPr>
            <w:r>
              <w:rPr>
                <w:rFonts w:ascii="Times New Roman" w:hAnsi="Times New Roman" w:cs="Times New Roman"/>
                <w:i/>
                <w:iCs/>
                <w:sz w:val="24"/>
                <w:szCs w:val="24"/>
                <w:u w:val="single"/>
              </w:rPr>
              <w:t>- частично солидный</w:t>
            </w:r>
            <w:r>
              <w:rPr>
                <w:rFonts w:ascii="Times New Roman" w:hAnsi="Times New Roman" w:cs="Times New Roman"/>
                <w:i/>
                <w:iCs/>
                <w:sz w:val="24"/>
                <w:szCs w:val="24"/>
              </w:rPr>
              <w:t xml:space="preserve"> </w:t>
            </w:r>
            <w:r>
              <w:rPr>
                <w:rFonts w:ascii="Times New Roman" w:hAnsi="Times New Roman" w:cs="Times New Roman"/>
                <w:i/>
                <w:iCs/>
                <w:sz w:val="24"/>
                <w:szCs w:val="24"/>
                <w:u w:val="single"/>
              </w:rPr>
              <w:t>узел</w:t>
            </w:r>
            <w:r>
              <w:rPr>
                <w:rFonts w:ascii="Times New Roman" w:hAnsi="Times New Roman" w:cs="Times New Roman"/>
                <w:i/>
                <w:iCs/>
                <w:sz w:val="24"/>
                <w:szCs w:val="24"/>
              </w:rPr>
              <w:t>:</w:t>
            </w:r>
            <w:r>
              <w:rPr>
                <w:rFonts w:ascii="Times New Roman" w:hAnsi="Times New Roman" w:cs="Times New Roman"/>
                <w:i/>
                <w:iCs/>
                <w:sz w:val="24"/>
                <w:szCs w:val="24"/>
              </w:rPr>
              <w:br/>
            </w:r>
            <w:r>
              <w:rPr>
                <w:rFonts w:ascii="Times New Roman" w:hAnsi="Times New Roman" w:cs="Times New Roman"/>
                <w:sz w:val="24"/>
                <w:szCs w:val="24"/>
              </w:rPr>
              <w:t>&lt; 6 мм в наибольшем измерении при первичном скрининге</w:t>
            </w:r>
          </w:p>
          <w:p w:rsidR="00A75A8D" w:rsidRDefault="008A6A51">
            <w:pPr>
              <w:pStyle w:val="a"/>
              <w:numPr>
                <w:ilvl w:val="0"/>
                <w:numId w:val="0"/>
              </w:numPr>
              <w:rPr>
                <w:rFonts w:ascii="Times New Roman" w:hAnsi="Times New Roman" w:cs="Times New Roman"/>
                <w:sz w:val="24"/>
                <w:szCs w:val="24"/>
              </w:rPr>
            </w:pPr>
            <w:r>
              <w:rPr>
                <w:rFonts w:ascii="Times New Roman" w:hAnsi="Times New Roman" w:cs="Times New Roman"/>
                <w:i/>
                <w:iCs/>
                <w:sz w:val="24"/>
                <w:szCs w:val="24"/>
                <w:u w:val="single"/>
              </w:rPr>
              <w:t>- не солидн</w:t>
            </w:r>
            <w:r>
              <w:rPr>
                <w:rFonts w:ascii="Times New Roman" w:hAnsi="Times New Roman" w:cs="Times New Roman"/>
                <w:i/>
                <w:iCs/>
                <w:sz w:val="24"/>
                <w:szCs w:val="24"/>
                <w:u w:val="single"/>
              </w:rPr>
              <w:t>ый узел (по типу матового стекла):</w:t>
            </w:r>
            <w:r>
              <w:rPr>
                <w:rFonts w:ascii="Times New Roman" w:hAnsi="Times New Roman" w:cs="Times New Roman"/>
                <w:sz w:val="24"/>
                <w:szCs w:val="24"/>
              </w:rPr>
              <w:br/>
              <w:t xml:space="preserve">* &lt; 30 мм </w:t>
            </w:r>
            <w:r>
              <w:rPr>
                <w:rFonts w:ascii="Times New Roman" w:hAnsi="Times New Roman" w:cs="Times New Roman"/>
                <w:sz w:val="24"/>
                <w:szCs w:val="24"/>
              </w:rPr>
              <w:br/>
              <w:t>* или ≥ 20 мм, но без роста или медленным ростом</w:t>
            </w:r>
          </w:p>
          <w:p w:rsidR="00A75A8D" w:rsidRDefault="008A6A51">
            <w:pPr>
              <w:pStyle w:val="a"/>
              <w:numPr>
                <w:ilvl w:val="0"/>
                <w:numId w:val="0"/>
              </w:numPr>
              <w:rPr>
                <w:rFonts w:ascii="Times New Roman" w:hAnsi="Times New Roman" w:cs="Times New Roman"/>
                <w:sz w:val="24"/>
                <w:szCs w:val="24"/>
              </w:rPr>
            </w:pPr>
            <w:r>
              <w:rPr>
                <w:rFonts w:ascii="Times New Roman" w:hAnsi="Times New Roman" w:cs="Times New Roman"/>
                <w:sz w:val="24"/>
                <w:szCs w:val="24"/>
              </w:rPr>
              <w:t xml:space="preserve">- 3 или 4 категория узелков без роста в течение  ≥ 3 месяцев </w:t>
            </w:r>
          </w:p>
        </w:tc>
        <w:tc>
          <w:tcPr>
            <w:tcW w:w="1033" w:type="pct"/>
            <w:vMerge/>
          </w:tcPr>
          <w:p w:rsidR="00A75A8D" w:rsidRDefault="00A75A8D">
            <w:pPr>
              <w:pStyle w:val="af3"/>
              <w:rPr>
                <w:sz w:val="24"/>
                <w:szCs w:val="24"/>
              </w:rPr>
            </w:pPr>
          </w:p>
        </w:tc>
        <w:tc>
          <w:tcPr>
            <w:tcW w:w="909" w:type="pct"/>
            <w:vMerge/>
          </w:tcPr>
          <w:p w:rsidR="00A75A8D" w:rsidRDefault="00A75A8D">
            <w:pPr>
              <w:pStyle w:val="af3"/>
              <w:rPr>
                <w:sz w:val="24"/>
                <w:szCs w:val="24"/>
              </w:rPr>
            </w:pPr>
          </w:p>
        </w:tc>
      </w:tr>
      <w:tr w:rsidR="00A75A8D">
        <w:tc>
          <w:tcPr>
            <w:tcW w:w="1167" w:type="pct"/>
          </w:tcPr>
          <w:p w:rsidR="00A75A8D" w:rsidRDefault="008A6A51">
            <w:pPr>
              <w:pStyle w:val="af3"/>
              <w:ind w:left="0" w:firstLine="0"/>
              <w:jc w:val="left"/>
              <w:rPr>
                <w:sz w:val="24"/>
                <w:szCs w:val="24"/>
              </w:rPr>
            </w:pPr>
            <w:r>
              <w:rPr>
                <w:sz w:val="24"/>
                <w:szCs w:val="24"/>
              </w:rPr>
              <w:t xml:space="preserve">3 - </w:t>
            </w:r>
          </w:p>
          <w:p w:rsidR="00A75A8D" w:rsidRDefault="008A6A51">
            <w:pPr>
              <w:pStyle w:val="af3"/>
              <w:ind w:left="0" w:firstLine="0"/>
              <w:jc w:val="left"/>
              <w:rPr>
                <w:sz w:val="24"/>
                <w:szCs w:val="24"/>
              </w:rPr>
            </w:pPr>
            <w:r>
              <w:rPr>
                <w:sz w:val="24"/>
                <w:szCs w:val="24"/>
              </w:rPr>
              <w:lastRenderedPageBreak/>
              <w:t>Вероятно доброкачественные очаги</w:t>
            </w:r>
          </w:p>
        </w:tc>
        <w:tc>
          <w:tcPr>
            <w:tcW w:w="1891" w:type="pct"/>
          </w:tcPr>
          <w:p w:rsidR="00A75A8D" w:rsidRDefault="008A6A51">
            <w:pPr>
              <w:pStyle w:val="a"/>
              <w:numPr>
                <w:ilvl w:val="0"/>
                <w:numId w:val="0"/>
              </w:numPr>
              <w:rPr>
                <w:rFonts w:ascii="Times New Roman" w:hAnsi="Times New Roman" w:cs="Times New Roman"/>
                <w:sz w:val="24"/>
                <w:szCs w:val="24"/>
              </w:rPr>
            </w:pPr>
            <w:r>
              <w:rPr>
                <w:rFonts w:ascii="Times New Roman" w:hAnsi="Times New Roman" w:cs="Times New Roman"/>
                <w:i/>
                <w:iCs/>
                <w:sz w:val="24"/>
                <w:szCs w:val="24"/>
                <w:u w:val="single"/>
              </w:rPr>
              <w:lastRenderedPageBreak/>
              <w:t>- солидный узел:</w:t>
            </w:r>
            <w:r>
              <w:rPr>
                <w:rFonts w:ascii="Times New Roman" w:hAnsi="Times New Roman" w:cs="Times New Roman"/>
                <w:i/>
                <w:iCs/>
                <w:sz w:val="24"/>
                <w:szCs w:val="24"/>
              </w:rPr>
              <w:br/>
            </w:r>
            <w:r>
              <w:rPr>
                <w:rFonts w:ascii="Times New Roman" w:hAnsi="Times New Roman" w:cs="Times New Roman"/>
                <w:sz w:val="24"/>
                <w:szCs w:val="24"/>
              </w:rPr>
              <w:t xml:space="preserve">* ≥6 мм, но &lt; 8 мм </w:t>
            </w:r>
            <w:r>
              <w:rPr>
                <w:rFonts w:ascii="Times New Roman" w:hAnsi="Times New Roman" w:cs="Times New Roman"/>
                <w:sz w:val="24"/>
                <w:szCs w:val="24"/>
              </w:rPr>
              <w:br/>
            </w:r>
            <w:r>
              <w:rPr>
                <w:rFonts w:ascii="Times New Roman" w:hAnsi="Times New Roman" w:cs="Times New Roman"/>
                <w:sz w:val="24"/>
                <w:szCs w:val="24"/>
              </w:rPr>
              <w:lastRenderedPageBreak/>
              <w:t xml:space="preserve">* появление новых </w:t>
            </w:r>
            <w:r>
              <w:rPr>
                <w:rFonts w:ascii="Times New Roman" w:hAnsi="Times New Roman" w:cs="Times New Roman"/>
                <w:sz w:val="24"/>
                <w:szCs w:val="24"/>
              </w:rPr>
              <w:t>узелков &gt; 4 мм, но &lt; 6 мм</w:t>
            </w:r>
          </w:p>
          <w:p w:rsidR="00A75A8D" w:rsidRDefault="008A6A51">
            <w:pPr>
              <w:pStyle w:val="a"/>
              <w:numPr>
                <w:ilvl w:val="0"/>
                <w:numId w:val="0"/>
              </w:numPr>
              <w:rPr>
                <w:rFonts w:ascii="Times New Roman" w:hAnsi="Times New Roman" w:cs="Times New Roman"/>
                <w:sz w:val="24"/>
                <w:szCs w:val="24"/>
              </w:rPr>
            </w:pPr>
            <w:r>
              <w:rPr>
                <w:rFonts w:ascii="Times New Roman" w:hAnsi="Times New Roman" w:cs="Times New Roman"/>
                <w:i/>
                <w:iCs/>
                <w:sz w:val="24"/>
                <w:szCs w:val="24"/>
                <w:u w:val="single"/>
              </w:rPr>
              <w:t>- частично солидный узел</w:t>
            </w:r>
            <w:r>
              <w:rPr>
                <w:rFonts w:ascii="Times New Roman" w:hAnsi="Times New Roman" w:cs="Times New Roman"/>
                <w:i/>
                <w:iCs/>
                <w:sz w:val="24"/>
                <w:szCs w:val="24"/>
              </w:rPr>
              <w:br/>
              <w:t xml:space="preserve">* </w:t>
            </w:r>
            <w:r>
              <w:rPr>
                <w:rFonts w:ascii="Times New Roman" w:hAnsi="Times New Roman" w:cs="Times New Roman"/>
                <w:sz w:val="24"/>
                <w:szCs w:val="24"/>
              </w:rPr>
              <w:t xml:space="preserve">общий диаметр узла ≥ 6 мм, с солидным компонентом &lt; 6 мм или </w:t>
            </w:r>
          </w:p>
          <w:p w:rsidR="00A75A8D" w:rsidRDefault="008A6A51">
            <w:pPr>
              <w:pStyle w:val="a"/>
              <w:numPr>
                <w:ilvl w:val="0"/>
                <w:numId w:val="0"/>
              </w:numPr>
              <w:rPr>
                <w:rFonts w:ascii="Times New Roman" w:hAnsi="Times New Roman" w:cs="Times New Roman"/>
                <w:sz w:val="24"/>
                <w:szCs w:val="24"/>
              </w:rPr>
            </w:pPr>
            <w:r>
              <w:rPr>
                <w:rFonts w:ascii="Times New Roman" w:hAnsi="Times New Roman" w:cs="Times New Roman"/>
                <w:sz w:val="24"/>
                <w:szCs w:val="24"/>
              </w:rPr>
              <w:t>* появление нового узла &lt; 6 мм в диаметре</w:t>
            </w:r>
          </w:p>
          <w:p w:rsidR="00A75A8D" w:rsidRDefault="008A6A51">
            <w:pPr>
              <w:pStyle w:val="a"/>
              <w:numPr>
                <w:ilvl w:val="0"/>
                <w:numId w:val="0"/>
              </w:numPr>
              <w:rPr>
                <w:rFonts w:ascii="Times New Roman" w:hAnsi="Times New Roman" w:cs="Times New Roman"/>
                <w:sz w:val="24"/>
                <w:szCs w:val="24"/>
              </w:rPr>
            </w:pPr>
            <w:r>
              <w:rPr>
                <w:rFonts w:ascii="Times New Roman" w:hAnsi="Times New Roman" w:cs="Times New Roman"/>
                <w:i/>
                <w:iCs/>
                <w:sz w:val="24"/>
                <w:szCs w:val="24"/>
              </w:rPr>
              <w:t>- не солидный узел</w:t>
            </w:r>
            <w:r>
              <w:rPr>
                <w:rFonts w:ascii="Times New Roman" w:hAnsi="Times New Roman" w:cs="Times New Roman"/>
                <w:sz w:val="24"/>
                <w:szCs w:val="24"/>
              </w:rPr>
              <w:t xml:space="preserve"> </w:t>
            </w:r>
            <w:r>
              <w:rPr>
                <w:rFonts w:ascii="Times New Roman" w:hAnsi="Times New Roman" w:cs="Times New Roman"/>
                <w:sz w:val="24"/>
                <w:szCs w:val="24"/>
              </w:rPr>
              <w:br/>
              <w:t xml:space="preserve">* ≥ 20 мм или </w:t>
            </w:r>
          </w:p>
          <w:p w:rsidR="00A75A8D" w:rsidRDefault="008A6A51">
            <w:pPr>
              <w:pStyle w:val="a"/>
              <w:numPr>
                <w:ilvl w:val="0"/>
                <w:numId w:val="0"/>
              </w:numPr>
              <w:rPr>
                <w:rFonts w:ascii="Times New Roman" w:hAnsi="Times New Roman" w:cs="Times New Roman"/>
                <w:sz w:val="24"/>
                <w:szCs w:val="24"/>
              </w:rPr>
            </w:pPr>
            <w:r>
              <w:rPr>
                <w:rFonts w:ascii="Times New Roman" w:hAnsi="Times New Roman" w:cs="Times New Roman"/>
                <w:sz w:val="24"/>
                <w:szCs w:val="24"/>
              </w:rPr>
              <w:t xml:space="preserve">* появление нового узла(ов) </w:t>
            </w:r>
          </w:p>
        </w:tc>
        <w:tc>
          <w:tcPr>
            <w:tcW w:w="1033" w:type="pct"/>
          </w:tcPr>
          <w:p w:rsidR="00A75A8D" w:rsidRDefault="008A6A51">
            <w:pPr>
              <w:pStyle w:val="af3"/>
              <w:ind w:firstLine="186"/>
              <w:jc w:val="center"/>
              <w:rPr>
                <w:sz w:val="24"/>
                <w:szCs w:val="24"/>
              </w:rPr>
            </w:pPr>
            <w:r>
              <w:rPr>
                <w:sz w:val="24"/>
                <w:szCs w:val="24"/>
              </w:rPr>
              <w:lastRenderedPageBreak/>
              <w:t>НДКТ-контроль через 6 месяцев</w:t>
            </w:r>
          </w:p>
        </w:tc>
        <w:tc>
          <w:tcPr>
            <w:tcW w:w="909" w:type="pct"/>
          </w:tcPr>
          <w:p w:rsidR="00A75A8D" w:rsidRDefault="008A6A51">
            <w:pPr>
              <w:pStyle w:val="af3"/>
              <w:ind w:hanging="34"/>
              <w:jc w:val="center"/>
              <w:rPr>
                <w:sz w:val="24"/>
                <w:szCs w:val="24"/>
              </w:rPr>
            </w:pPr>
            <w:r>
              <w:rPr>
                <w:sz w:val="24"/>
                <w:szCs w:val="24"/>
              </w:rPr>
              <w:t>1-2%</w:t>
            </w:r>
            <w:r>
              <w:rPr>
                <w:b/>
                <w:bCs/>
                <w:sz w:val="24"/>
                <w:szCs w:val="24"/>
              </w:rPr>
              <w:t>/</w:t>
            </w:r>
            <w:r>
              <w:rPr>
                <w:sz w:val="24"/>
                <w:szCs w:val="24"/>
              </w:rPr>
              <w:t>5%</w:t>
            </w:r>
          </w:p>
        </w:tc>
      </w:tr>
      <w:tr w:rsidR="00A75A8D">
        <w:tc>
          <w:tcPr>
            <w:tcW w:w="1167" w:type="pct"/>
          </w:tcPr>
          <w:p w:rsidR="00A75A8D" w:rsidRDefault="008A6A51">
            <w:pPr>
              <w:pStyle w:val="af3"/>
              <w:ind w:hanging="34"/>
              <w:jc w:val="left"/>
              <w:rPr>
                <w:sz w:val="24"/>
                <w:szCs w:val="24"/>
              </w:rPr>
            </w:pPr>
            <w:r>
              <w:rPr>
                <w:sz w:val="24"/>
                <w:szCs w:val="24"/>
              </w:rPr>
              <w:lastRenderedPageBreak/>
              <w:t xml:space="preserve">4А - </w:t>
            </w:r>
          </w:p>
          <w:p w:rsidR="00A75A8D" w:rsidRDefault="008A6A51">
            <w:pPr>
              <w:pStyle w:val="af3"/>
              <w:ind w:hanging="34"/>
              <w:jc w:val="left"/>
              <w:rPr>
                <w:sz w:val="24"/>
                <w:szCs w:val="24"/>
              </w:rPr>
            </w:pPr>
            <w:r>
              <w:rPr>
                <w:sz w:val="24"/>
                <w:szCs w:val="24"/>
              </w:rPr>
              <w:t>Подозрительные узлы - требуются дополнительные диагностические тесты или биопсия</w:t>
            </w:r>
            <w:r>
              <w:rPr>
                <w:sz w:val="24"/>
                <w:szCs w:val="24"/>
              </w:rPr>
              <w:br/>
            </w:r>
          </w:p>
        </w:tc>
        <w:tc>
          <w:tcPr>
            <w:tcW w:w="1891" w:type="pct"/>
          </w:tcPr>
          <w:p w:rsidR="00A75A8D" w:rsidRDefault="008A6A51">
            <w:pPr>
              <w:pStyle w:val="af3"/>
              <w:ind w:left="0" w:firstLine="0"/>
              <w:rPr>
                <w:sz w:val="24"/>
                <w:szCs w:val="24"/>
              </w:rPr>
            </w:pPr>
            <w:r>
              <w:rPr>
                <w:sz w:val="24"/>
                <w:szCs w:val="24"/>
                <w:u w:val="single"/>
              </w:rPr>
              <w:t xml:space="preserve">- </w:t>
            </w:r>
            <w:r>
              <w:rPr>
                <w:i/>
                <w:iCs/>
                <w:sz w:val="24"/>
                <w:szCs w:val="24"/>
                <w:u w:val="single"/>
              </w:rPr>
              <w:t>солидный узел:</w:t>
            </w:r>
            <w:r>
              <w:rPr>
                <w:sz w:val="24"/>
                <w:szCs w:val="24"/>
              </w:rPr>
              <w:br/>
              <w:t xml:space="preserve"> * ≥ 8 мм, но &lt; 15 мм или </w:t>
            </w:r>
            <w:r>
              <w:rPr>
                <w:sz w:val="24"/>
                <w:szCs w:val="24"/>
              </w:rPr>
              <w:br/>
              <w:t xml:space="preserve"> * рост &lt; чем на 8 мм или</w:t>
            </w:r>
            <w:r>
              <w:rPr>
                <w:sz w:val="24"/>
                <w:szCs w:val="24"/>
              </w:rPr>
              <w:br/>
              <w:t xml:space="preserve"> * появление новых узелков от 6 мм, но &lt; 8 мм</w:t>
            </w:r>
          </w:p>
          <w:p w:rsidR="00A75A8D" w:rsidRDefault="008A6A51">
            <w:pPr>
              <w:pStyle w:val="af3"/>
              <w:ind w:left="0" w:firstLine="0"/>
              <w:rPr>
                <w:sz w:val="24"/>
                <w:szCs w:val="24"/>
              </w:rPr>
            </w:pPr>
            <w:r>
              <w:rPr>
                <w:sz w:val="24"/>
                <w:szCs w:val="24"/>
              </w:rPr>
              <w:t xml:space="preserve">- </w:t>
            </w:r>
            <w:r>
              <w:rPr>
                <w:i/>
                <w:iCs/>
                <w:sz w:val="24"/>
                <w:szCs w:val="24"/>
                <w:u w:val="single"/>
              </w:rPr>
              <w:t>частично солидный узел:</w:t>
            </w:r>
            <w:r>
              <w:rPr>
                <w:sz w:val="24"/>
                <w:szCs w:val="24"/>
                <w:u w:val="single"/>
              </w:rPr>
              <w:br/>
            </w:r>
            <w:r>
              <w:rPr>
                <w:sz w:val="24"/>
                <w:szCs w:val="24"/>
              </w:rPr>
              <w:t xml:space="preserve">* общий размер узла(ов) ≥ 6 мм, с солидным компонентом ≥ 6 мм, но &lt; 8 мм или </w:t>
            </w:r>
          </w:p>
          <w:p w:rsidR="00A75A8D" w:rsidRDefault="008A6A51">
            <w:pPr>
              <w:pStyle w:val="af3"/>
              <w:ind w:left="0" w:firstLine="0"/>
              <w:rPr>
                <w:sz w:val="24"/>
                <w:szCs w:val="24"/>
              </w:rPr>
            </w:pPr>
            <w:r>
              <w:rPr>
                <w:sz w:val="24"/>
                <w:szCs w:val="24"/>
              </w:rPr>
              <w:t>* рост узла(ов), с увеличением солидного компонента &lt;чем на 4 мм</w:t>
            </w:r>
          </w:p>
          <w:p w:rsidR="00A75A8D" w:rsidRDefault="008A6A51">
            <w:pPr>
              <w:pStyle w:val="af3"/>
              <w:ind w:left="0" w:firstLine="0"/>
              <w:rPr>
                <w:sz w:val="24"/>
                <w:szCs w:val="24"/>
              </w:rPr>
            </w:pPr>
            <w:r>
              <w:rPr>
                <w:sz w:val="24"/>
                <w:szCs w:val="24"/>
              </w:rPr>
              <w:t>- эндобронхиальный узел</w:t>
            </w:r>
          </w:p>
        </w:tc>
        <w:tc>
          <w:tcPr>
            <w:tcW w:w="1033" w:type="pct"/>
          </w:tcPr>
          <w:p w:rsidR="00A75A8D" w:rsidRDefault="008A6A51">
            <w:pPr>
              <w:pStyle w:val="af3"/>
              <w:ind w:firstLine="186"/>
              <w:jc w:val="center"/>
              <w:rPr>
                <w:sz w:val="24"/>
                <w:szCs w:val="24"/>
              </w:rPr>
            </w:pPr>
            <w:r>
              <w:rPr>
                <w:sz w:val="24"/>
                <w:szCs w:val="24"/>
              </w:rPr>
              <w:t>НДКТ-контроль через 3 месяца;</w:t>
            </w:r>
            <w:r>
              <w:rPr>
                <w:sz w:val="24"/>
                <w:szCs w:val="24"/>
              </w:rPr>
              <w:br/>
              <w:t>может быть использована ПЭТ/КТ при размере солидного компон</w:t>
            </w:r>
            <w:r>
              <w:rPr>
                <w:sz w:val="24"/>
                <w:szCs w:val="24"/>
              </w:rPr>
              <w:t>ента ≥ 8 мм.</w:t>
            </w:r>
          </w:p>
        </w:tc>
        <w:tc>
          <w:tcPr>
            <w:tcW w:w="909" w:type="pct"/>
          </w:tcPr>
          <w:p w:rsidR="00A75A8D" w:rsidRDefault="008A6A51">
            <w:pPr>
              <w:pStyle w:val="af3"/>
              <w:ind w:firstLine="186"/>
              <w:jc w:val="center"/>
              <w:rPr>
                <w:sz w:val="24"/>
                <w:szCs w:val="24"/>
              </w:rPr>
            </w:pPr>
            <w:r>
              <w:rPr>
                <w:sz w:val="24"/>
                <w:szCs w:val="24"/>
              </w:rPr>
              <w:t>5-15%</w:t>
            </w:r>
            <w:r>
              <w:rPr>
                <w:b/>
                <w:bCs/>
                <w:sz w:val="24"/>
                <w:szCs w:val="24"/>
              </w:rPr>
              <w:t>/</w:t>
            </w:r>
            <w:r>
              <w:rPr>
                <w:sz w:val="24"/>
                <w:szCs w:val="24"/>
              </w:rPr>
              <w:t>2%</w:t>
            </w:r>
          </w:p>
        </w:tc>
      </w:tr>
      <w:tr w:rsidR="00A75A8D">
        <w:tc>
          <w:tcPr>
            <w:tcW w:w="1167" w:type="pct"/>
          </w:tcPr>
          <w:p w:rsidR="00A75A8D" w:rsidRDefault="008A6A51">
            <w:pPr>
              <w:pStyle w:val="af3"/>
              <w:ind w:hanging="34"/>
              <w:jc w:val="left"/>
              <w:rPr>
                <w:sz w:val="24"/>
                <w:szCs w:val="24"/>
              </w:rPr>
            </w:pPr>
            <w:r>
              <w:rPr>
                <w:sz w:val="24"/>
                <w:szCs w:val="24"/>
              </w:rPr>
              <w:t xml:space="preserve">4В - </w:t>
            </w:r>
          </w:p>
          <w:p w:rsidR="00A75A8D" w:rsidRDefault="008A6A51">
            <w:pPr>
              <w:pStyle w:val="af3"/>
              <w:ind w:hanging="34"/>
              <w:jc w:val="left"/>
              <w:rPr>
                <w:sz w:val="24"/>
                <w:szCs w:val="24"/>
              </w:rPr>
            </w:pPr>
            <w:r>
              <w:rPr>
                <w:sz w:val="24"/>
                <w:szCs w:val="24"/>
              </w:rPr>
              <w:t>Очень подозрительные узлы- требуются дополнительные диагностические тесты или биопсия</w:t>
            </w:r>
            <w:r>
              <w:rPr>
                <w:sz w:val="24"/>
                <w:szCs w:val="24"/>
              </w:rPr>
              <w:br/>
            </w:r>
          </w:p>
        </w:tc>
        <w:tc>
          <w:tcPr>
            <w:tcW w:w="1891" w:type="pct"/>
          </w:tcPr>
          <w:p w:rsidR="00A75A8D" w:rsidRDefault="008A6A51">
            <w:pPr>
              <w:pStyle w:val="af3"/>
              <w:ind w:left="0" w:firstLine="0"/>
              <w:rPr>
                <w:sz w:val="24"/>
                <w:szCs w:val="24"/>
              </w:rPr>
            </w:pPr>
            <w:r>
              <w:rPr>
                <w:color w:val="000000"/>
                <w:sz w:val="24"/>
                <w:szCs w:val="24"/>
              </w:rPr>
              <w:t xml:space="preserve">- </w:t>
            </w:r>
            <w:r>
              <w:rPr>
                <w:i/>
                <w:iCs/>
                <w:color w:val="000000"/>
                <w:sz w:val="24"/>
                <w:szCs w:val="24"/>
                <w:u w:val="single"/>
              </w:rPr>
              <w:t>солидный узел(ы):</w:t>
            </w:r>
            <w:r>
              <w:rPr>
                <w:color w:val="FFFFFF"/>
                <w:sz w:val="24"/>
                <w:szCs w:val="24"/>
                <w:u w:val="single"/>
              </w:rPr>
              <w:br/>
            </w:r>
            <w:r>
              <w:rPr>
                <w:sz w:val="24"/>
                <w:szCs w:val="24"/>
              </w:rPr>
              <w:t xml:space="preserve">* </w:t>
            </w:r>
            <w:r>
              <w:rPr>
                <w:color w:val="000000"/>
                <w:sz w:val="24"/>
                <w:szCs w:val="24"/>
              </w:rPr>
              <w:t>&gt;15 мм</w:t>
            </w:r>
            <w:r>
              <w:rPr>
                <w:color w:val="FFFFFF"/>
                <w:sz w:val="24"/>
                <w:szCs w:val="24"/>
              </w:rPr>
              <w:br/>
            </w:r>
            <w:r>
              <w:rPr>
                <w:sz w:val="24"/>
                <w:szCs w:val="24"/>
              </w:rPr>
              <w:t xml:space="preserve">* появление новых узлов или </w:t>
            </w:r>
          </w:p>
          <w:p w:rsidR="00A75A8D" w:rsidRDefault="008A6A51">
            <w:pPr>
              <w:pStyle w:val="af3"/>
              <w:ind w:left="0" w:firstLine="0"/>
              <w:rPr>
                <w:sz w:val="24"/>
                <w:szCs w:val="24"/>
              </w:rPr>
            </w:pPr>
            <w:r>
              <w:rPr>
                <w:sz w:val="24"/>
                <w:szCs w:val="24"/>
              </w:rPr>
              <w:t>* рост узла(ов) ≥8 мм</w:t>
            </w:r>
            <w:r>
              <w:rPr>
                <w:sz w:val="24"/>
                <w:szCs w:val="24"/>
              </w:rPr>
              <w:br/>
            </w:r>
            <w:r>
              <w:rPr>
                <w:i/>
                <w:iCs/>
                <w:sz w:val="24"/>
                <w:szCs w:val="24"/>
              </w:rPr>
              <w:t xml:space="preserve">- </w:t>
            </w:r>
            <w:r>
              <w:rPr>
                <w:i/>
                <w:iCs/>
                <w:sz w:val="24"/>
                <w:szCs w:val="24"/>
                <w:u w:val="single"/>
              </w:rPr>
              <w:t xml:space="preserve">частично солидный </w:t>
            </w:r>
            <w:r>
              <w:rPr>
                <w:i/>
                <w:iCs/>
                <w:color w:val="000000"/>
                <w:sz w:val="24"/>
                <w:szCs w:val="24"/>
                <w:u w:val="single"/>
              </w:rPr>
              <w:t>узел(ы</w:t>
            </w:r>
            <w:r>
              <w:rPr>
                <w:i/>
                <w:iCs/>
                <w:sz w:val="24"/>
                <w:szCs w:val="24"/>
                <w:u w:val="single"/>
              </w:rPr>
              <w:t>):</w:t>
            </w:r>
            <w:r>
              <w:rPr>
                <w:sz w:val="24"/>
                <w:szCs w:val="24"/>
                <w:u w:val="single"/>
              </w:rPr>
              <w:br/>
            </w:r>
            <w:r>
              <w:rPr>
                <w:sz w:val="24"/>
                <w:szCs w:val="24"/>
              </w:rPr>
              <w:t xml:space="preserve">* c солидным компонентом ≥ 8 мм, или </w:t>
            </w:r>
          </w:p>
          <w:p w:rsidR="00A75A8D" w:rsidRDefault="008A6A51">
            <w:pPr>
              <w:pStyle w:val="af3"/>
              <w:ind w:left="0" w:firstLine="0"/>
              <w:rPr>
                <w:sz w:val="24"/>
                <w:szCs w:val="24"/>
              </w:rPr>
            </w:pPr>
            <w:r>
              <w:rPr>
                <w:sz w:val="24"/>
                <w:szCs w:val="24"/>
              </w:rPr>
              <w:t xml:space="preserve">* рост солидного компонента ≥ чем на 4 мм, или </w:t>
            </w:r>
          </w:p>
          <w:p w:rsidR="00A75A8D" w:rsidRDefault="008A6A51">
            <w:pPr>
              <w:pStyle w:val="af3"/>
              <w:ind w:left="0" w:firstLine="0"/>
              <w:rPr>
                <w:sz w:val="24"/>
                <w:szCs w:val="24"/>
              </w:rPr>
            </w:pPr>
            <w:r>
              <w:rPr>
                <w:sz w:val="24"/>
                <w:szCs w:val="24"/>
              </w:rPr>
              <w:t>* появление новых узлов</w:t>
            </w:r>
          </w:p>
        </w:tc>
        <w:tc>
          <w:tcPr>
            <w:tcW w:w="1033" w:type="pct"/>
            <w:vMerge w:val="restart"/>
          </w:tcPr>
          <w:p w:rsidR="00A75A8D" w:rsidRDefault="008A6A51">
            <w:pPr>
              <w:pStyle w:val="af3"/>
              <w:ind w:firstLine="186"/>
              <w:jc w:val="center"/>
              <w:rPr>
                <w:sz w:val="24"/>
                <w:szCs w:val="24"/>
              </w:rPr>
            </w:pPr>
            <w:r>
              <w:rPr>
                <w:sz w:val="24"/>
                <w:szCs w:val="24"/>
              </w:rPr>
              <w:t>КТ органов грудной клетки с контрастированием, ПЭТ/КТ и/или биопсия в зависимости от вероятности злокачественного процесса и сопутствующих заболев</w:t>
            </w:r>
            <w:r>
              <w:rPr>
                <w:sz w:val="24"/>
                <w:szCs w:val="24"/>
              </w:rPr>
              <w:t>аний.</w:t>
            </w:r>
          </w:p>
          <w:p w:rsidR="00A75A8D" w:rsidRDefault="008A6A51">
            <w:pPr>
              <w:pStyle w:val="af3"/>
              <w:ind w:firstLine="186"/>
              <w:jc w:val="center"/>
              <w:rPr>
                <w:sz w:val="24"/>
                <w:szCs w:val="24"/>
              </w:rPr>
            </w:pPr>
            <w:r>
              <w:rPr>
                <w:sz w:val="24"/>
                <w:szCs w:val="24"/>
              </w:rPr>
              <w:t>ПЭТ/КТ может быть использована при ≥ 8 мм солидного компонента</w:t>
            </w:r>
          </w:p>
        </w:tc>
        <w:tc>
          <w:tcPr>
            <w:tcW w:w="909" w:type="pct"/>
            <w:vMerge w:val="restart"/>
          </w:tcPr>
          <w:p w:rsidR="00A75A8D" w:rsidRDefault="008A6A51">
            <w:pPr>
              <w:pStyle w:val="af3"/>
              <w:ind w:hanging="34"/>
              <w:jc w:val="center"/>
              <w:rPr>
                <w:sz w:val="24"/>
                <w:szCs w:val="24"/>
              </w:rPr>
            </w:pPr>
            <w:r>
              <w:rPr>
                <w:sz w:val="24"/>
                <w:szCs w:val="24"/>
              </w:rPr>
              <w:t>&gt; 15%</w:t>
            </w:r>
            <w:r>
              <w:rPr>
                <w:b/>
                <w:bCs/>
                <w:sz w:val="24"/>
                <w:szCs w:val="24"/>
              </w:rPr>
              <w:t>/</w:t>
            </w:r>
            <w:r>
              <w:rPr>
                <w:sz w:val="24"/>
                <w:szCs w:val="24"/>
              </w:rPr>
              <w:t>2%</w:t>
            </w:r>
          </w:p>
        </w:tc>
      </w:tr>
      <w:tr w:rsidR="00A75A8D">
        <w:tc>
          <w:tcPr>
            <w:tcW w:w="1167" w:type="pct"/>
          </w:tcPr>
          <w:p w:rsidR="00A75A8D" w:rsidRDefault="008A6A51">
            <w:pPr>
              <w:pStyle w:val="af3"/>
              <w:ind w:hanging="34"/>
              <w:jc w:val="left"/>
              <w:rPr>
                <w:sz w:val="24"/>
                <w:szCs w:val="24"/>
              </w:rPr>
            </w:pPr>
            <w:r>
              <w:rPr>
                <w:sz w:val="24"/>
                <w:szCs w:val="24"/>
              </w:rPr>
              <w:t>Х</w:t>
            </w:r>
          </w:p>
          <w:p w:rsidR="00A75A8D" w:rsidRDefault="008A6A51">
            <w:pPr>
              <w:pStyle w:val="af3"/>
              <w:ind w:hanging="34"/>
              <w:jc w:val="left"/>
              <w:rPr>
                <w:sz w:val="24"/>
                <w:szCs w:val="24"/>
              </w:rPr>
            </w:pPr>
            <w:r>
              <w:rPr>
                <w:sz w:val="24"/>
                <w:szCs w:val="24"/>
              </w:rPr>
              <w:t>Категория 3 или 4 с анамнезом или находками при визуализации, позволяющими заподозрить рак</w:t>
            </w:r>
            <w:r>
              <w:rPr>
                <w:color w:val="FFFFFF"/>
                <w:sz w:val="24"/>
                <w:szCs w:val="24"/>
              </w:rPr>
              <w:t xml:space="preserve"> </w:t>
            </w:r>
          </w:p>
        </w:tc>
        <w:tc>
          <w:tcPr>
            <w:tcW w:w="1891" w:type="pct"/>
          </w:tcPr>
          <w:p w:rsidR="00A75A8D" w:rsidRDefault="008A6A51">
            <w:pPr>
              <w:pStyle w:val="af3"/>
              <w:ind w:left="0" w:firstLine="0"/>
              <w:jc w:val="left"/>
              <w:rPr>
                <w:sz w:val="24"/>
                <w:szCs w:val="24"/>
              </w:rPr>
            </w:pPr>
            <w:r>
              <w:rPr>
                <w:sz w:val="24"/>
                <w:szCs w:val="24"/>
              </w:rPr>
              <w:t>- появление спикул</w:t>
            </w:r>
            <w:r>
              <w:rPr>
                <w:sz w:val="24"/>
                <w:szCs w:val="24"/>
              </w:rPr>
              <w:br/>
              <w:t xml:space="preserve">- увеличения в размерах узлов по типу матового стекла в 2 и </w:t>
            </w:r>
            <w:r>
              <w:rPr>
                <w:sz w:val="24"/>
                <w:szCs w:val="24"/>
              </w:rPr>
              <w:t>&gt;раза в течении 1 года</w:t>
            </w:r>
          </w:p>
          <w:p w:rsidR="00A75A8D" w:rsidRDefault="008A6A51">
            <w:pPr>
              <w:pStyle w:val="af3"/>
              <w:ind w:left="0" w:firstLine="0"/>
              <w:jc w:val="left"/>
              <w:rPr>
                <w:sz w:val="24"/>
                <w:szCs w:val="24"/>
              </w:rPr>
            </w:pPr>
            <w:r>
              <w:rPr>
                <w:sz w:val="24"/>
                <w:szCs w:val="24"/>
              </w:rPr>
              <w:t>- увеличение регионарных лимфатических узлов</w:t>
            </w:r>
          </w:p>
        </w:tc>
        <w:tc>
          <w:tcPr>
            <w:tcW w:w="1033" w:type="pct"/>
            <w:vMerge/>
          </w:tcPr>
          <w:p w:rsidR="00A75A8D" w:rsidRDefault="00A75A8D">
            <w:pPr>
              <w:pStyle w:val="af3"/>
              <w:ind w:firstLine="186"/>
              <w:jc w:val="center"/>
              <w:rPr>
                <w:sz w:val="24"/>
                <w:szCs w:val="24"/>
              </w:rPr>
            </w:pPr>
          </w:p>
        </w:tc>
        <w:tc>
          <w:tcPr>
            <w:tcW w:w="909" w:type="pct"/>
            <w:vMerge/>
          </w:tcPr>
          <w:p w:rsidR="00A75A8D" w:rsidRDefault="00A75A8D">
            <w:pPr>
              <w:pStyle w:val="af3"/>
              <w:rPr>
                <w:sz w:val="24"/>
                <w:szCs w:val="24"/>
              </w:rPr>
            </w:pPr>
          </w:p>
        </w:tc>
      </w:tr>
      <w:tr w:rsidR="00A75A8D">
        <w:tc>
          <w:tcPr>
            <w:tcW w:w="1167" w:type="pct"/>
          </w:tcPr>
          <w:p w:rsidR="00A75A8D" w:rsidRDefault="008A6A51">
            <w:pPr>
              <w:pStyle w:val="af3"/>
              <w:ind w:hanging="34"/>
              <w:jc w:val="left"/>
              <w:rPr>
                <w:sz w:val="24"/>
                <w:szCs w:val="24"/>
              </w:rPr>
            </w:pPr>
            <w:r>
              <w:rPr>
                <w:sz w:val="24"/>
                <w:szCs w:val="24"/>
              </w:rPr>
              <w:t>S</w:t>
            </w:r>
          </w:p>
          <w:p w:rsidR="00A75A8D" w:rsidRDefault="008A6A51">
            <w:pPr>
              <w:pStyle w:val="af3"/>
              <w:ind w:hanging="34"/>
              <w:jc w:val="left"/>
              <w:rPr>
                <w:color w:val="000000"/>
                <w:kern w:val="24"/>
                <w:sz w:val="24"/>
                <w:szCs w:val="24"/>
              </w:rPr>
            </w:pPr>
            <w:r>
              <w:rPr>
                <w:sz w:val="24"/>
                <w:szCs w:val="24"/>
                <w:shd w:val="clear" w:color="auto" w:fill="FFFFFF"/>
              </w:rPr>
              <w:t>Клинически значимые или потенциально клинически значимые результаты (не связанные с раком легкого)</w:t>
            </w:r>
          </w:p>
        </w:tc>
        <w:tc>
          <w:tcPr>
            <w:tcW w:w="1891" w:type="pct"/>
          </w:tcPr>
          <w:p w:rsidR="00A75A8D" w:rsidRDefault="008A6A51">
            <w:pPr>
              <w:pStyle w:val="af3"/>
              <w:ind w:left="0" w:firstLine="0"/>
              <w:jc w:val="left"/>
              <w:rPr>
                <w:sz w:val="24"/>
                <w:szCs w:val="24"/>
              </w:rPr>
            </w:pPr>
            <w:r>
              <w:rPr>
                <w:sz w:val="24"/>
                <w:szCs w:val="24"/>
              </w:rPr>
              <w:t>Изменения в легких могут соответствовать характеристикам от 0 до 4 категории.</w:t>
            </w:r>
          </w:p>
          <w:p w:rsidR="00A75A8D" w:rsidRDefault="008A6A51">
            <w:pPr>
              <w:pStyle w:val="af3"/>
              <w:ind w:left="0" w:firstLine="0"/>
              <w:jc w:val="left"/>
              <w:rPr>
                <w:sz w:val="24"/>
                <w:szCs w:val="24"/>
              </w:rPr>
            </w:pPr>
            <w:r>
              <w:rPr>
                <w:sz w:val="24"/>
                <w:szCs w:val="24"/>
              </w:rPr>
              <w:t>Модификатор можно добавлять к основной категории</w:t>
            </w:r>
          </w:p>
          <w:p w:rsidR="00A75A8D" w:rsidRDefault="00A75A8D">
            <w:pPr>
              <w:pStyle w:val="af3"/>
              <w:jc w:val="left"/>
              <w:rPr>
                <w:sz w:val="24"/>
                <w:szCs w:val="24"/>
              </w:rPr>
            </w:pPr>
          </w:p>
        </w:tc>
        <w:tc>
          <w:tcPr>
            <w:tcW w:w="1033" w:type="pct"/>
          </w:tcPr>
          <w:p w:rsidR="00A75A8D" w:rsidRDefault="008A6A51">
            <w:pPr>
              <w:pStyle w:val="af3"/>
              <w:ind w:firstLine="186"/>
              <w:jc w:val="center"/>
              <w:rPr>
                <w:sz w:val="24"/>
                <w:szCs w:val="24"/>
              </w:rPr>
            </w:pPr>
            <w:r>
              <w:rPr>
                <w:sz w:val="24"/>
                <w:szCs w:val="24"/>
                <w:shd w:val="clear" w:color="auto" w:fill="FFFFFF"/>
              </w:rPr>
              <w:t>Другие диагностические тесты при клинической необходимости</w:t>
            </w:r>
          </w:p>
        </w:tc>
        <w:tc>
          <w:tcPr>
            <w:tcW w:w="909" w:type="pct"/>
          </w:tcPr>
          <w:p w:rsidR="00A75A8D" w:rsidRDefault="008A6A51">
            <w:pPr>
              <w:pStyle w:val="af3"/>
              <w:rPr>
                <w:sz w:val="24"/>
                <w:szCs w:val="24"/>
                <w:shd w:val="clear" w:color="auto" w:fill="FFFFFF"/>
              </w:rPr>
            </w:pPr>
            <w:r>
              <w:rPr>
                <w:sz w:val="24"/>
                <w:szCs w:val="24"/>
                <w:shd w:val="clear" w:color="auto" w:fill="FFFFFF"/>
              </w:rPr>
              <w:t>10%</w:t>
            </w:r>
          </w:p>
        </w:tc>
      </w:tr>
    </w:tbl>
    <w:p w:rsidR="00A75A8D" w:rsidRDefault="00A75A8D">
      <w:pPr>
        <w:ind w:firstLine="703"/>
        <w:contextualSpacing/>
        <w:jc w:val="both"/>
        <w:rPr>
          <w:rFonts w:ascii="Times New Roman" w:hAnsi="Times New Roman" w:cs="Times New Roman"/>
          <w:sz w:val="28"/>
          <w:szCs w:val="28"/>
        </w:rPr>
      </w:pPr>
    </w:p>
    <w:p w:rsidR="00A75A8D" w:rsidRDefault="008A6A51">
      <w:pPr>
        <w:spacing w:after="0" w:line="240" w:lineRule="auto"/>
        <w:ind w:firstLine="567"/>
        <w:jc w:val="both"/>
        <w:rPr>
          <w:rFonts w:ascii="Times New Roman" w:hAnsi="Times New Roman" w:cs="Times New Roman"/>
          <w:sz w:val="28"/>
          <w:szCs w:val="28"/>
          <w:lang w:eastAsia="zh-CN"/>
        </w:rPr>
      </w:pPr>
      <w:r>
        <w:rPr>
          <w:rFonts w:ascii="Times New Roman" w:hAnsi="Times New Roman" w:cs="Times New Roman"/>
          <w:sz w:val="28"/>
          <w:szCs w:val="28"/>
        </w:rPr>
        <w:lastRenderedPageBreak/>
        <w:t>Как видно из таблицы 2, классификация имеет пять числовых категорий от 0 до 4 и два буквенных модификатора «S», и</w:t>
      </w:r>
      <w:r>
        <w:rPr>
          <w:rFonts w:ascii="Times New Roman" w:hAnsi="Times New Roman" w:cs="Times New Roman"/>
          <w:sz w:val="28"/>
          <w:szCs w:val="28"/>
          <w:lang w:eastAsia="zh-CN"/>
        </w:rPr>
        <w:t xml:space="preserve"> «X», которые могут быть добавлены к числовой категории.</w:t>
      </w:r>
    </w:p>
    <w:p w:rsidR="00A75A8D" w:rsidRDefault="008A6A51">
      <w:pPr>
        <w:spacing w:after="0" w:line="240" w:lineRule="auto"/>
        <w:ind w:firstLine="567"/>
        <w:jc w:val="both"/>
        <w:rPr>
          <w:rFonts w:ascii="Times New Roman" w:hAnsi="Times New Roman" w:cs="Times New Roman"/>
          <w:sz w:val="28"/>
          <w:szCs w:val="28"/>
          <w:lang w:eastAsia="zh-CN"/>
        </w:rPr>
      </w:pPr>
      <w:r>
        <w:rPr>
          <w:rFonts w:ascii="Times New Roman" w:hAnsi="Times New Roman" w:cs="Times New Roman"/>
          <w:sz w:val="28"/>
          <w:szCs w:val="28"/>
          <w:lang w:eastAsia="zh-CN"/>
        </w:rPr>
        <w:t>Номер категории в сочетании с буквенным модификатором (при необходимости) формируют окончательное Lung-RADS заключение.</w:t>
      </w:r>
    </w:p>
    <w:p w:rsidR="00A75A8D" w:rsidRDefault="008A6A51">
      <w:pPr>
        <w:spacing w:after="0" w:line="240" w:lineRule="auto"/>
        <w:ind w:firstLine="567"/>
        <w:jc w:val="both"/>
        <w:rPr>
          <w:rFonts w:ascii="Times New Roman" w:hAnsi="Times New Roman" w:cs="Times New Roman"/>
          <w:sz w:val="28"/>
          <w:szCs w:val="28"/>
          <w:lang w:eastAsia="zh-CN"/>
        </w:rPr>
      </w:pPr>
      <w:r>
        <w:rPr>
          <w:rFonts w:ascii="Times New Roman" w:hAnsi="Times New Roman" w:cs="Times New Roman"/>
          <w:sz w:val="28"/>
          <w:szCs w:val="28"/>
          <w:lang w:eastAsia="zh-CN"/>
        </w:rPr>
        <w:t>Модификатор «Х» используется в случае наличия подозрительных на злокачественнос</w:t>
      </w:r>
      <w:r>
        <w:rPr>
          <w:rFonts w:ascii="Times New Roman" w:hAnsi="Times New Roman" w:cs="Times New Roman"/>
          <w:sz w:val="28"/>
          <w:szCs w:val="28"/>
          <w:lang w:eastAsia="zh-CN"/>
        </w:rPr>
        <w:t xml:space="preserve">ть признаков: спикул («лучистые» контуры); роста узла по типу «матового стекла» более чем на 1 см за год; наличие увеличенных медиастинальных лимфоузлов. </w:t>
      </w:r>
    </w:p>
    <w:p w:rsidR="00A75A8D" w:rsidRDefault="008A6A51">
      <w:pPr>
        <w:spacing w:after="0" w:line="240" w:lineRule="auto"/>
        <w:ind w:firstLine="567"/>
        <w:jc w:val="both"/>
        <w:rPr>
          <w:rFonts w:ascii="Times New Roman" w:hAnsi="Times New Roman" w:cs="Times New Roman"/>
          <w:sz w:val="28"/>
          <w:szCs w:val="28"/>
          <w:lang w:eastAsia="zh-CN"/>
        </w:rPr>
      </w:pPr>
      <w:r>
        <w:rPr>
          <w:rFonts w:ascii="Times New Roman" w:hAnsi="Times New Roman" w:cs="Times New Roman"/>
          <w:sz w:val="28"/>
          <w:szCs w:val="28"/>
          <w:lang w:eastAsia="zh-CN"/>
        </w:rPr>
        <w:t xml:space="preserve">Модификатор «S» предназначен для клинически значимых находок, в том числе экстрапульмональных (кроме </w:t>
      </w:r>
      <w:r>
        <w:rPr>
          <w:rFonts w:ascii="Times New Roman" w:hAnsi="Times New Roman" w:cs="Times New Roman"/>
          <w:sz w:val="28"/>
          <w:szCs w:val="28"/>
          <w:lang w:eastAsia="zh-CN"/>
        </w:rPr>
        <w:t>рака легкого), таких как: склероз коронарных артерий, аортосклероз, дилатация аорты, буллезная эмфизема, грыжа пищеводного отверстия диафрагмы, узловые образования щитовидной железы, молочных желез, надпочечников, почек, печени (имеющие признаки злокачеств</w:t>
      </w:r>
      <w:r>
        <w:rPr>
          <w:rFonts w:ascii="Times New Roman" w:hAnsi="Times New Roman" w:cs="Times New Roman"/>
          <w:sz w:val="28"/>
          <w:szCs w:val="28"/>
          <w:lang w:eastAsia="zh-CN"/>
        </w:rPr>
        <w:t>енности или необходимость в дообследовании).</w:t>
      </w:r>
    </w:p>
    <w:p w:rsidR="00A75A8D" w:rsidRDefault="008A6A51">
      <w:pPr>
        <w:spacing w:after="0" w:line="240" w:lineRule="auto"/>
        <w:ind w:firstLine="567"/>
        <w:jc w:val="both"/>
        <w:rPr>
          <w:rFonts w:ascii="Times New Roman" w:hAnsi="Times New Roman" w:cs="Times New Roman"/>
          <w:sz w:val="28"/>
          <w:szCs w:val="28"/>
          <w:lang w:eastAsia="zh-CN"/>
        </w:rPr>
      </w:pPr>
      <w:r>
        <w:rPr>
          <w:rFonts w:ascii="Times New Roman" w:hAnsi="Times New Roman" w:cs="Times New Roman"/>
          <w:sz w:val="28"/>
          <w:szCs w:val="28"/>
          <w:lang w:eastAsia="zh-CN"/>
        </w:rPr>
        <w:t>Категория Lung-RADS 0 – является незавершенной оценкой НДКТ изображений. При категории 0 постановка окончательного диагноза невозможна, необходимо дообследование (например, область исследования не полностью захв</w:t>
      </w:r>
      <w:r>
        <w:rPr>
          <w:rFonts w:ascii="Times New Roman" w:hAnsi="Times New Roman" w:cs="Times New Roman"/>
          <w:sz w:val="28"/>
          <w:szCs w:val="28"/>
          <w:lang w:eastAsia="zh-CN"/>
        </w:rPr>
        <w:t xml:space="preserve">ачена в зону сканирования), динамическое наблюдение или сравнение с предыдущими архивными изображениями. </w:t>
      </w:r>
    </w:p>
    <w:p w:rsidR="00A75A8D" w:rsidRDefault="008A6A51">
      <w:pPr>
        <w:spacing w:after="0" w:line="240" w:lineRule="auto"/>
        <w:ind w:firstLine="567"/>
        <w:jc w:val="both"/>
        <w:rPr>
          <w:rFonts w:ascii="Times New Roman" w:hAnsi="Times New Roman" w:cs="Times New Roman"/>
          <w:sz w:val="28"/>
          <w:szCs w:val="28"/>
          <w:lang w:eastAsia="zh-CN"/>
        </w:rPr>
      </w:pPr>
      <w:r>
        <w:rPr>
          <w:rFonts w:ascii="Times New Roman" w:hAnsi="Times New Roman" w:cs="Times New Roman"/>
          <w:sz w:val="28"/>
          <w:szCs w:val="28"/>
          <w:lang w:eastAsia="zh-CN"/>
        </w:rPr>
        <w:t>Категория Lung-RADS 1 определяет отрицательный результат скрининга с вероятностью злокачественности менее 1%. Применяется при отсутствии легочных узло</w:t>
      </w:r>
      <w:r>
        <w:rPr>
          <w:rFonts w:ascii="Times New Roman" w:hAnsi="Times New Roman" w:cs="Times New Roman"/>
          <w:sz w:val="28"/>
          <w:szCs w:val="28"/>
          <w:lang w:eastAsia="zh-CN"/>
        </w:rPr>
        <w:t>в, либо при наличии узлов с характерными признаками доброкачественности: включения жира и/или кальцинатов по типу яичной скорлупы, попкорна или полностью закальцинированных.</w:t>
      </w:r>
    </w:p>
    <w:p w:rsidR="00A75A8D" w:rsidRDefault="008A6A51">
      <w:pPr>
        <w:spacing w:after="0" w:line="240" w:lineRule="auto"/>
        <w:ind w:firstLine="567"/>
        <w:jc w:val="both"/>
        <w:rPr>
          <w:rFonts w:ascii="Times New Roman" w:hAnsi="Times New Roman" w:cs="Times New Roman"/>
          <w:sz w:val="28"/>
          <w:szCs w:val="28"/>
          <w:lang w:eastAsia="zh-CN"/>
        </w:rPr>
      </w:pPr>
      <w:r>
        <w:rPr>
          <w:rFonts w:ascii="Times New Roman" w:hAnsi="Times New Roman" w:cs="Times New Roman"/>
          <w:sz w:val="28"/>
          <w:szCs w:val="28"/>
          <w:lang w:eastAsia="zh-CN"/>
        </w:rPr>
        <w:t>Категория Lung-RADS 2 также характеризует отрицательный результат скрининга. Приме</w:t>
      </w:r>
      <w:r>
        <w:rPr>
          <w:rFonts w:ascii="Times New Roman" w:hAnsi="Times New Roman" w:cs="Times New Roman"/>
          <w:sz w:val="28"/>
          <w:szCs w:val="28"/>
          <w:lang w:eastAsia="zh-CN"/>
        </w:rPr>
        <w:t>няется при наличии узлов с очень низкой вероятностью злокачественности, основываясь на размере, морфологических характеристиках и отсутствии роста при динамическом наблюдении.</w:t>
      </w:r>
    </w:p>
    <w:p w:rsidR="00A75A8D" w:rsidRDefault="008A6A51">
      <w:pPr>
        <w:spacing w:after="0" w:line="240" w:lineRule="auto"/>
        <w:ind w:firstLine="567"/>
        <w:jc w:val="both"/>
        <w:rPr>
          <w:rFonts w:ascii="Times New Roman" w:hAnsi="Times New Roman" w:cs="Times New Roman"/>
          <w:sz w:val="28"/>
          <w:szCs w:val="28"/>
          <w:lang w:eastAsia="zh-CN"/>
        </w:rPr>
      </w:pPr>
      <w:r>
        <w:rPr>
          <w:rFonts w:ascii="Times New Roman" w:hAnsi="Times New Roman" w:cs="Times New Roman"/>
          <w:sz w:val="28"/>
          <w:szCs w:val="28"/>
          <w:lang w:eastAsia="zh-CN"/>
        </w:rPr>
        <w:t>Категория Lung-RADS 3 включает легочные узлы, требующие динамического наблюдения</w:t>
      </w:r>
      <w:r>
        <w:rPr>
          <w:rFonts w:ascii="Times New Roman" w:hAnsi="Times New Roman" w:cs="Times New Roman"/>
          <w:sz w:val="28"/>
          <w:szCs w:val="28"/>
          <w:lang w:eastAsia="zh-CN"/>
        </w:rPr>
        <w:t xml:space="preserve"> через 6 месяцев. Вероятность злокачественности в данной категории составляет 1-2%.</w:t>
      </w:r>
    </w:p>
    <w:p w:rsidR="00A75A8D" w:rsidRDefault="008A6A51">
      <w:pPr>
        <w:spacing w:after="0" w:line="240" w:lineRule="auto"/>
        <w:ind w:firstLine="567"/>
        <w:jc w:val="both"/>
        <w:rPr>
          <w:rFonts w:ascii="Times New Roman" w:hAnsi="Times New Roman" w:cs="Times New Roman"/>
          <w:sz w:val="28"/>
          <w:szCs w:val="28"/>
          <w:lang w:eastAsia="zh-CN"/>
        </w:rPr>
      </w:pPr>
      <w:r>
        <w:rPr>
          <w:rFonts w:ascii="Times New Roman" w:hAnsi="Times New Roman" w:cs="Times New Roman"/>
          <w:sz w:val="28"/>
          <w:szCs w:val="28"/>
          <w:lang w:eastAsia="zh-CN"/>
        </w:rPr>
        <w:t>Категория Lung-RADS 4 указывает на то, что узел вызывает подозрение на злокачественность. Увеличение вероятности злокачественности выражаются путем присвоения подкатегории,</w:t>
      </w:r>
      <w:r>
        <w:rPr>
          <w:rFonts w:ascii="Times New Roman" w:hAnsi="Times New Roman" w:cs="Times New Roman"/>
          <w:sz w:val="28"/>
          <w:szCs w:val="28"/>
          <w:lang w:eastAsia="zh-CN"/>
        </w:rPr>
        <w:t xml:space="preserve"> 4A (5–15%) или 4B (&gt; 15%).  </w:t>
      </w:r>
    </w:p>
    <w:p w:rsidR="00A75A8D" w:rsidRDefault="008A6A51">
      <w:pPr>
        <w:spacing w:after="0" w:line="240" w:lineRule="auto"/>
        <w:ind w:firstLine="567"/>
        <w:jc w:val="both"/>
        <w:rPr>
          <w:rFonts w:ascii="Times New Roman" w:hAnsi="Times New Roman" w:cs="Times New Roman"/>
          <w:sz w:val="28"/>
          <w:szCs w:val="28"/>
          <w:lang w:eastAsia="zh-CN"/>
        </w:rPr>
      </w:pPr>
      <w:r>
        <w:rPr>
          <w:rFonts w:ascii="Times New Roman" w:hAnsi="Times New Roman" w:cs="Times New Roman"/>
          <w:sz w:val="28"/>
          <w:szCs w:val="28"/>
          <w:lang w:eastAsia="zh-CN"/>
        </w:rPr>
        <w:t xml:space="preserve">Таким образом, в нашем исследовании категории Lung-RADS 1 и 2 обозначали отрицательный результат. Категории Lung-RADS 3, 4А и 4В обозначены как положительный результат. </w:t>
      </w:r>
    </w:p>
    <w:p w:rsidR="00A75A8D" w:rsidRDefault="008A6A51">
      <w:pPr>
        <w:spacing w:after="0" w:line="240" w:lineRule="auto"/>
        <w:ind w:firstLine="567"/>
        <w:jc w:val="both"/>
        <w:rPr>
          <w:rFonts w:ascii="Times New Roman" w:hAnsi="Times New Roman" w:cs="Times New Roman"/>
          <w:sz w:val="28"/>
          <w:szCs w:val="28"/>
          <w:lang w:eastAsia="zh-CN"/>
        </w:rPr>
      </w:pPr>
      <w:r>
        <w:rPr>
          <w:rFonts w:ascii="Times New Roman" w:hAnsi="Times New Roman" w:cs="Times New Roman"/>
          <w:sz w:val="28"/>
          <w:szCs w:val="28"/>
          <w:lang w:eastAsia="zh-CN"/>
        </w:rPr>
        <w:t>Автором лично были интерпретированы данные НДКТ, а также</w:t>
      </w:r>
      <w:r>
        <w:rPr>
          <w:rFonts w:ascii="Times New Roman" w:hAnsi="Times New Roman" w:cs="Times New Roman"/>
          <w:sz w:val="28"/>
          <w:szCs w:val="28"/>
          <w:lang w:eastAsia="zh-CN"/>
        </w:rPr>
        <w:t xml:space="preserve"> проведен статистический анализ полученных данных.  </w:t>
      </w:r>
    </w:p>
    <w:p w:rsidR="00A75A8D" w:rsidRDefault="008A6A51">
      <w:pPr>
        <w:spacing w:after="0" w:line="240" w:lineRule="auto"/>
        <w:ind w:firstLine="567"/>
        <w:jc w:val="both"/>
        <w:rPr>
          <w:rFonts w:ascii="Times New Roman" w:hAnsi="Times New Roman" w:cs="Times New Roman"/>
          <w:sz w:val="28"/>
          <w:szCs w:val="28"/>
          <w:lang w:eastAsia="zh-CN"/>
        </w:rPr>
      </w:pPr>
      <w:r>
        <w:rPr>
          <w:rFonts w:ascii="Times New Roman" w:hAnsi="Times New Roman" w:cs="Times New Roman"/>
          <w:sz w:val="28"/>
          <w:szCs w:val="28"/>
          <w:lang w:eastAsia="zh-CN"/>
        </w:rPr>
        <w:t>Эндоскопическое и патоморфологическое исследования были проведены в соответствующих параклинических отделениях онкологических центров, включая Казахский научно-исследовательский институт онкологии и ради</w:t>
      </w:r>
      <w:r>
        <w:rPr>
          <w:rFonts w:ascii="Times New Roman" w:hAnsi="Times New Roman" w:cs="Times New Roman"/>
          <w:sz w:val="28"/>
          <w:szCs w:val="28"/>
          <w:lang w:eastAsia="zh-CN"/>
        </w:rPr>
        <w:t>ологии.</w:t>
      </w:r>
    </w:p>
    <w:p w:rsidR="00A75A8D" w:rsidRDefault="008A6A51">
      <w:pPr>
        <w:spacing w:after="0" w:line="240" w:lineRule="auto"/>
        <w:ind w:firstLine="567"/>
        <w:jc w:val="both"/>
        <w:rPr>
          <w:rFonts w:ascii="Times New Roman" w:hAnsi="Times New Roman" w:cs="Times New Roman"/>
          <w:b/>
          <w:sz w:val="28"/>
          <w:szCs w:val="28"/>
          <w:lang w:eastAsia="zh-CN"/>
        </w:rPr>
      </w:pPr>
      <w:r>
        <w:rPr>
          <w:rFonts w:ascii="Times New Roman" w:hAnsi="Times New Roman" w:cs="Times New Roman"/>
          <w:b/>
          <w:sz w:val="28"/>
          <w:szCs w:val="28"/>
          <w:lang w:eastAsia="zh-CN"/>
        </w:rPr>
        <w:t xml:space="preserve">2.5 Статистический метод обработки </w:t>
      </w:r>
    </w:p>
    <w:p w:rsidR="00A75A8D" w:rsidRDefault="008A6A51">
      <w:pPr>
        <w:spacing w:after="0" w:line="240" w:lineRule="auto"/>
        <w:ind w:firstLine="567"/>
        <w:jc w:val="both"/>
        <w:rPr>
          <w:rFonts w:ascii="Times New Roman" w:hAnsi="Times New Roman" w:cs="Times New Roman"/>
          <w:sz w:val="28"/>
          <w:szCs w:val="28"/>
          <w:lang w:eastAsia="zh-CN"/>
        </w:rPr>
      </w:pPr>
      <w:r>
        <w:rPr>
          <w:rFonts w:ascii="Times New Roman" w:hAnsi="Times New Roman" w:cs="Times New Roman"/>
          <w:sz w:val="28"/>
          <w:szCs w:val="28"/>
          <w:lang w:eastAsia="zh-CN"/>
        </w:rPr>
        <w:lastRenderedPageBreak/>
        <w:t>Все данные</w:t>
      </w:r>
      <w:r>
        <w:rPr>
          <w:rFonts w:ascii="Times New Roman" w:hAnsi="Times New Roman" w:cs="Times New Roman"/>
          <w:color w:val="FF0000"/>
          <w:sz w:val="28"/>
          <w:szCs w:val="28"/>
          <w:lang w:eastAsia="zh-CN"/>
        </w:rPr>
        <w:t xml:space="preserve"> </w:t>
      </w:r>
      <w:r>
        <w:rPr>
          <w:rFonts w:ascii="Times New Roman" w:hAnsi="Times New Roman" w:cs="Times New Roman"/>
          <w:sz w:val="28"/>
          <w:szCs w:val="28"/>
          <w:lang w:eastAsia="zh-CN"/>
        </w:rPr>
        <w:t xml:space="preserve">проанализированы с использованием SPSS ver. 27 программное обеспечение для Windows, разработанное StatSoft Inc. </w:t>
      </w:r>
    </w:p>
    <w:p w:rsidR="00A75A8D" w:rsidRDefault="008A6A51">
      <w:pPr>
        <w:spacing w:after="0" w:line="240" w:lineRule="auto"/>
        <w:ind w:firstLine="567"/>
        <w:jc w:val="both"/>
        <w:rPr>
          <w:rFonts w:ascii="Times New Roman" w:hAnsi="Times New Roman" w:cs="Times New Roman"/>
          <w:sz w:val="28"/>
          <w:szCs w:val="28"/>
          <w:lang w:eastAsia="zh-CN"/>
        </w:rPr>
      </w:pPr>
      <w:r>
        <w:rPr>
          <w:rFonts w:ascii="Times New Roman" w:hAnsi="Times New Roman" w:cs="Times New Roman"/>
          <w:sz w:val="28"/>
          <w:szCs w:val="28"/>
          <w:lang w:val="kk-KZ" w:eastAsia="zh-CN"/>
        </w:rPr>
        <w:t>При описании эпидемиологических показателей</w:t>
      </w:r>
      <w:r>
        <w:rPr>
          <w:rFonts w:ascii="Times New Roman" w:hAnsi="Times New Roman" w:cs="Times New Roman"/>
          <w:sz w:val="28"/>
          <w:szCs w:val="28"/>
          <w:lang w:eastAsia="zh-CN"/>
        </w:rPr>
        <w:t>,</w:t>
      </w:r>
      <w:r>
        <w:rPr>
          <w:rFonts w:ascii="Times New Roman" w:hAnsi="Times New Roman" w:cs="Times New Roman"/>
          <w:sz w:val="28"/>
          <w:szCs w:val="28"/>
          <w:lang w:val="kk-KZ" w:eastAsia="zh-CN"/>
        </w:rPr>
        <w:t xml:space="preserve"> </w:t>
      </w:r>
      <w:r>
        <w:rPr>
          <w:rFonts w:ascii="Times New Roman" w:hAnsi="Times New Roman" w:cs="Times New Roman"/>
          <w:sz w:val="28"/>
          <w:szCs w:val="28"/>
          <w:lang w:eastAsia="zh-CN"/>
        </w:rPr>
        <w:t>п</w:t>
      </w:r>
      <w:r>
        <w:rPr>
          <w:rFonts w:ascii="Times New Roman" w:hAnsi="Times New Roman" w:cs="Times New Roman"/>
          <w:sz w:val="28"/>
          <w:szCs w:val="28"/>
          <w:lang w:val="kk-KZ" w:eastAsia="zh-CN"/>
        </w:rPr>
        <w:t>оказатели</w:t>
      </w:r>
      <w:r>
        <w:rPr>
          <w:rFonts w:ascii="Times New Roman" w:hAnsi="Times New Roman" w:cs="Times New Roman"/>
          <w:sz w:val="28"/>
          <w:szCs w:val="28"/>
          <w:lang w:eastAsia="zh-CN"/>
        </w:rPr>
        <w:t xml:space="preserve"> заболеваемости и смертности стандартизированы прямым методом, и использованием Стандартного мирового насел</w:t>
      </w:r>
      <w:r>
        <w:rPr>
          <w:rFonts w:ascii="Times New Roman" w:eastAsia="SimSun" w:hAnsi="Times New Roman" w:cs="Times New Roman"/>
          <w:color w:val="000000"/>
          <w:sz w:val="28"/>
          <w:szCs w:val="28"/>
          <w:lang w:eastAsia="zh-CN" w:bidi="ar"/>
        </w:rPr>
        <w:t xml:space="preserve">ения по ВОЗ и Европейского стандартного населения. Стандартизированные по возрасту и полу показатели заболеваемости и смертности были рассчитаны для </w:t>
      </w:r>
      <w:r>
        <w:rPr>
          <w:rFonts w:ascii="Times New Roman" w:eastAsia="SimSun" w:hAnsi="Times New Roman" w:cs="Times New Roman"/>
          <w:color w:val="000000"/>
          <w:sz w:val="28"/>
          <w:szCs w:val="28"/>
          <w:lang w:eastAsia="zh-CN" w:bidi="ar"/>
        </w:rPr>
        <w:t>каждого региона РК. Динамика изменения эпидемиол</w:t>
      </w:r>
      <w:r>
        <w:rPr>
          <w:rFonts w:ascii="Times New Roman" w:hAnsi="Times New Roman" w:cs="Times New Roman"/>
          <w:sz w:val="28"/>
          <w:szCs w:val="28"/>
          <w:lang w:eastAsia="zh-CN"/>
        </w:rPr>
        <w:t>огических показателей представлена в виде регрессионного анализа с расчетом коэффициента достоверности аппроксимации.</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eastAsia="zh-CN"/>
        </w:rPr>
        <w:t>Для описательной статистики выборки применялись такие показатели как среднее арифметическо</w:t>
      </w:r>
      <w:r>
        <w:rPr>
          <w:rFonts w:ascii="Times New Roman" w:hAnsi="Times New Roman" w:cs="Times New Roman"/>
          <w:sz w:val="28"/>
          <w:szCs w:val="28"/>
          <w:lang w:eastAsia="zh-CN"/>
        </w:rPr>
        <w:t>е, медиана, стандартное отклонение, дисперсия. Для сравнения средних значений стандартизированных показателей заболеваемости и смертности среди мужчин и женщин в возрастных группах использовался непарный критерий Стьюдента. Для изучения взаимосвязи распред</w:t>
      </w:r>
      <w:r>
        <w:rPr>
          <w:rFonts w:ascii="Times New Roman" w:hAnsi="Times New Roman" w:cs="Times New Roman"/>
          <w:sz w:val="28"/>
          <w:szCs w:val="28"/>
          <w:lang w:eastAsia="zh-CN"/>
        </w:rPr>
        <w:t>еления выявленных узлов при проведении низкодозной компьютерной томографии по категориям классификации Lung-RADS с такими факторами как пол, возраст и семейный анамнез нами проведен статистический анализ данных показателей с использованием критерия хи-квад</w:t>
      </w:r>
      <w:r>
        <w:rPr>
          <w:rFonts w:ascii="Times New Roman" w:hAnsi="Times New Roman" w:cs="Times New Roman"/>
          <w:sz w:val="28"/>
          <w:szCs w:val="28"/>
          <w:lang w:eastAsia="zh-CN"/>
        </w:rPr>
        <w:t>рат.</w:t>
      </w:r>
    </w:p>
    <w:p w:rsidR="00A75A8D" w:rsidRDefault="008A6A51">
      <w:pPr>
        <w:tabs>
          <w:tab w:val="left" w:pos="142"/>
        </w:tabs>
        <w:spacing w:after="0" w:line="240" w:lineRule="auto"/>
        <w:ind w:firstLine="567"/>
        <w:jc w:val="both"/>
        <w:rPr>
          <w:rFonts w:ascii="Times New Roman" w:hAnsi="Times New Roman" w:cs="Times New Roman"/>
          <w:sz w:val="28"/>
          <w:szCs w:val="28"/>
          <w:lang w:eastAsia="zh-CN"/>
        </w:rPr>
      </w:pPr>
      <w:r>
        <w:rPr>
          <w:rFonts w:ascii="Times New Roman" w:hAnsi="Times New Roman" w:cs="Times New Roman"/>
          <w:sz w:val="28"/>
          <w:szCs w:val="28"/>
          <w:lang w:eastAsia="zh-CN"/>
        </w:rPr>
        <w:t>При сравнении данных в двух или более независимых групп проведена проверка нормальности выборок с помощью критерия Шапиро-Уилка. Для оценки достоверности различий между показателями использованы критерии Манна-Уитни, а также критерий Стьюдента для неп</w:t>
      </w:r>
      <w:r>
        <w:rPr>
          <w:rFonts w:ascii="Times New Roman" w:hAnsi="Times New Roman" w:cs="Times New Roman"/>
          <w:sz w:val="28"/>
          <w:szCs w:val="28"/>
          <w:lang w:eastAsia="zh-CN"/>
        </w:rPr>
        <w:t xml:space="preserve">арных выборок с нормальным распределением. Для изучения силы связи между признаками применялся критерий корреляция Пирсона. </w:t>
      </w:r>
    </w:p>
    <w:p w:rsidR="00A75A8D" w:rsidRDefault="008A6A51">
      <w:pPr>
        <w:spacing w:after="0" w:line="240" w:lineRule="auto"/>
        <w:ind w:firstLine="567"/>
        <w:jc w:val="both"/>
        <w:rPr>
          <w:rFonts w:ascii="Times New Roman" w:hAnsi="Times New Roman" w:cs="Times New Roman"/>
          <w:sz w:val="28"/>
          <w:szCs w:val="28"/>
          <w:lang w:eastAsia="zh-CN"/>
        </w:rPr>
      </w:pPr>
      <w:r>
        <w:rPr>
          <w:rFonts w:ascii="Times New Roman" w:hAnsi="Times New Roman" w:cs="Times New Roman"/>
          <w:sz w:val="28"/>
          <w:szCs w:val="28"/>
          <w:lang w:eastAsia="zh-CN"/>
        </w:rPr>
        <w:t>Произведена оценка информативности метода с определением чувствительности, специфичности, положительной прогностической значимости,</w:t>
      </w:r>
      <w:r>
        <w:rPr>
          <w:rFonts w:ascii="Times New Roman" w:hAnsi="Times New Roman" w:cs="Times New Roman"/>
          <w:sz w:val="28"/>
          <w:szCs w:val="28"/>
          <w:lang w:eastAsia="zh-CN"/>
        </w:rPr>
        <w:t xml:space="preserve"> отрицательной прогностической значимости. </w:t>
      </w:r>
    </w:p>
    <w:p w:rsidR="00A75A8D" w:rsidRDefault="008A6A51">
      <w:pPr>
        <w:spacing w:after="0" w:line="240" w:lineRule="auto"/>
        <w:ind w:firstLine="567"/>
        <w:jc w:val="both"/>
        <w:rPr>
          <w:rFonts w:ascii="Times New Roman" w:hAnsi="Times New Roman" w:cs="Times New Roman"/>
          <w:sz w:val="28"/>
          <w:szCs w:val="28"/>
          <w:lang w:eastAsia="zh-CN"/>
        </w:rPr>
      </w:pPr>
      <w:r>
        <w:rPr>
          <w:rFonts w:ascii="Times New Roman" w:hAnsi="Times New Roman" w:cs="Times New Roman"/>
          <w:sz w:val="28"/>
          <w:szCs w:val="28"/>
          <w:lang w:eastAsia="zh-CN"/>
        </w:rPr>
        <w:t>Оценка риска выявления рака легкого между группами курильщиков в анамнезе определялась по соотношению шансов (OR). Тест хи-квадрат применялся для оценки статистической разницы между категориальными паттернами. Зн</w:t>
      </w:r>
      <w:r>
        <w:rPr>
          <w:rFonts w:ascii="Times New Roman" w:hAnsi="Times New Roman" w:cs="Times New Roman"/>
          <w:sz w:val="28"/>
          <w:szCs w:val="28"/>
          <w:lang w:eastAsia="zh-CN"/>
        </w:rPr>
        <w:t>ачения p &lt;0,05 считались значимыми.</w:t>
      </w:r>
    </w:p>
    <w:p w:rsidR="00A75A8D" w:rsidRDefault="00A75A8D">
      <w:pPr>
        <w:spacing w:after="0" w:line="240" w:lineRule="auto"/>
        <w:ind w:firstLine="567"/>
        <w:jc w:val="both"/>
        <w:rPr>
          <w:rFonts w:ascii="Times New Roman" w:hAnsi="Times New Roman" w:cs="Times New Roman"/>
          <w:sz w:val="28"/>
          <w:szCs w:val="28"/>
        </w:rPr>
      </w:pPr>
    </w:p>
    <w:p w:rsidR="00A75A8D" w:rsidRDefault="008A6A51">
      <w:pPr>
        <w:spacing w:after="0" w:line="240" w:lineRule="auto"/>
        <w:ind w:firstLine="567"/>
        <w:jc w:val="both"/>
        <w:rPr>
          <w:rFonts w:ascii="Times New Roman" w:hAnsi="Times New Roman" w:cs="Times New Roman"/>
          <w:b/>
          <w:sz w:val="28"/>
          <w:szCs w:val="28"/>
          <w:lang w:eastAsia="zh-CN"/>
        </w:rPr>
      </w:pPr>
      <w:r>
        <w:rPr>
          <w:rFonts w:ascii="Times New Roman" w:hAnsi="Times New Roman" w:cs="Times New Roman"/>
          <w:b/>
          <w:sz w:val="28"/>
          <w:szCs w:val="28"/>
        </w:rPr>
        <w:t>2.6 Оц</w:t>
      </w:r>
      <w:r>
        <w:rPr>
          <w:rFonts w:ascii="Times New Roman" w:hAnsi="Times New Roman" w:cs="Times New Roman"/>
          <w:b/>
          <w:sz w:val="28"/>
          <w:szCs w:val="28"/>
          <w:lang w:eastAsia="zh-CN"/>
        </w:rPr>
        <w:t>енка комиссии по этике</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eastAsia="zh-CN"/>
        </w:rPr>
        <w:t>В соотв</w:t>
      </w:r>
      <w:r>
        <w:rPr>
          <w:rFonts w:ascii="Times New Roman" w:hAnsi="Times New Roman" w:cs="Times New Roman"/>
          <w:sz w:val="28"/>
          <w:szCs w:val="28"/>
        </w:rPr>
        <w:t>етствии с Хельсинской декларацией, для проведения диссертационного исследования было получено разрешение локального этического комитета при Казахском национальном медицинском универси</w:t>
      </w:r>
      <w:r>
        <w:rPr>
          <w:rFonts w:ascii="Times New Roman" w:hAnsi="Times New Roman" w:cs="Times New Roman"/>
          <w:sz w:val="28"/>
          <w:szCs w:val="28"/>
        </w:rPr>
        <w:t>тете имени С.Д. Асфендиярова, номер протокола заседания №7 (71) от 11.06.2018г. (приложение Е). Форма добровольного информированного согласия подписана всеми участниками.</w:t>
      </w:r>
    </w:p>
    <w:p w:rsidR="00A75A8D" w:rsidRDefault="00A75A8D">
      <w:pPr>
        <w:spacing w:after="0" w:line="240" w:lineRule="auto"/>
        <w:ind w:firstLine="567"/>
        <w:jc w:val="both"/>
        <w:rPr>
          <w:rFonts w:ascii="Times New Roman" w:hAnsi="Times New Roman" w:cs="Times New Roman"/>
          <w:sz w:val="28"/>
          <w:szCs w:val="28"/>
        </w:rPr>
      </w:pPr>
    </w:p>
    <w:p w:rsidR="00A75A8D" w:rsidRDefault="00A75A8D">
      <w:pPr>
        <w:spacing w:after="0" w:line="240" w:lineRule="auto"/>
        <w:ind w:firstLine="567"/>
        <w:jc w:val="both"/>
        <w:rPr>
          <w:rFonts w:ascii="Times New Roman" w:hAnsi="Times New Roman" w:cs="Times New Roman"/>
          <w:sz w:val="28"/>
          <w:szCs w:val="28"/>
        </w:rPr>
      </w:pPr>
    </w:p>
    <w:p w:rsidR="00A75A8D" w:rsidRDefault="008A6A51">
      <w:pPr>
        <w:pStyle w:val="1"/>
        <w:numPr>
          <w:ilvl w:val="0"/>
          <w:numId w:val="0"/>
        </w:numPr>
        <w:spacing w:before="0" w:line="240" w:lineRule="auto"/>
        <w:ind w:firstLine="567"/>
        <w:jc w:val="both"/>
        <w:rPr>
          <w:rFonts w:ascii="Times New Roman" w:hAnsi="Times New Roman" w:cs="Times New Roman"/>
          <w:b/>
        </w:rPr>
      </w:pPr>
      <w:bookmarkStart w:id="19" w:name="_Toc186925738"/>
      <w:r>
        <w:rPr>
          <w:rFonts w:ascii="Times New Roman" w:hAnsi="Times New Roman" w:cs="Times New Roman"/>
          <w:b/>
          <w:color w:val="auto"/>
          <w:sz w:val="28"/>
        </w:rPr>
        <w:t>3 РЕЗУЛЬТАТЫ СОБСТВЕННЫХ ИССЛЕДОВАНИЙ</w:t>
      </w:r>
      <w:bookmarkEnd w:id="19"/>
    </w:p>
    <w:p w:rsidR="00A75A8D" w:rsidRDefault="00A75A8D">
      <w:pPr>
        <w:pStyle w:val="af3"/>
      </w:pPr>
    </w:p>
    <w:p w:rsidR="00A75A8D" w:rsidRDefault="008A6A51">
      <w:pPr>
        <w:pStyle w:val="af4"/>
        <w:spacing w:after="0" w:line="240" w:lineRule="auto"/>
        <w:ind w:right="-2" w:firstLine="567"/>
        <w:jc w:val="left"/>
        <w:rPr>
          <w:rFonts w:ascii="Times New Roman" w:hAnsi="Times New Roman"/>
          <w:b/>
          <w:sz w:val="28"/>
        </w:rPr>
      </w:pPr>
      <w:bookmarkStart w:id="20" w:name="_Toc186925739"/>
      <w:r>
        <w:rPr>
          <w:rFonts w:ascii="Times New Roman" w:hAnsi="Times New Roman"/>
          <w:b/>
          <w:sz w:val="28"/>
        </w:rPr>
        <w:lastRenderedPageBreak/>
        <w:t xml:space="preserve">3.1 </w:t>
      </w:r>
      <w:r>
        <w:rPr>
          <w:rFonts w:ascii="Times New Roman" w:hAnsi="Times New Roman"/>
          <w:b/>
          <w:color w:val="000000" w:themeColor="text1"/>
          <w:sz w:val="28"/>
        </w:rPr>
        <w:t xml:space="preserve">Эпидемиологические аспекты </w:t>
      </w:r>
      <w:r>
        <w:rPr>
          <w:rFonts w:ascii="Times New Roman" w:hAnsi="Times New Roman"/>
          <w:b/>
          <w:sz w:val="28"/>
        </w:rPr>
        <w:t>заболеваемости и смертности от рака легкого в Казахстане</w:t>
      </w:r>
      <w:bookmarkEnd w:id="20"/>
    </w:p>
    <w:p w:rsidR="00A75A8D" w:rsidRDefault="008A6A51">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 целью изучения динамики заболеваемости и смертности от рака легкого в РК нами проведен анализ статистических показателей за 2009-2018 годы по данным показателей онкологической службы и электронного</w:t>
      </w:r>
      <w:r>
        <w:rPr>
          <w:rFonts w:ascii="Times New Roman" w:hAnsi="Times New Roman" w:cs="Times New Roman"/>
          <w:color w:val="000000" w:themeColor="text1"/>
          <w:sz w:val="28"/>
          <w:szCs w:val="28"/>
        </w:rPr>
        <w:t xml:space="preserve"> регистра онкологических больных. </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Проведенный анализ показал, что рак легкого за изучаемый период занимает </w:t>
      </w:r>
      <w:r>
        <w:rPr>
          <w:rFonts w:ascii="Times New Roman" w:hAnsi="Times New Roman" w:cs="Times New Roman"/>
          <w:color w:val="000000" w:themeColor="text1"/>
          <w:sz w:val="28"/>
          <w:szCs w:val="28"/>
        </w:rPr>
        <w:t xml:space="preserve">лидирующие позиции </w:t>
      </w:r>
      <w:r>
        <w:rPr>
          <w:rFonts w:ascii="Times New Roman" w:hAnsi="Times New Roman" w:cs="Times New Roman"/>
          <w:sz w:val="28"/>
          <w:szCs w:val="28"/>
        </w:rPr>
        <w:t xml:space="preserve">в структуре заболеваемости злокачественными новообразованиями среди обоих полов (рисунок 6). </w:t>
      </w:r>
    </w:p>
    <w:p w:rsidR="00A75A8D" w:rsidRDefault="00A75A8D">
      <w:pPr>
        <w:spacing w:after="0" w:line="240" w:lineRule="auto"/>
        <w:ind w:firstLine="567"/>
        <w:jc w:val="both"/>
        <w:rPr>
          <w:rFonts w:ascii="Times New Roman" w:hAnsi="Times New Roman" w:cs="Times New Roman"/>
          <w:sz w:val="28"/>
          <w:szCs w:val="28"/>
        </w:rPr>
      </w:pPr>
    </w:p>
    <w:p w:rsidR="00A75A8D" w:rsidRDefault="008A6A51">
      <w:pPr>
        <w:spacing w:after="0" w:line="240" w:lineRule="auto"/>
        <w:ind w:firstLine="567"/>
        <w:jc w:val="both"/>
        <w:rPr>
          <w:rFonts w:ascii="Times New Roman" w:hAnsi="Times New Roman" w:cs="Times New Roman"/>
          <w:color w:val="4F81BD" w:themeColor="accent1"/>
          <w:sz w:val="28"/>
          <w:szCs w:val="28"/>
        </w:rPr>
      </w:pPr>
      <w:r>
        <w:rPr>
          <w:noProof/>
          <w:lang w:eastAsia="ru-RU"/>
        </w:rPr>
        <w:drawing>
          <wp:inline distT="0" distB="0" distL="0" distR="0">
            <wp:extent cx="5266690" cy="3119120"/>
            <wp:effectExtent l="0" t="0" r="10160" b="508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A75A8D" w:rsidRDefault="00A75A8D">
      <w:pPr>
        <w:spacing w:after="0" w:line="240" w:lineRule="auto"/>
        <w:ind w:firstLine="567"/>
        <w:jc w:val="both"/>
        <w:rPr>
          <w:rFonts w:ascii="Times New Roman" w:hAnsi="Times New Roman" w:cs="Times New Roman"/>
          <w:color w:val="000000" w:themeColor="text1"/>
          <w:sz w:val="28"/>
          <w:szCs w:val="28"/>
        </w:rPr>
      </w:pPr>
    </w:p>
    <w:p w:rsidR="00A75A8D" w:rsidRDefault="008A6A51">
      <w:pPr>
        <w:spacing w:after="0" w:line="240" w:lineRule="auto"/>
        <w:jc w:val="center"/>
        <w:rPr>
          <w:rFonts w:ascii="Times New Roman" w:hAnsi="Times New Roman" w:cs="Times New Roman"/>
          <w:sz w:val="28"/>
          <w:szCs w:val="28"/>
        </w:rPr>
      </w:pPr>
      <w:r>
        <w:rPr>
          <w:rFonts w:ascii="Times New Roman" w:hAnsi="Times New Roman" w:cs="Times New Roman"/>
          <w:color w:val="000000" w:themeColor="text1"/>
          <w:sz w:val="28"/>
          <w:szCs w:val="28"/>
        </w:rPr>
        <w:t xml:space="preserve">Рисунок 6 - Рак легкого </w:t>
      </w:r>
      <w:r>
        <w:rPr>
          <w:rFonts w:ascii="Times New Roman" w:hAnsi="Times New Roman" w:cs="Times New Roman"/>
          <w:sz w:val="28"/>
          <w:szCs w:val="28"/>
        </w:rPr>
        <w:t xml:space="preserve">в структуре </w:t>
      </w:r>
      <w:r>
        <w:rPr>
          <w:rFonts w:ascii="Times New Roman" w:hAnsi="Times New Roman" w:cs="Times New Roman"/>
          <w:color w:val="000000" w:themeColor="text1"/>
          <w:sz w:val="28"/>
          <w:szCs w:val="28"/>
        </w:rPr>
        <w:t>заболеваемости от злокачественных новообразований в РК за 2009-2018 годы (по рангам</w:t>
      </w:r>
      <w:r>
        <w:rPr>
          <w:rFonts w:ascii="Times New Roman" w:hAnsi="Times New Roman" w:cs="Times New Roman"/>
          <w:sz w:val="28"/>
          <w:szCs w:val="28"/>
        </w:rPr>
        <w:t>)</w:t>
      </w:r>
    </w:p>
    <w:p w:rsidR="00A75A8D" w:rsidRDefault="00A75A8D">
      <w:pPr>
        <w:spacing w:after="0" w:line="240" w:lineRule="auto"/>
        <w:jc w:val="center"/>
        <w:rPr>
          <w:rFonts w:ascii="Times New Roman" w:hAnsi="Times New Roman" w:cs="Times New Roman"/>
          <w:sz w:val="28"/>
          <w:szCs w:val="28"/>
        </w:rPr>
      </w:pP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color w:val="000000" w:themeColor="text1"/>
          <w:sz w:val="28"/>
          <w:szCs w:val="28"/>
        </w:rPr>
        <w:t xml:space="preserve">Как видно на рисунке 6, рак легкого в структуре заболеваемости злокачественными новообразованиями среди обоих полов занимал первое место в 2009 и 2010 годах, </w:t>
      </w:r>
      <w:r>
        <w:rPr>
          <w:rFonts w:ascii="Times New Roman" w:hAnsi="Times New Roman" w:cs="Times New Roman"/>
          <w:sz w:val="28"/>
          <w:szCs w:val="28"/>
        </w:rPr>
        <w:t xml:space="preserve">с последующим </w:t>
      </w:r>
      <w:r>
        <w:rPr>
          <w:rFonts w:ascii="Times New Roman" w:hAnsi="Times New Roman" w:cs="Times New Roman"/>
          <w:color w:val="000000" w:themeColor="text1"/>
          <w:sz w:val="28"/>
          <w:szCs w:val="28"/>
        </w:rPr>
        <w:t xml:space="preserve">переходом </w:t>
      </w:r>
      <w:r>
        <w:rPr>
          <w:rFonts w:ascii="Times New Roman" w:hAnsi="Times New Roman" w:cs="Times New Roman"/>
          <w:sz w:val="28"/>
          <w:szCs w:val="28"/>
        </w:rPr>
        <w:t>на второе место до конца исследуемого периода с 2011 по 2018 годы. При изучении заболеваемости раком легкого в зависимости от пола, в мужской популяции показатель заболеваемости среди всех нозологических форм рака находился на перво</w:t>
      </w:r>
      <w:r>
        <w:rPr>
          <w:rFonts w:ascii="Times New Roman" w:hAnsi="Times New Roman" w:cs="Times New Roman"/>
          <w:sz w:val="28"/>
          <w:szCs w:val="28"/>
        </w:rPr>
        <w:t xml:space="preserve">м месте с 2009 по 2018 год, в то время как ранг среди женской популяции менялся с 6 места в 2012 году до 10 в 2014 году.     </w:t>
      </w:r>
    </w:p>
    <w:p w:rsidR="00A75A8D" w:rsidRDefault="008A6A51">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sz w:val="28"/>
          <w:szCs w:val="28"/>
        </w:rPr>
        <w:t xml:space="preserve">Нами проведен анализ структуры заболеваемости злокачественными новообразованиями </w:t>
      </w:r>
      <w:r>
        <w:rPr>
          <w:rFonts w:ascii="Times New Roman" w:hAnsi="Times New Roman" w:cs="Times New Roman"/>
          <w:color w:val="000000" w:themeColor="text1"/>
          <w:sz w:val="28"/>
          <w:szCs w:val="28"/>
        </w:rPr>
        <w:t xml:space="preserve">среди </w:t>
      </w:r>
      <w:r>
        <w:rPr>
          <w:rFonts w:ascii="Times New Roman" w:eastAsia="SimSun" w:hAnsi="Times New Roman" w:cs="Times New Roman"/>
          <w:color w:val="000000"/>
          <w:sz w:val="28"/>
          <w:szCs w:val="28"/>
          <w:lang w:eastAsia="zh-CN" w:bidi="ar"/>
        </w:rPr>
        <w:t xml:space="preserve">обоих </w:t>
      </w:r>
      <w:r>
        <w:rPr>
          <w:rFonts w:ascii="Times New Roman" w:hAnsi="Times New Roman" w:cs="Times New Roman"/>
          <w:color w:val="000000" w:themeColor="text1"/>
          <w:sz w:val="28"/>
          <w:szCs w:val="28"/>
        </w:rPr>
        <w:t>полов по статистическим данным 2018 г</w:t>
      </w:r>
      <w:r>
        <w:rPr>
          <w:rFonts w:ascii="Times New Roman" w:hAnsi="Times New Roman" w:cs="Times New Roman"/>
          <w:color w:val="000000" w:themeColor="text1"/>
          <w:sz w:val="28"/>
          <w:szCs w:val="28"/>
        </w:rPr>
        <w:t>ода</w:t>
      </w:r>
      <w:r>
        <w:rPr>
          <w:rFonts w:ascii="Times New Roman" w:hAnsi="Times New Roman" w:cs="Times New Roman"/>
          <w:color w:val="FF0000"/>
          <w:sz w:val="28"/>
          <w:szCs w:val="28"/>
        </w:rPr>
        <w:t xml:space="preserve"> </w:t>
      </w:r>
      <w:r>
        <w:rPr>
          <w:rFonts w:ascii="Times New Roman" w:hAnsi="Times New Roman" w:cs="Times New Roman"/>
          <w:color w:val="000000" w:themeColor="text1"/>
          <w:sz w:val="28"/>
          <w:szCs w:val="28"/>
        </w:rPr>
        <w:t xml:space="preserve">(рисунок 7). </w:t>
      </w:r>
    </w:p>
    <w:p w:rsidR="00A75A8D" w:rsidRDefault="00A75A8D">
      <w:pPr>
        <w:spacing w:after="0" w:line="240" w:lineRule="auto"/>
        <w:ind w:right="425"/>
        <w:jc w:val="both"/>
        <w:rPr>
          <w:rFonts w:ascii="Times New Roman" w:eastAsia="Times New Roman" w:hAnsi="Times New Roman"/>
          <w:sz w:val="28"/>
          <w:szCs w:val="28"/>
        </w:rPr>
      </w:pPr>
    </w:p>
    <w:p w:rsidR="00A75A8D" w:rsidRDefault="008A6A51">
      <w:pPr>
        <w:spacing w:after="0" w:line="240" w:lineRule="auto"/>
        <w:ind w:firstLine="567"/>
        <w:jc w:val="both"/>
        <w:rPr>
          <w:rFonts w:ascii="Times New Roman" w:hAnsi="Times New Roman" w:cs="Times New Roman"/>
          <w:color w:val="FF0000"/>
          <w:sz w:val="28"/>
          <w:szCs w:val="28"/>
        </w:rPr>
      </w:pPr>
      <w:r>
        <w:rPr>
          <w:noProof/>
          <w:lang w:eastAsia="ru-RU"/>
        </w:rPr>
        <w:lastRenderedPageBreak/>
        <w:drawing>
          <wp:inline distT="0" distB="0" distL="114300" distR="114300">
            <wp:extent cx="5782310" cy="2466975"/>
            <wp:effectExtent l="4445" t="4445" r="23495" b="5080"/>
            <wp:docPr id="18"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A75A8D" w:rsidRDefault="00A75A8D">
      <w:pPr>
        <w:spacing w:after="0" w:line="240" w:lineRule="auto"/>
        <w:ind w:firstLine="567"/>
        <w:jc w:val="both"/>
        <w:rPr>
          <w:rFonts w:ascii="Times New Roman" w:hAnsi="Times New Roman" w:cs="Times New Roman"/>
          <w:color w:val="FF0000"/>
          <w:sz w:val="28"/>
          <w:szCs w:val="28"/>
        </w:rPr>
      </w:pPr>
    </w:p>
    <w:p w:rsidR="00A75A8D" w:rsidRDefault="008A6A51">
      <w:pPr>
        <w:spacing w:after="0" w:line="240" w:lineRule="auto"/>
        <w:ind w:right="41" w:firstLine="567"/>
        <w:jc w:val="center"/>
        <w:rPr>
          <w:rFonts w:ascii="Times New Roman" w:eastAsia="Times New Roman" w:hAnsi="Times New Roman"/>
          <w:sz w:val="28"/>
          <w:szCs w:val="28"/>
        </w:rPr>
      </w:pPr>
      <w:r>
        <w:rPr>
          <w:rFonts w:ascii="Times New Roman" w:eastAsia="Times New Roman" w:hAnsi="Times New Roman"/>
          <w:sz w:val="28"/>
          <w:szCs w:val="28"/>
        </w:rPr>
        <w:t xml:space="preserve">Рисунок 7 – </w:t>
      </w:r>
      <w:r>
        <w:rPr>
          <w:rFonts w:ascii="Times New Roman" w:hAnsi="Times New Roman"/>
          <w:sz w:val="28"/>
          <w:szCs w:val="20"/>
          <w:shd w:val="clear" w:color="auto" w:fill="FFFFFF"/>
        </w:rPr>
        <w:t>Распределение</w:t>
      </w:r>
      <w:r>
        <w:rPr>
          <w:rFonts w:ascii="Times New Roman" w:hAnsi="Times New Roman"/>
          <w:sz w:val="28"/>
          <w:szCs w:val="20"/>
        </w:rPr>
        <w:t xml:space="preserve"> злокачественных новообразований в РК</w:t>
      </w:r>
      <w:r>
        <w:rPr>
          <w:rFonts w:ascii="Times New Roman" w:hAnsi="Times New Roman"/>
          <w:sz w:val="28"/>
          <w:szCs w:val="20"/>
          <w:shd w:val="clear" w:color="auto" w:fill="FFFFFF"/>
        </w:rPr>
        <w:t xml:space="preserve"> </w:t>
      </w:r>
      <w:r>
        <w:rPr>
          <w:rFonts w:ascii="Times New Roman" w:hAnsi="Times New Roman"/>
          <w:sz w:val="28"/>
          <w:szCs w:val="20"/>
        </w:rPr>
        <w:t xml:space="preserve">за 2018 год по локализациям </w:t>
      </w:r>
      <w:r>
        <w:rPr>
          <w:rFonts w:ascii="Times New Roman" w:hAnsi="Times New Roman"/>
          <w:sz w:val="28"/>
          <w:szCs w:val="20"/>
          <w:shd w:val="clear" w:color="auto" w:fill="FFFFFF"/>
        </w:rPr>
        <w:t>(оба пола, %)</w:t>
      </w:r>
    </w:p>
    <w:p w:rsidR="00A75A8D" w:rsidRDefault="00A75A8D">
      <w:pPr>
        <w:spacing w:after="0" w:line="240" w:lineRule="auto"/>
        <w:jc w:val="both"/>
        <w:rPr>
          <w:rFonts w:ascii="Times New Roman" w:hAnsi="Times New Roman" w:cs="Times New Roman"/>
          <w:sz w:val="28"/>
          <w:szCs w:val="28"/>
        </w:rPr>
      </w:pPr>
    </w:p>
    <w:p w:rsidR="00A75A8D" w:rsidRDefault="008A6A51">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Так, по результатам анализа рак легкого, среди обоих полов, является наиболее часто диагностируемым видом злокачественных </w:t>
      </w:r>
      <w:r>
        <w:rPr>
          <w:rFonts w:ascii="Times New Roman" w:hAnsi="Times New Roman" w:cs="Times New Roman"/>
          <w:color w:val="000000" w:themeColor="text1"/>
          <w:sz w:val="28"/>
          <w:szCs w:val="28"/>
        </w:rPr>
        <w:t>новообразований (11,5%) и находится на втором месте после рака молочной железы (15,2%).</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При изучении структуры смертности от злокачественных новообразований рак легкого за анализируемый период так же занимает лидирующие позиции (рисунок 8).</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p>
    <w:p w:rsidR="00A75A8D" w:rsidRDefault="008A6A51">
      <w:pPr>
        <w:spacing w:after="0" w:line="240" w:lineRule="auto"/>
        <w:ind w:firstLine="567"/>
        <w:jc w:val="both"/>
        <w:rPr>
          <w:rFonts w:ascii="Times New Roman" w:hAnsi="Times New Roman" w:cs="Times New Roman"/>
          <w:sz w:val="28"/>
          <w:szCs w:val="28"/>
        </w:rPr>
      </w:pPr>
      <w:r>
        <w:rPr>
          <w:noProof/>
          <w:lang w:eastAsia="ru-RU"/>
        </w:rPr>
        <w:drawing>
          <wp:inline distT="0" distB="0" distL="0" distR="0">
            <wp:extent cx="5171440" cy="2910840"/>
            <wp:effectExtent l="0" t="0" r="10160" b="381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A75A8D" w:rsidRDefault="00A75A8D">
      <w:pPr>
        <w:spacing w:after="0" w:line="240" w:lineRule="auto"/>
        <w:ind w:firstLine="567"/>
        <w:jc w:val="both"/>
        <w:rPr>
          <w:rFonts w:ascii="Times New Roman" w:hAnsi="Times New Roman" w:cs="Times New Roman"/>
          <w:sz w:val="28"/>
          <w:szCs w:val="28"/>
        </w:rPr>
      </w:pPr>
    </w:p>
    <w:p w:rsidR="00A75A8D" w:rsidRDefault="008A6A51">
      <w:pPr>
        <w:spacing w:after="0" w:line="240" w:lineRule="auto"/>
        <w:jc w:val="center"/>
        <w:rPr>
          <w:rFonts w:ascii="Times New Roman" w:hAnsi="Times New Roman" w:cs="Times New Roman"/>
          <w:sz w:val="28"/>
          <w:szCs w:val="28"/>
        </w:rPr>
      </w:pPr>
      <w:r>
        <w:rPr>
          <w:rFonts w:ascii="Times New Roman" w:hAnsi="Times New Roman" w:cs="Times New Roman"/>
          <w:color w:val="000000" w:themeColor="text1"/>
          <w:sz w:val="28"/>
          <w:szCs w:val="28"/>
        </w:rPr>
        <w:t>Рисунок 8</w:t>
      </w:r>
      <w:r>
        <w:rPr>
          <w:rFonts w:ascii="Times New Roman" w:hAnsi="Times New Roman" w:cs="Times New Roman"/>
          <w:color w:val="000000" w:themeColor="text1"/>
          <w:sz w:val="28"/>
          <w:szCs w:val="28"/>
        </w:rPr>
        <w:t xml:space="preserve"> - Рак легкого </w:t>
      </w:r>
      <w:r>
        <w:rPr>
          <w:rFonts w:ascii="Times New Roman" w:hAnsi="Times New Roman" w:cs="Times New Roman"/>
          <w:sz w:val="28"/>
          <w:szCs w:val="28"/>
        </w:rPr>
        <w:t xml:space="preserve">в структуре смертности от злокачественных новообразований в РК за 2009-2018 годы (по рангам) </w:t>
      </w:r>
    </w:p>
    <w:p w:rsidR="00A75A8D" w:rsidRDefault="00A75A8D">
      <w:pPr>
        <w:spacing w:after="0" w:line="240" w:lineRule="auto"/>
        <w:ind w:firstLine="567"/>
        <w:jc w:val="both"/>
        <w:rPr>
          <w:rFonts w:ascii="Times New Roman" w:hAnsi="Times New Roman" w:cs="Times New Roman"/>
          <w:sz w:val="28"/>
          <w:szCs w:val="28"/>
        </w:rPr>
      </w:pP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Согласно данным </w:t>
      </w:r>
      <w:r>
        <w:rPr>
          <w:rFonts w:ascii="Times New Roman" w:hAnsi="Times New Roman" w:cs="Times New Roman"/>
          <w:color w:val="000000" w:themeColor="text1"/>
          <w:sz w:val="28"/>
          <w:szCs w:val="28"/>
        </w:rPr>
        <w:t xml:space="preserve">из </w:t>
      </w:r>
      <w:r>
        <w:rPr>
          <w:rFonts w:ascii="Times New Roman" w:hAnsi="Times New Roman" w:cs="Times New Roman"/>
          <w:sz w:val="28"/>
          <w:szCs w:val="28"/>
        </w:rPr>
        <w:t>рисунка 8, рак легкого занимает первое место в структуре смертности от онкопатологии, как среди обоих полов, так и в мужской по</w:t>
      </w:r>
      <w:r>
        <w:rPr>
          <w:rFonts w:ascii="Times New Roman" w:hAnsi="Times New Roman" w:cs="Times New Roman"/>
          <w:sz w:val="28"/>
          <w:szCs w:val="28"/>
        </w:rPr>
        <w:t xml:space="preserve">пуляции за весь анализируемый период. Среди женщин ранговая </w:t>
      </w:r>
      <w:r>
        <w:rPr>
          <w:rFonts w:ascii="Times New Roman" w:hAnsi="Times New Roman" w:cs="Times New Roman"/>
          <w:sz w:val="28"/>
          <w:szCs w:val="28"/>
        </w:rPr>
        <w:lastRenderedPageBreak/>
        <w:t>принадлежность была не стабильной и колебалась от 5 места в 2009, 2012-213, 2015 и 2017-2018 годах до 7 места в 2010 году.</w:t>
      </w:r>
    </w:p>
    <w:p w:rsidR="00A75A8D" w:rsidRDefault="008A6A51">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Нами так же проведен анализ структуры смертности от злокачественных новоо</w:t>
      </w:r>
      <w:r>
        <w:rPr>
          <w:rFonts w:ascii="Times New Roman" w:hAnsi="Times New Roman" w:cs="Times New Roman"/>
          <w:color w:val="000000" w:themeColor="text1"/>
          <w:sz w:val="28"/>
          <w:szCs w:val="28"/>
        </w:rPr>
        <w:t>бразований среди обоих полов по статистическим данным 2018 года</w:t>
      </w:r>
      <w:r>
        <w:rPr>
          <w:rFonts w:ascii="Times New Roman" w:hAnsi="Times New Roman" w:cs="Times New Roman"/>
          <w:color w:val="FF0000"/>
          <w:sz w:val="28"/>
          <w:szCs w:val="28"/>
        </w:rPr>
        <w:t xml:space="preserve"> </w:t>
      </w:r>
      <w:r>
        <w:rPr>
          <w:rFonts w:ascii="Times New Roman" w:hAnsi="Times New Roman" w:cs="Times New Roman"/>
          <w:color w:val="000000" w:themeColor="text1"/>
          <w:sz w:val="28"/>
          <w:szCs w:val="28"/>
        </w:rPr>
        <w:t xml:space="preserve">(рисунок 9). </w:t>
      </w:r>
    </w:p>
    <w:p w:rsidR="00A75A8D" w:rsidRDefault="00A75A8D">
      <w:pPr>
        <w:spacing w:after="0" w:line="240" w:lineRule="auto"/>
        <w:ind w:firstLine="567"/>
        <w:jc w:val="both"/>
        <w:rPr>
          <w:rFonts w:ascii="Times New Roman" w:hAnsi="Times New Roman" w:cs="Times New Roman"/>
          <w:sz w:val="28"/>
          <w:szCs w:val="28"/>
        </w:rPr>
      </w:pPr>
    </w:p>
    <w:p w:rsidR="00A75A8D" w:rsidRDefault="008A6A51">
      <w:pPr>
        <w:spacing w:after="0" w:line="240" w:lineRule="auto"/>
        <w:ind w:firstLine="567"/>
        <w:jc w:val="both"/>
        <w:rPr>
          <w:rFonts w:ascii="Times New Roman" w:hAnsi="Times New Roman" w:cs="Times New Roman"/>
          <w:sz w:val="28"/>
          <w:szCs w:val="28"/>
        </w:rPr>
      </w:pPr>
      <w:r>
        <w:rPr>
          <w:noProof/>
          <w:lang w:eastAsia="ru-RU"/>
        </w:rPr>
        <w:drawing>
          <wp:inline distT="0" distB="0" distL="114300" distR="114300">
            <wp:extent cx="5722620" cy="2626360"/>
            <wp:effectExtent l="4445" t="4445" r="6985" b="17145"/>
            <wp:docPr id="1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Pr>
          <w:rFonts w:ascii="Times New Roman" w:hAnsi="Times New Roman" w:cs="Times New Roman"/>
          <w:sz w:val="28"/>
          <w:szCs w:val="28"/>
        </w:rPr>
        <w:t xml:space="preserve"> </w:t>
      </w:r>
    </w:p>
    <w:p w:rsidR="00A75A8D" w:rsidRDefault="00A75A8D">
      <w:pPr>
        <w:spacing w:after="0" w:line="240" w:lineRule="auto"/>
        <w:ind w:right="-1"/>
        <w:jc w:val="center"/>
        <w:rPr>
          <w:rFonts w:ascii="Times New Roman" w:eastAsia="Times New Roman" w:hAnsi="Times New Roman"/>
          <w:sz w:val="28"/>
          <w:szCs w:val="28"/>
        </w:rPr>
      </w:pPr>
    </w:p>
    <w:p w:rsidR="00A75A8D" w:rsidRDefault="008A6A51">
      <w:pPr>
        <w:spacing w:after="0" w:line="240" w:lineRule="auto"/>
        <w:ind w:right="-1" w:firstLine="567"/>
        <w:jc w:val="center"/>
        <w:rPr>
          <w:rFonts w:ascii="Times New Roman" w:eastAsia="Times New Roman" w:hAnsi="Times New Roman"/>
          <w:sz w:val="28"/>
          <w:szCs w:val="28"/>
        </w:rPr>
      </w:pPr>
      <w:r>
        <w:rPr>
          <w:rFonts w:ascii="Times New Roman" w:eastAsia="Times New Roman" w:hAnsi="Times New Roman"/>
          <w:sz w:val="28"/>
          <w:szCs w:val="28"/>
        </w:rPr>
        <w:t xml:space="preserve">Рисунок 9 - </w:t>
      </w:r>
      <w:r>
        <w:rPr>
          <w:rFonts w:ascii="Times New Roman" w:hAnsi="Times New Roman"/>
          <w:sz w:val="28"/>
          <w:szCs w:val="20"/>
          <w:shd w:val="clear" w:color="auto" w:fill="FFFFFF"/>
        </w:rPr>
        <w:t xml:space="preserve">Структура смертности от </w:t>
      </w:r>
      <w:r>
        <w:rPr>
          <w:rFonts w:ascii="Times New Roman" w:hAnsi="Times New Roman"/>
          <w:sz w:val="28"/>
          <w:szCs w:val="20"/>
        </w:rPr>
        <w:t>злокачественных новообразований в РК</w:t>
      </w:r>
      <w:r>
        <w:rPr>
          <w:rFonts w:ascii="Times New Roman" w:hAnsi="Times New Roman"/>
          <w:sz w:val="28"/>
          <w:szCs w:val="20"/>
          <w:shd w:val="clear" w:color="auto" w:fill="FFFFFF"/>
        </w:rPr>
        <w:t xml:space="preserve"> </w:t>
      </w:r>
      <w:r>
        <w:rPr>
          <w:rFonts w:ascii="Times New Roman" w:hAnsi="Times New Roman"/>
          <w:sz w:val="28"/>
          <w:szCs w:val="20"/>
        </w:rPr>
        <w:t xml:space="preserve">за 2018 год по локализациям </w:t>
      </w:r>
      <w:r>
        <w:rPr>
          <w:rFonts w:ascii="Times New Roman" w:hAnsi="Times New Roman"/>
          <w:sz w:val="28"/>
          <w:szCs w:val="20"/>
          <w:shd w:val="clear" w:color="auto" w:fill="FFFFFF"/>
        </w:rPr>
        <w:t>(оба пола, %)</w:t>
      </w:r>
    </w:p>
    <w:p w:rsidR="00A75A8D" w:rsidRDefault="00A75A8D">
      <w:pPr>
        <w:spacing w:after="0" w:line="240" w:lineRule="auto"/>
        <w:ind w:firstLine="567"/>
        <w:jc w:val="both"/>
        <w:rPr>
          <w:rFonts w:ascii="Times New Roman" w:hAnsi="Times New Roman" w:cs="Times New Roman"/>
          <w:sz w:val="28"/>
          <w:szCs w:val="28"/>
          <w:highlight w:val="yellow"/>
        </w:rPr>
      </w:pPr>
    </w:p>
    <w:p w:rsidR="00A75A8D" w:rsidRDefault="008A6A51">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Проведенный анализ показал, что рак легкого занимает первое ранговое место в структуре смертности от злокачественных новообразований и составляет 16,2%. </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При изучении показателя заболеваемости раком легкого за 2009-2018 годы среди </w:t>
      </w:r>
      <w:r>
        <w:rPr>
          <w:rFonts w:ascii="Times New Roman" w:hAnsi="Times New Roman" w:cs="Times New Roman"/>
          <w:color w:val="000000" w:themeColor="text1"/>
          <w:sz w:val="28"/>
          <w:szCs w:val="28"/>
        </w:rPr>
        <w:t>обоих полов</w:t>
      </w:r>
      <w:r>
        <w:rPr>
          <w:rFonts w:ascii="Times New Roman" w:hAnsi="Times New Roman" w:cs="Times New Roman"/>
          <w:sz w:val="28"/>
          <w:szCs w:val="28"/>
        </w:rPr>
        <w:t xml:space="preserve"> отмечается те</w:t>
      </w:r>
      <w:r>
        <w:rPr>
          <w:rFonts w:ascii="Times New Roman" w:hAnsi="Times New Roman" w:cs="Times New Roman"/>
          <w:sz w:val="28"/>
          <w:szCs w:val="28"/>
        </w:rPr>
        <w:t>нденция к снижению</w:t>
      </w:r>
      <w:r>
        <w:rPr>
          <w:rFonts w:ascii="Times New Roman" w:hAnsi="Times New Roman" w:cs="Times New Roman"/>
          <w:color w:val="4F81BD" w:themeColor="accent1"/>
          <w:sz w:val="28"/>
          <w:szCs w:val="28"/>
        </w:rPr>
        <w:t xml:space="preserve"> </w:t>
      </w:r>
      <w:r>
        <w:rPr>
          <w:rFonts w:ascii="Times New Roman" w:hAnsi="Times New Roman" w:cs="Times New Roman"/>
          <w:sz w:val="28"/>
          <w:szCs w:val="28"/>
        </w:rPr>
        <w:t>данн</w:t>
      </w:r>
      <w:r>
        <w:rPr>
          <w:rFonts w:ascii="Times New Roman" w:hAnsi="Times New Roman" w:cs="Times New Roman"/>
          <w:color w:val="FF0000"/>
          <w:sz w:val="28"/>
          <w:szCs w:val="28"/>
        </w:rPr>
        <w:t>ого</w:t>
      </w:r>
      <w:r>
        <w:rPr>
          <w:rFonts w:ascii="Times New Roman" w:hAnsi="Times New Roman" w:cs="Times New Roman"/>
          <w:sz w:val="28"/>
          <w:szCs w:val="28"/>
        </w:rPr>
        <w:t xml:space="preserve"> показателей (рисунок 10). </w:t>
      </w:r>
    </w:p>
    <w:p w:rsidR="00A75A8D" w:rsidRDefault="00A75A8D">
      <w:pPr>
        <w:spacing w:after="0" w:line="240" w:lineRule="auto"/>
        <w:ind w:firstLine="567"/>
        <w:jc w:val="both"/>
        <w:rPr>
          <w:rFonts w:ascii="Times New Roman" w:hAnsi="Times New Roman" w:cs="Times New Roman"/>
          <w:sz w:val="28"/>
          <w:szCs w:val="28"/>
        </w:rPr>
      </w:pPr>
    </w:p>
    <w:p w:rsidR="00A75A8D" w:rsidRDefault="008A6A51">
      <w:pPr>
        <w:spacing w:after="0" w:line="240" w:lineRule="auto"/>
        <w:ind w:firstLine="220"/>
        <w:jc w:val="both"/>
        <w:rPr>
          <w:rFonts w:ascii="Times New Roman" w:hAnsi="Times New Roman" w:cs="Times New Roman"/>
          <w:sz w:val="28"/>
          <w:szCs w:val="28"/>
          <w:highlight w:val="yellow"/>
        </w:rPr>
      </w:pPr>
      <w:r>
        <w:rPr>
          <w:noProof/>
          <w:lang w:eastAsia="ru-RU"/>
        </w:rPr>
        <w:drawing>
          <wp:inline distT="0" distB="0" distL="114300" distR="114300">
            <wp:extent cx="5918200" cy="2323465"/>
            <wp:effectExtent l="5080" t="4445" r="20320" b="15240"/>
            <wp:docPr id="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A75A8D" w:rsidRDefault="00A75A8D">
      <w:pPr>
        <w:spacing w:after="0" w:line="240" w:lineRule="auto"/>
        <w:jc w:val="center"/>
        <w:rPr>
          <w:rFonts w:ascii="Times New Roman" w:hAnsi="Times New Roman" w:cs="Times New Roman"/>
          <w:sz w:val="28"/>
          <w:szCs w:val="28"/>
        </w:rPr>
      </w:pPr>
    </w:p>
    <w:p w:rsidR="00A75A8D" w:rsidRDefault="008A6A51">
      <w:pPr>
        <w:tabs>
          <w:tab w:val="left" w:pos="142"/>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ab/>
        <w:t>Рисунок 10 - Стандартизированные показатели заболеваемости раком легкого в Республике Казахстан, оба пола, 2009-2018гг. (на 100 тыс. населения)</w:t>
      </w:r>
    </w:p>
    <w:p w:rsidR="00A75A8D" w:rsidRDefault="00A75A8D">
      <w:pPr>
        <w:tabs>
          <w:tab w:val="left" w:pos="142"/>
        </w:tabs>
        <w:spacing w:after="0" w:line="240" w:lineRule="auto"/>
        <w:jc w:val="center"/>
        <w:rPr>
          <w:rFonts w:ascii="Times New Roman" w:hAnsi="Times New Roman" w:cs="Times New Roman"/>
          <w:sz w:val="28"/>
          <w:szCs w:val="28"/>
        </w:rPr>
      </w:pP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Согласно данным, представленным на рисунке 10 снижен</w:t>
      </w:r>
      <w:r>
        <w:rPr>
          <w:rFonts w:ascii="Times New Roman" w:hAnsi="Times New Roman" w:cs="Times New Roman"/>
          <w:sz w:val="28"/>
          <w:szCs w:val="28"/>
        </w:rPr>
        <w:t>ие показателя заболеваемости за анализируемый период было</w:t>
      </w:r>
      <w:r>
        <w:rPr>
          <w:rFonts w:ascii="Times New Roman" w:hAnsi="Times New Roman" w:cs="Times New Roman"/>
          <w:color w:val="FF0000"/>
          <w:sz w:val="28"/>
          <w:szCs w:val="28"/>
        </w:rPr>
        <w:t xml:space="preserve"> </w:t>
      </w:r>
      <w:r>
        <w:rPr>
          <w:rFonts w:ascii="Times New Roman" w:hAnsi="Times New Roman" w:cs="Times New Roman"/>
          <w:sz w:val="28"/>
          <w:szCs w:val="28"/>
        </w:rPr>
        <w:t>не равномерным, а коэффициент достоверности аппроксимации линии тренда (</w:t>
      </w:r>
      <w:r>
        <w:rPr>
          <w:rFonts w:ascii="Times New Roman" w:hAnsi="Times New Roman" w:cs="Times New Roman"/>
          <w:sz w:val="28"/>
          <w:szCs w:val="28"/>
          <w:lang w:val="en-US"/>
        </w:rPr>
        <w:t>R</w:t>
      </w:r>
      <w:r>
        <w:rPr>
          <w:rFonts w:ascii="Times New Roman" w:hAnsi="Times New Roman" w:cs="Times New Roman"/>
          <w:sz w:val="28"/>
          <w:szCs w:val="28"/>
          <w:vertAlign w:val="superscript"/>
        </w:rPr>
        <w:t>2</w:t>
      </w:r>
      <w:r>
        <w:rPr>
          <w:rFonts w:ascii="Times New Roman" w:hAnsi="Times New Roman" w:cs="Times New Roman"/>
          <w:sz w:val="28"/>
          <w:szCs w:val="28"/>
        </w:rPr>
        <w:t>) составил 0,345, что указывает на умеренную тенденцию к снижению данного показателя в течение изучаемого периода. Так, с 2009 года по 2011 год наблюдалось снижение показателя с 22,4 до 20,9 с последующим подъемом до 21,8 в 2012 году и годичным периодом «п</w:t>
      </w:r>
      <w:r>
        <w:rPr>
          <w:rFonts w:ascii="Times New Roman" w:hAnsi="Times New Roman" w:cs="Times New Roman"/>
          <w:sz w:val="28"/>
          <w:szCs w:val="28"/>
        </w:rPr>
        <w:t>лато» до 2013 года. В 2014 году наблюдается снижение показателя до 21,3, затем повышение до 22,5 в 2015 году, что показало максимальное значение за анализируемый период. Далее, отмечается снижение показателя до 20,4 в 2016 году с дальнейшей тенденцией к по</w:t>
      </w:r>
      <w:r>
        <w:rPr>
          <w:rFonts w:ascii="Times New Roman" w:hAnsi="Times New Roman" w:cs="Times New Roman"/>
          <w:sz w:val="28"/>
          <w:szCs w:val="28"/>
        </w:rPr>
        <w:t>вышению в 2017 году, с последующим снижением до 20,3 в 2018 году. В целом за изучаемый период, темп прироста/убыли (Т) между крайними значениями стандартизированных показателей заболеваемости раком легкого в РК составил Т=-9,4% (с 22,4 на 100 тыс. населени</w:t>
      </w:r>
      <w:r>
        <w:rPr>
          <w:rFonts w:ascii="Times New Roman" w:hAnsi="Times New Roman" w:cs="Times New Roman"/>
          <w:sz w:val="28"/>
          <w:szCs w:val="28"/>
        </w:rPr>
        <w:t xml:space="preserve">я в 2009 году до 20,3 на 100 тыс. населения в 2018 году), что свидетельствует об умеренном снижении заболеваемости раком легкого в РК. </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Анализ показателя смертности от рака легкого за изучаемый период также показал тенденцию к снижению данного показателя (</w:t>
      </w:r>
      <w:r>
        <w:rPr>
          <w:rFonts w:ascii="Times New Roman" w:hAnsi="Times New Roman" w:cs="Times New Roman"/>
          <w:sz w:val="28"/>
          <w:szCs w:val="28"/>
        </w:rPr>
        <w:t xml:space="preserve">рисунок 11). </w:t>
      </w:r>
    </w:p>
    <w:p w:rsidR="00A75A8D" w:rsidRDefault="008A6A51">
      <w:pPr>
        <w:spacing w:after="0" w:line="240" w:lineRule="auto"/>
        <w:ind w:firstLine="567"/>
        <w:jc w:val="both"/>
        <w:rPr>
          <w:rFonts w:ascii="Times New Roman" w:hAnsi="Times New Roman" w:cs="Times New Roman"/>
          <w:sz w:val="28"/>
          <w:szCs w:val="28"/>
          <w:highlight w:val="yellow"/>
        </w:rPr>
      </w:pPr>
      <w:r>
        <w:rPr>
          <w:rFonts w:ascii="Times New Roman" w:hAnsi="Times New Roman" w:cs="Times New Roman"/>
          <w:color w:val="FF0000"/>
          <w:sz w:val="28"/>
          <w:szCs w:val="28"/>
        </w:rPr>
        <w:t xml:space="preserve">   </w:t>
      </w:r>
    </w:p>
    <w:p w:rsidR="00A75A8D" w:rsidRDefault="008A6A51">
      <w:pPr>
        <w:tabs>
          <w:tab w:val="left" w:pos="142"/>
        </w:tabs>
        <w:spacing w:after="0" w:line="240" w:lineRule="auto"/>
        <w:jc w:val="center"/>
        <w:rPr>
          <w:rFonts w:ascii="Times New Roman" w:hAnsi="Times New Roman" w:cs="Times New Roman"/>
          <w:sz w:val="28"/>
          <w:szCs w:val="28"/>
        </w:rPr>
      </w:pPr>
      <w:r>
        <w:rPr>
          <w:noProof/>
          <w:lang w:eastAsia="ru-RU"/>
        </w:rPr>
        <w:drawing>
          <wp:inline distT="0" distB="0" distL="114300" distR="114300">
            <wp:extent cx="5986780" cy="2464435"/>
            <wp:effectExtent l="0" t="0" r="13970" b="12065"/>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A75A8D" w:rsidRDefault="00A75A8D">
      <w:pPr>
        <w:tabs>
          <w:tab w:val="left" w:pos="142"/>
        </w:tabs>
        <w:spacing w:after="0" w:line="240" w:lineRule="auto"/>
        <w:jc w:val="center"/>
        <w:rPr>
          <w:rFonts w:ascii="Times New Roman" w:hAnsi="Times New Roman" w:cs="Times New Roman"/>
          <w:sz w:val="28"/>
          <w:szCs w:val="28"/>
        </w:rPr>
      </w:pPr>
    </w:p>
    <w:p w:rsidR="00A75A8D" w:rsidRDefault="008A6A51">
      <w:pPr>
        <w:tabs>
          <w:tab w:val="left" w:pos="142"/>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11 - Стандартизированные показатели смертности от рака легкого в Республике Казахстан, оба пола, 2009-2018гг. (на 100 тыс. населения)</w:t>
      </w:r>
    </w:p>
    <w:p w:rsidR="00A75A8D" w:rsidRDefault="00A75A8D">
      <w:pPr>
        <w:spacing w:after="0" w:line="240" w:lineRule="auto"/>
        <w:ind w:firstLine="567"/>
        <w:jc w:val="both"/>
        <w:rPr>
          <w:rFonts w:ascii="Times New Roman" w:hAnsi="Times New Roman" w:cs="Times New Roman"/>
          <w:sz w:val="28"/>
          <w:szCs w:val="28"/>
        </w:rPr>
      </w:pP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Согласно проведенному регрессионному анализу, коэффициент достоверности аппроксимации линии </w:t>
      </w:r>
      <w:r>
        <w:rPr>
          <w:rFonts w:ascii="Times New Roman" w:hAnsi="Times New Roman" w:cs="Times New Roman"/>
          <w:sz w:val="28"/>
          <w:szCs w:val="28"/>
        </w:rPr>
        <w:t xml:space="preserve">тренда составил </w:t>
      </w:r>
      <w:r>
        <w:rPr>
          <w:rFonts w:ascii="Times New Roman" w:hAnsi="Times New Roman" w:cs="Times New Roman"/>
          <w:sz w:val="28"/>
          <w:szCs w:val="28"/>
          <w:lang w:val="en-US"/>
        </w:rPr>
        <w:t>R</w:t>
      </w:r>
      <w:r>
        <w:rPr>
          <w:rFonts w:ascii="Times New Roman" w:hAnsi="Times New Roman" w:cs="Times New Roman"/>
          <w:sz w:val="28"/>
          <w:szCs w:val="28"/>
        </w:rPr>
        <w:t>=0,937, что указывает на стабильную тенденцию к снижению смертности от рака легкого с 2009 по 2018 гг. За первые три года анализируемого периода с 2009 по 2011 год наблюдалось снижение показателя с 19,7 до 17,2 с последующим подъемом до 17</w:t>
      </w:r>
      <w:r>
        <w:rPr>
          <w:rFonts w:ascii="Times New Roman" w:hAnsi="Times New Roman" w:cs="Times New Roman"/>
          <w:sz w:val="28"/>
          <w:szCs w:val="28"/>
        </w:rPr>
        <w:t>,5 в 2013 году. Затем с 2014 года последовало снижение показателя до конца исследуемого периода в 2018 году с минимальным значением 12,9 на 100 тыс. населения. В целом за 10-летний период темп прироста/убыли смертности от рака легкого составил - 32,5%, и б</w:t>
      </w:r>
      <w:r>
        <w:rPr>
          <w:rFonts w:ascii="Times New Roman" w:hAnsi="Times New Roman" w:cs="Times New Roman"/>
          <w:sz w:val="28"/>
          <w:szCs w:val="28"/>
        </w:rPr>
        <w:t xml:space="preserve">ыл статистически значимым, </w:t>
      </w:r>
      <w:r>
        <w:rPr>
          <w:rFonts w:ascii="Times New Roman" w:hAnsi="Times New Roman" w:cs="Times New Roman"/>
          <w:sz w:val="28"/>
          <w:szCs w:val="28"/>
          <w:lang w:eastAsia="zh-CN"/>
        </w:rPr>
        <w:t>р&lt;0,001</w:t>
      </w:r>
      <w:r>
        <w:rPr>
          <w:rFonts w:ascii="Times New Roman" w:hAnsi="Times New Roman" w:cs="Times New Roman"/>
          <w:sz w:val="28"/>
          <w:szCs w:val="28"/>
        </w:rPr>
        <w:t>.</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Распределение показателей заболеваемости и смертности по регионам РК не однородное. </w:t>
      </w:r>
      <w:r>
        <w:rPr>
          <w:rFonts w:ascii="Times New Roman" w:eastAsia="Times New Roman" w:hAnsi="Times New Roman" w:cs="Times New Roman"/>
          <w:sz w:val="28"/>
        </w:rPr>
        <w:t xml:space="preserve">Уровень заболеваемости имел </w:t>
      </w:r>
      <w:r>
        <w:rPr>
          <w:rFonts w:ascii="Times New Roman" w:eastAsia="Times New Roman" w:hAnsi="Times New Roman" w:cs="Times New Roman"/>
          <w:color w:val="000000" w:themeColor="text1"/>
          <w:sz w:val="28"/>
        </w:rPr>
        <w:t xml:space="preserve">различный диапазон </w:t>
      </w:r>
      <w:r>
        <w:rPr>
          <w:rFonts w:ascii="Times New Roman" w:eastAsia="Times New Roman" w:hAnsi="Times New Roman" w:cs="Times New Roman"/>
          <w:sz w:val="28"/>
        </w:rPr>
        <w:t>по регионам страны: от максимального уровня в Северо-Казахстанской области до минимальног</w:t>
      </w:r>
      <w:r>
        <w:rPr>
          <w:rFonts w:ascii="Times New Roman" w:eastAsia="Times New Roman" w:hAnsi="Times New Roman" w:cs="Times New Roman"/>
          <w:sz w:val="28"/>
        </w:rPr>
        <w:t xml:space="preserve">о в Южно-Казахстанской области </w:t>
      </w:r>
      <w:r>
        <w:rPr>
          <w:rFonts w:ascii="Times New Roman" w:hAnsi="Times New Roman" w:cs="Times New Roman"/>
          <w:sz w:val="28"/>
          <w:szCs w:val="28"/>
        </w:rPr>
        <w:t>(Таблица 3).</w:t>
      </w:r>
    </w:p>
    <w:p w:rsidR="00A75A8D" w:rsidRDefault="00A75A8D">
      <w:pPr>
        <w:spacing w:after="0" w:line="240" w:lineRule="auto"/>
        <w:ind w:firstLine="567"/>
        <w:jc w:val="both"/>
        <w:rPr>
          <w:rFonts w:ascii="Times New Roman" w:hAnsi="Times New Roman" w:cs="Times New Roman"/>
          <w:sz w:val="28"/>
          <w:szCs w:val="28"/>
        </w:rPr>
      </w:pPr>
    </w:p>
    <w:p w:rsidR="00A75A8D" w:rsidRDefault="008A6A5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3 - Темпы прироста/убыли стандартизированных показателей заболеваемости раком легкого по областям РК </w:t>
      </w:r>
      <w:r>
        <w:rPr>
          <w:rFonts w:ascii="Times New Roman" w:hAnsi="Times New Roman" w:cs="Times New Roman"/>
          <w:color w:val="000000" w:themeColor="text1"/>
          <w:sz w:val="28"/>
          <w:szCs w:val="28"/>
        </w:rPr>
        <w:t xml:space="preserve">в период с </w:t>
      </w:r>
      <w:r>
        <w:rPr>
          <w:rFonts w:ascii="Times New Roman" w:hAnsi="Times New Roman" w:cs="Times New Roman"/>
          <w:sz w:val="28"/>
          <w:szCs w:val="28"/>
        </w:rPr>
        <w:t>2009 по 2018гг (на 100 тыс. населения)</w:t>
      </w:r>
    </w:p>
    <w:p w:rsidR="00A75A8D" w:rsidRDefault="00A75A8D">
      <w:pPr>
        <w:spacing w:after="0" w:line="240" w:lineRule="auto"/>
        <w:ind w:firstLine="567"/>
        <w:jc w:val="both"/>
        <w:rPr>
          <w:rFonts w:ascii="Times New Roman" w:hAnsi="Times New Roman" w:cs="Times New Roman"/>
          <w:sz w:val="28"/>
          <w:szCs w:val="28"/>
        </w:rPr>
      </w:pPr>
    </w:p>
    <w:tbl>
      <w:tblPr>
        <w:tblW w:w="5000" w:type="pct"/>
        <w:tblLayout w:type="fixed"/>
        <w:tblLook w:val="04A0" w:firstRow="1" w:lastRow="0" w:firstColumn="1" w:lastColumn="0" w:noHBand="0" w:noVBand="1"/>
      </w:tblPr>
      <w:tblGrid>
        <w:gridCol w:w="2664"/>
        <w:gridCol w:w="1964"/>
        <w:gridCol w:w="2103"/>
        <w:gridCol w:w="2107"/>
        <w:gridCol w:w="836"/>
      </w:tblGrid>
      <w:tr w:rsidR="00A75A8D">
        <w:trPr>
          <w:trHeight w:val="990"/>
        </w:trPr>
        <w:tc>
          <w:tcPr>
            <w:tcW w:w="1377" w:type="pct"/>
            <w:vMerge w:val="restar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Регион, область</w:t>
            </w:r>
          </w:p>
        </w:tc>
        <w:tc>
          <w:tcPr>
            <w:tcW w:w="2102"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 xml:space="preserve">Стандартизированные показатели </w:t>
            </w:r>
            <w:r>
              <w:rPr>
                <w:rFonts w:ascii="Times New Roman" w:eastAsia="SimSun" w:hAnsi="Times New Roman" w:cs="Times New Roman"/>
                <w:color w:val="000000"/>
                <w:sz w:val="28"/>
                <w:szCs w:val="28"/>
                <w:lang w:val="en-US" w:eastAsia="zh-CN" w:bidi="ar"/>
              </w:rPr>
              <w:t>заболеваемости РЛ</w:t>
            </w:r>
          </w:p>
        </w:tc>
        <w:tc>
          <w:tcPr>
            <w:tcW w:w="1089" w:type="pct"/>
            <w:vMerge w:val="restart"/>
            <w:tcBorders>
              <w:top w:val="single" w:sz="2" w:space="0" w:color="000000"/>
              <w:left w:val="single" w:sz="2" w:space="0" w:color="000000"/>
              <w:bottom w:val="single" w:sz="2" w:space="0" w:color="000000"/>
              <w:right w:val="single" w:sz="2" w:space="0" w:color="000000"/>
            </w:tcBorders>
            <w:shd w:val="clear" w:color="auto" w:fill="auto"/>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Темп прироста (%)</w:t>
            </w:r>
          </w:p>
        </w:tc>
        <w:tc>
          <w:tcPr>
            <w:tcW w:w="432" w:type="pct"/>
            <w:vMerge w:val="restar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R</w:t>
            </w:r>
            <w:r>
              <w:rPr>
                <w:rFonts w:ascii="Times New Roman" w:eastAsia="SimSun" w:hAnsi="Times New Roman" w:cs="Times New Roman"/>
                <w:color w:val="000000"/>
                <w:sz w:val="28"/>
                <w:szCs w:val="28"/>
                <w:vertAlign w:val="superscript"/>
                <w:lang w:val="en-US" w:eastAsia="zh-CN" w:bidi="ar"/>
              </w:rPr>
              <w:t>2</w:t>
            </w:r>
          </w:p>
        </w:tc>
      </w:tr>
      <w:tr w:rsidR="00A75A8D">
        <w:trPr>
          <w:trHeight w:val="300"/>
        </w:trPr>
        <w:tc>
          <w:tcPr>
            <w:tcW w:w="1377" w:type="pct"/>
            <w:vMerge/>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A75A8D">
            <w:pPr>
              <w:spacing w:after="0" w:line="240" w:lineRule="auto"/>
              <w:jc w:val="center"/>
              <w:rPr>
                <w:rFonts w:ascii="Times New Roman" w:hAnsi="Times New Roman" w:cs="Times New Roman"/>
                <w:color w:val="000000"/>
                <w:sz w:val="28"/>
                <w:szCs w:val="28"/>
              </w:rPr>
            </w:pPr>
          </w:p>
        </w:tc>
        <w:tc>
          <w:tcPr>
            <w:tcW w:w="1015"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2009</w:t>
            </w:r>
          </w:p>
        </w:tc>
        <w:tc>
          <w:tcPr>
            <w:tcW w:w="1087"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2018</w:t>
            </w:r>
          </w:p>
        </w:tc>
        <w:tc>
          <w:tcPr>
            <w:tcW w:w="1089" w:type="pct"/>
            <w:vMerge/>
            <w:tcBorders>
              <w:top w:val="single" w:sz="2" w:space="0" w:color="000000"/>
              <w:left w:val="single" w:sz="2" w:space="0" w:color="000000"/>
              <w:bottom w:val="single" w:sz="2" w:space="0" w:color="000000"/>
              <w:right w:val="single" w:sz="2" w:space="0" w:color="000000"/>
            </w:tcBorders>
            <w:shd w:val="clear" w:color="auto" w:fill="auto"/>
            <w:vAlign w:val="center"/>
          </w:tcPr>
          <w:p w:rsidR="00A75A8D" w:rsidRDefault="00A75A8D">
            <w:pPr>
              <w:spacing w:after="0" w:line="240" w:lineRule="auto"/>
              <w:jc w:val="center"/>
              <w:rPr>
                <w:rFonts w:ascii="Times New Roman" w:hAnsi="Times New Roman" w:cs="Times New Roman"/>
                <w:color w:val="000000"/>
                <w:sz w:val="28"/>
                <w:szCs w:val="28"/>
              </w:rPr>
            </w:pPr>
          </w:p>
        </w:tc>
        <w:tc>
          <w:tcPr>
            <w:tcW w:w="432" w:type="pct"/>
            <w:vMerge/>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A75A8D">
            <w:pPr>
              <w:spacing w:after="0" w:line="240" w:lineRule="auto"/>
              <w:jc w:val="center"/>
              <w:rPr>
                <w:rFonts w:ascii="Times New Roman" w:hAnsi="Times New Roman" w:cs="Times New Roman"/>
                <w:color w:val="000000"/>
                <w:sz w:val="28"/>
                <w:szCs w:val="28"/>
              </w:rPr>
            </w:pPr>
          </w:p>
        </w:tc>
      </w:tr>
      <w:tr w:rsidR="00A75A8D">
        <w:trPr>
          <w:trHeight w:val="300"/>
        </w:trPr>
        <w:tc>
          <w:tcPr>
            <w:tcW w:w="1377"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СКО</w:t>
            </w:r>
          </w:p>
        </w:tc>
        <w:tc>
          <w:tcPr>
            <w:tcW w:w="1015"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39,8</w:t>
            </w:r>
          </w:p>
        </w:tc>
        <w:tc>
          <w:tcPr>
            <w:tcW w:w="1087"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39</w:t>
            </w:r>
          </w:p>
        </w:tc>
        <w:tc>
          <w:tcPr>
            <w:tcW w:w="1089" w:type="pct"/>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8A6A51">
            <w:pPr>
              <w:spacing w:after="0" w:line="240" w:lineRule="auto"/>
              <w:jc w:val="center"/>
              <w:textAlignment w:val="bottom"/>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-2</w:t>
            </w:r>
          </w:p>
        </w:tc>
        <w:tc>
          <w:tcPr>
            <w:tcW w:w="432"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0,01</w:t>
            </w:r>
          </w:p>
        </w:tc>
      </w:tr>
      <w:tr w:rsidR="00A75A8D">
        <w:trPr>
          <w:trHeight w:val="300"/>
        </w:trPr>
        <w:tc>
          <w:tcPr>
            <w:tcW w:w="1377"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Павлодарская</w:t>
            </w:r>
          </w:p>
        </w:tc>
        <w:tc>
          <w:tcPr>
            <w:tcW w:w="1015"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36,9</w:t>
            </w:r>
          </w:p>
        </w:tc>
        <w:tc>
          <w:tcPr>
            <w:tcW w:w="1087"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36,6</w:t>
            </w:r>
          </w:p>
        </w:tc>
        <w:tc>
          <w:tcPr>
            <w:tcW w:w="1089" w:type="pct"/>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8A6A51">
            <w:pPr>
              <w:spacing w:after="0" w:line="240" w:lineRule="auto"/>
              <w:jc w:val="center"/>
              <w:textAlignment w:val="bottom"/>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-0,8</w:t>
            </w:r>
          </w:p>
        </w:tc>
        <w:tc>
          <w:tcPr>
            <w:tcW w:w="432"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0,08</w:t>
            </w:r>
          </w:p>
        </w:tc>
      </w:tr>
      <w:tr w:rsidR="00A75A8D">
        <w:trPr>
          <w:trHeight w:val="300"/>
        </w:trPr>
        <w:tc>
          <w:tcPr>
            <w:tcW w:w="1377"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ВКО</w:t>
            </w:r>
          </w:p>
        </w:tc>
        <w:tc>
          <w:tcPr>
            <w:tcW w:w="1015"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38,5</w:t>
            </w:r>
          </w:p>
        </w:tc>
        <w:tc>
          <w:tcPr>
            <w:tcW w:w="1087"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30,2</w:t>
            </w:r>
          </w:p>
        </w:tc>
        <w:tc>
          <w:tcPr>
            <w:tcW w:w="1089" w:type="pct"/>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8A6A51">
            <w:pPr>
              <w:spacing w:after="0" w:line="240" w:lineRule="auto"/>
              <w:jc w:val="center"/>
              <w:textAlignment w:val="bottom"/>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-21,6</w:t>
            </w:r>
          </w:p>
        </w:tc>
        <w:tc>
          <w:tcPr>
            <w:tcW w:w="432"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0,30</w:t>
            </w:r>
          </w:p>
        </w:tc>
      </w:tr>
      <w:tr w:rsidR="00A75A8D">
        <w:trPr>
          <w:trHeight w:val="300"/>
        </w:trPr>
        <w:tc>
          <w:tcPr>
            <w:tcW w:w="1377"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Акмолинская</w:t>
            </w:r>
          </w:p>
        </w:tc>
        <w:tc>
          <w:tcPr>
            <w:tcW w:w="1015"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34,7</w:t>
            </w:r>
          </w:p>
        </w:tc>
        <w:tc>
          <w:tcPr>
            <w:tcW w:w="1087"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34,9</w:t>
            </w:r>
          </w:p>
        </w:tc>
        <w:tc>
          <w:tcPr>
            <w:tcW w:w="1089" w:type="pct"/>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8A6A51">
            <w:pPr>
              <w:spacing w:after="0" w:line="240" w:lineRule="auto"/>
              <w:jc w:val="center"/>
              <w:textAlignment w:val="bottom"/>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0,6</w:t>
            </w:r>
          </w:p>
        </w:tc>
        <w:tc>
          <w:tcPr>
            <w:tcW w:w="432"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0,07</w:t>
            </w:r>
          </w:p>
        </w:tc>
      </w:tr>
      <w:tr w:rsidR="00A75A8D">
        <w:trPr>
          <w:trHeight w:val="300"/>
        </w:trPr>
        <w:tc>
          <w:tcPr>
            <w:tcW w:w="1377"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Костанайская</w:t>
            </w:r>
          </w:p>
        </w:tc>
        <w:tc>
          <w:tcPr>
            <w:tcW w:w="1015"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29,4</w:t>
            </w:r>
          </w:p>
        </w:tc>
        <w:tc>
          <w:tcPr>
            <w:tcW w:w="1087"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34,9</w:t>
            </w:r>
          </w:p>
        </w:tc>
        <w:tc>
          <w:tcPr>
            <w:tcW w:w="1089" w:type="pct"/>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8A6A51">
            <w:pPr>
              <w:spacing w:after="0" w:line="240" w:lineRule="auto"/>
              <w:jc w:val="center"/>
              <w:textAlignment w:val="bottom"/>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18,7</w:t>
            </w:r>
          </w:p>
        </w:tc>
        <w:tc>
          <w:tcPr>
            <w:tcW w:w="432"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0,05</w:t>
            </w:r>
          </w:p>
        </w:tc>
      </w:tr>
      <w:tr w:rsidR="00A75A8D">
        <w:trPr>
          <w:trHeight w:val="300"/>
        </w:trPr>
        <w:tc>
          <w:tcPr>
            <w:tcW w:w="1377"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Карагандинская</w:t>
            </w:r>
          </w:p>
        </w:tc>
        <w:tc>
          <w:tcPr>
            <w:tcW w:w="1015"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27,1</w:t>
            </w:r>
          </w:p>
        </w:tc>
        <w:tc>
          <w:tcPr>
            <w:tcW w:w="1087"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29,2</w:t>
            </w:r>
          </w:p>
        </w:tc>
        <w:tc>
          <w:tcPr>
            <w:tcW w:w="1089" w:type="pct"/>
            <w:tcBorders>
              <w:top w:val="single" w:sz="2" w:space="0" w:color="000000"/>
              <w:left w:val="single" w:sz="2" w:space="0" w:color="000000"/>
              <w:bottom w:val="single" w:sz="4" w:space="0" w:color="auto"/>
              <w:right w:val="single" w:sz="2" w:space="0" w:color="000000"/>
            </w:tcBorders>
            <w:shd w:val="clear" w:color="auto" w:fill="auto"/>
            <w:noWrap/>
            <w:vAlign w:val="bottom"/>
          </w:tcPr>
          <w:p w:rsidR="00A75A8D" w:rsidRDefault="008A6A51">
            <w:pPr>
              <w:spacing w:after="0" w:line="240" w:lineRule="auto"/>
              <w:jc w:val="center"/>
              <w:textAlignment w:val="bottom"/>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7,7</w:t>
            </w:r>
          </w:p>
        </w:tc>
        <w:tc>
          <w:tcPr>
            <w:tcW w:w="432" w:type="pct"/>
            <w:tcBorders>
              <w:top w:val="single" w:sz="2" w:space="0" w:color="000000"/>
              <w:left w:val="single" w:sz="2" w:space="0" w:color="000000"/>
              <w:bottom w:val="single" w:sz="4" w:space="0" w:color="auto"/>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0,22</w:t>
            </w:r>
          </w:p>
        </w:tc>
      </w:tr>
      <w:tr w:rsidR="00A75A8D">
        <w:trPr>
          <w:trHeight w:val="300"/>
        </w:trPr>
        <w:tc>
          <w:tcPr>
            <w:tcW w:w="1377"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ЗКО</w:t>
            </w:r>
          </w:p>
        </w:tc>
        <w:tc>
          <w:tcPr>
            <w:tcW w:w="1015"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29,8</w:t>
            </w:r>
          </w:p>
        </w:tc>
        <w:tc>
          <w:tcPr>
            <w:tcW w:w="1087" w:type="pct"/>
            <w:tcBorders>
              <w:top w:val="single" w:sz="2" w:space="0" w:color="000000"/>
              <w:left w:val="single" w:sz="2" w:space="0" w:color="000000"/>
              <w:bottom w:val="single" w:sz="2" w:space="0" w:color="000000"/>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22,7</w:t>
            </w:r>
          </w:p>
        </w:tc>
        <w:tc>
          <w:tcPr>
            <w:tcW w:w="1089" w:type="pct"/>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textAlignment w:val="bottom"/>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-23,8</w:t>
            </w:r>
          </w:p>
        </w:tc>
        <w:tc>
          <w:tcPr>
            <w:tcW w:w="432" w:type="pct"/>
            <w:tcBorders>
              <w:top w:val="single" w:sz="4" w:space="0" w:color="auto"/>
              <w:left w:val="single" w:sz="4" w:space="0" w:color="auto"/>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0,31</w:t>
            </w:r>
          </w:p>
        </w:tc>
      </w:tr>
      <w:tr w:rsidR="00A75A8D">
        <w:trPr>
          <w:trHeight w:val="300"/>
        </w:trPr>
        <w:tc>
          <w:tcPr>
            <w:tcW w:w="1377"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textAlignment w:val="center"/>
              <w:rPr>
                <w:rFonts w:ascii="Times New Roman" w:hAnsi="Times New Roman" w:cs="Times New Roman"/>
                <w:b/>
                <w:bCs/>
                <w:color w:val="000000"/>
                <w:sz w:val="28"/>
                <w:szCs w:val="28"/>
              </w:rPr>
            </w:pPr>
            <w:r>
              <w:rPr>
                <w:rFonts w:ascii="Times New Roman" w:eastAsia="SimSun" w:hAnsi="Times New Roman" w:cs="Times New Roman"/>
                <w:b/>
                <w:bCs/>
                <w:color w:val="000000"/>
                <w:sz w:val="28"/>
                <w:szCs w:val="28"/>
                <w:lang w:val="en-US" w:eastAsia="zh-CN" w:bidi="ar"/>
              </w:rPr>
              <w:t>РК</w:t>
            </w:r>
          </w:p>
        </w:tc>
        <w:tc>
          <w:tcPr>
            <w:tcW w:w="1015"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b/>
                <w:bCs/>
                <w:color w:val="000000"/>
                <w:sz w:val="28"/>
                <w:szCs w:val="28"/>
              </w:rPr>
            </w:pPr>
            <w:r>
              <w:rPr>
                <w:rFonts w:ascii="Times New Roman" w:eastAsia="SimSun" w:hAnsi="Times New Roman" w:cs="Times New Roman"/>
                <w:b/>
                <w:bCs/>
                <w:color w:val="000000"/>
                <w:sz w:val="28"/>
                <w:szCs w:val="28"/>
                <w:lang w:val="en-US" w:eastAsia="zh-CN" w:bidi="ar"/>
              </w:rPr>
              <w:t>22,4</w:t>
            </w:r>
          </w:p>
        </w:tc>
        <w:tc>
          <w:tcPr>
            <w:tcW w:w="1087" w:type="pct"/>
            <w:tcBorders>
              <w:top w:val="single" w:sz="2" w:space="0" w:color="000000"/>
              <w:left w:val="single" w:sz="2" w:space="0" w:color="000000"/>
              <w:bottom w:val="single" w:sz="2" w:space="0" w:color="000000"/>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b/>
                <w:bCs/>
                <w:color w:val="000000"/>
                <w:sz w:val="28"/>
                <w:szCs w:val="28"/>
              </w:rPr>
            </w:pPr>
            <w:r>
              <w:rPr>
                <w:rFonts w:ascii="Times New Roman" w:eastAsia="SimSun" w:hAnsi="Times New Roman" w:cs="Times New Roman"/>
                <w:b/>
                <w:bCs/>
                <w:color w:val="000000"/>
                <w:sz w:val="28"/>
                <w:szCs w:val="28"/>
                <w:lang w:val="en-US" w:eastAsia="zh-CN" w:bidi="ar"/>
              </w:rPr>
              <w:t>20,3</w:t>
            </w:r>
          </w:p>
        </w:tc>
        <w:tc>
          <w:tcPr>
            <w:tcW w:w="1089" w:type="pct"/>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textAlignment w:val="bottom"/>
              <w:rPr>
                <w:rFonts w:ascii="Times New Roman" w:hAnsi="Times New Roman" w:cs="Times New Roman"/>
                <w:b/>
                <w:bCs/>
                <w:color w:val="000000"/>
                <w:sz w:val="28"/>
                <w:szCs w:val="28"/>
              </w:rPr>
            </w:pPr>
            <w:r>
              <w:rPr>
                <w:rFonts w:ascii="Times New Roman" w:eastAsia="SimSun" w:hAnsi="Times New Roman" w:cs="Times New Roman"/>
                <w:b/>
                <w:bCs/>
                <w:color w:val="000000"/>
                <w:sz w:val="28"/>
                <w:szCs w:val="28"/>
                <w:lang w:val="en-US" w:eastAsia="zh-CN" w:bidi="ar"/>
              </w:rPr>
              <w:t>-9,4</w:t>
            </w:r>
          </w:p>
        </w:tc>
        <w:tc>
          <w:tcPr>
            <w:tcW w:w="432" w:type="pct"/>
            <w:tcBorders>
              <w:top w:val="single" w:sz="4" w:space="0" w:color="auto"/>
              <w:left w:val="single" w:sz="4" w:space="0" w:color="auto"/>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b/>
                <w:bCs/>
                <w:color w:val="000000"/>
                <w:sz w:val="28"/>
                <w:szCs w:val="28"/>
              </w:rPr>
            </w:pPr>
            <w:r>
              <w:rPr>
                <w:rFonts w:ascii="Times New Roman" w:eastAsia="SimSun" w:hAnsi="Times New Roman" w:cs="Times New Roman"/>
                <w:b/>
                <w:bCs/>
                <w:color w:val="000000"/>
                <w:sz w:val="28"/>
                <w:szCs w:val="28"/>
                <w:lang w:val="en-US" w:eastAsia="zh-CN" w:bidi="ar"/>
              </w:rPr>
              <w:t>0,34</w:t>
            </w:r>
          </w:p>
        </w:tc>
      </w:tr>
      <w:tr w:rsidR="00A75A8D">
        <w:trPr>
          <w:trHeight w:val="300"/>
        </w:trPr>
        <w:tc>
          <w:tcPr>
            <w:tcW w:w="1377"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Актюбинская</w:t>
            </w:r>
          </w:p>
        </w:tc>
        <w:tc>
          <w:tcPr>
            <w:tcW w:w="1015"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19,7</w:t>
            </w:r>
          </w:p>
        </w:tc>
        <w:tc>
          <w:tcPr>
            <w:tcW w:w="1087" w:type="pct"/>
            <w:tcBorders>
              <w:top w:val="single" w:sz="2" w:space="0" w:color="000000"/>
              <w:left w:val="single" w:sz="2" w:space="0" w:color="000000"/>
              <w:bottom w:val="single" w:sz="2" w:space="0" w:color="000000"/>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21</w:t>
            </w:r>
          </w:p>
        </w:tc>
        <w:tc>
          <w:tcPr>
            <w:tcW w:w="1089" w:type="pct"/>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textAlignment w:val="bottom"/>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6,6</w:t>
            </w:r>
          </w:p>
        </w:tc>
        <w:tc>
          <w:tcPr>
            <w:tcW w:w="432" w:type="pct"/>
            <w:tcBorders>
              <w:top w:val="single" w:sz="4" w:space="0" w:color="auto"/>
              <w:left w:val="single" w:sz="4" w:space="0" w:color="auto"/>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0,00</w:t>
            </w:r>
          </w:p>
        </w:tc>
      </w:tr>
      <w:tr w:rsidR="00A75A8D">
        <w:trPr>
          <w:trHeight w:val="300"/>
        </w:trPr>
        <w:tc>
          <w:tcPr>
            <w:tcW w:w="1377"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Атырауская</w:t>
            </w:r>
          </w:p>
        </w:tc>
        <w:tc>
          <w:tcPr>
            <w:tcW w:w="1015"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19,9</w:t>
            </w:r>
          </w:p>
        </w:tc>
        <w:tc>
          <w:tcPr>
            <w:tcW w:w="1087"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19,4</w:t>
            </w:r>
          </w:p>
        </w:tc>
        <w:tc>
          <w:tcPr>
            <w:tcW w:w="1089" w:type="pct"/>
            <w:tcBorders>
              <w:top w:val="single" w:sz="4" w:space="0" w:color="auto"/>
              <w:left w:val="single" w:sz="2" w:space="0" w:color="000000"/>
              <w:bottom w:val="single" w:sz="2" w:space="0" w:color="000000"/>
              <w:right w:val="single" w:sz="2" w:space="0" w:color="000000"/>
            </w:tcBorders>
            <w:shd w:val="clear" w:color="auto" w:fill="auto"/>
            <w:noWrap/>
            <w:vAlign w:val="bottom"/>
          </w:tcPr>
          <w:p w:rsidR="00A75A8D" w:rsidRDefault="008A6A51">
            <w:pPr>
              <w:spacing w:after="0" w:line="240" w:lineRule="auto"/>
              <w:jc w:val="center"/>
              <w:textAlignment w:val="bottom"/>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-2,5</w:t>
            </w:r>
          </w:p>
        </w:tc>
        <w:tc>
          <w:tcPr>
            <w:tcW w:w="432" w:type="pct"/>
            <w:tcBorders>
              <w:top w:val="single" w:sz="4" w:space="0" w:color="auto"/>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0,03</w:t>
            </w:r>
          </w:p>
        </w:tc>
      </w:tr>
      <w:tr w:rsidR="00A75A8D">
        <w:trPr>
          <w:trHeight w:val="300"/>
        </w:trPr>
        <w:tc>
          <w:tcPr>
            <w:tcW w:w="1377"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г. Алматы</w:t>
            </w:r>
          </w:p>
        </w:tc>
        <w:tc>
          <w:tcPr>
            <w:tcW w:w="1015"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20,9</w:t>
            </w:r>
          </w:p>
        </w:tc>
        <w:tc>
          <w:tcPr>
            <w:tcW w:w="1087"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18,2</w:t>
            </w:r>
          </w:p>
        </w:tc>
        <w:tc>
          <w:tcPr>
            <w:tcW w:w="1089" w:type="pct"/>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8A6A51">
            <w:pPr>
              <w:spacing w:after="0" w:line="240" w:lineRule="auto"/>
              <w:jc w:val="center"/>
              <w:textAlignment w:val="bottom"/>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-12,9</w:t>
            </w:r>
          </w:p>
        </w:tc>
        <w:tc>
          <w:tcPr>
            <w:tcW w:w="432"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0,17</w:t>
            </w:r>
          </w:p>
        </w:tc>
      </w:tr>
      <w:tr w:rsidR="00A75A8D">
        <w:trPr>
          <w:trHeight w:val="300"/>
        </w:trPr>
        <w:tc>
          <w:tcPr>
            <w:tcW w:w="1377"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г. Астана</w:t>
            </w:r>
          </w:p>
        </w:tc>
        <w:tc>
          <w:tcPr>
            <w:tcW w:w="1015"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19,2</w:t>
            </w:r>
          </w:p>
        </w:tc>
        <w:tc>
          <w:tcPr>
            <w:tcW w:w="1087"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13,4</w:t>
            </w:r>
          </w:p>
        </w:tc>
        <w:tc>
          <w:tcPr>
            <w:tcW w:w="1089" w:type="pct"/>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8A6A51">
            <w:pPr>
              <w:spacing w:after="0" w:line="240" w:lineRule="auto"/>
              <w:jc w:val="center"/>
              <w:textAlignment w:val="bottom"/>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-30,2</w:t>
            </w:r>
          </w:p>
        </w:tc>
        <w:tc>
          <w:tcPr>
            <w:tcW w:w="432"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0,17</w:t>
            </w:r>
          </w:p>
        </w:tc>
      </w:tr>
      <w:tr w:rsidR="00A75A8D">
        <w:trPr>
          <w:trHeight w:val="300"/>
        </w:trPr>
        <w:tc>
          <w:tcPr>
            <w:tcW w:w="1377"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Кызыл-Ординская</w:t>
            </w:r>
          </w:p>
        </w:tc>
        <w:tc>
          <w:tcPr>
            <w:tcW w:w="1015"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16,5</w:t>
            </w:r>
          </w:p>
        </w:tc>
        <w:tc>
          <w:tcPr>
            <w:tcW w:w="1087"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15,9</w:t>
            </w:r>
          </w:p>
        </w:tc>
        <w:tc>
          <w:tcPr>
            <w:tcW w:w="1089" w:type="pct"/>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8A6A51">
            <w:pPr>
              <w:spacing w:after="0" w:line="240" w:lineRule="auto"/>
              <w:jc w:val="center"/>
              <w:textAlignment w:val="bottom"/>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-3,6</w:t>
            </w:r>
          </w:p>
        </w:tc>
        <w:tc>
          <w:tcPr>
            <w:tcW w:w="432"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0,16</w:t>
            </w:r>
          </w:p>
        </w:tc>
      </w:tr>
      <w:tr w:rsidR="00A75A8D">
        <w:trPr>
          <w:trHeight w:val="300"/>
        </w:trPr>
        <w:tc>
          <w:tcPr>
            <w:tcW w:w="1377"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Жамбылская</w:t>
            </w:r>
          </w:p>
        </w:tc>
        <w:tc>
          <w:tcPr>
            <w:tcW w:w="1015"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15</w:t>
            </w:r>
          </w:p>
        </w:tc>
        <w:tc>
          <w:tcPr>
            <w:tcW w:w="1087"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16,2</w:t>
            </w:r>
          </w:p>
        </w:tc>
        <w:tc>
          <w:tcPr>
            <w:tcW w:w="1089" w:type="pct"/>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8A6A51">
            <w:pPr>
              <w:spacing w:after="0" w:line="240" w:lineRule="auto"/>
              <w:jc w:val="center"/>
              <w:textAlignment w:val="bottom"/>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8</w:t>
            </w:r>
          </w:p>
        </w:tc>
        <w:tc>
          <w:tcPr>
            <w:tcW w:w="432"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0,26</w:t>
            </w:r>
          </w:p>
        </w:tc>
      </w:tr>
      <w:tr w:rsidR="00A75A8D">
        <w:trPr>
          <w:trHeight w:val="300"/>
        </w:trPr>
        <w:tc>
          <w:tcPr>
            <w:tcW w:w="1377"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Алматинская</w:t>
            </w:r>
          </w:p>
        </w:tc>
        <w:tc>
          <w:tcPr>
            <w:tcW w:w="1015"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15,1</w:t>
            </w:r>
          </w:p>
        </w:tc>
        <w:tc>
          <w:tcPr>
            <w:tcW w:w="1087"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14</w:t>
            </w:r>
          </w:p>
        </w:tc>
        <w:tc>
          <w:tcPr>
            <w:tcW w:w="1089" w:type="pct"/>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8A6A51">
            <w:pPr>
              <w:spacing w:after="0" w:line="240" w:lineRule="auto"/>
              <w:jc w:val="center"/>
              <w:textAlignment w:val="bottom"/>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-7,3</w:t>
            </w:r>
          </w:p>
        </w:tc>
        <w:tc>
          <w:tcPr>
            <w:tcW w:w="432"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0,03</w:t>
            </w:r>
          </w:p>
        </w:tc>
      </w:tr>
      <w:tr w:rsidR="00A75A8D">
        <w:trPr>
          <w:trHeight w:val="300"/>
        </w:trPr>
        <w:tc>
          <w:tcPr>
            <w:tcW w:w="1377"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Мангистауская</w:t>
            </w:r>
          </w:p>
        </w:tc>
        <w:tc>
          <w:tcPr>
            <w:tcW w:w="1015"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11</w:t>
            </w:r>
          </w:p>
        </w:tc>
        <w:tc>
          <w:tcPr>
            <w:tcW w:w="1087"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13,3</w:t>
            </w:r>
          </w:p>
        </w:tc>
        <w:tc>
          <w:tcPr>
            <w:tcW w:w="1089" w:type="pct"/>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8A6A51">
            <w:pPr>
              <w:spacing w:after="0" w:line="240" w:lineRule="auto"/>
              <w:jc w:val="center"/>
              <w:textAlignment w:val="bottom"/>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20,9</w:t>
            </w:r>
          </w:p>
        </w:tc>
        <w:tc>
          <w:tcPr>
            <w:tcW w:w="432"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0,44</w:t>
            </w:r>
          </w:p>
        </w:tc>
      </w:tr>
      <w:tr w:rsidR="00A75A8D">
        <w:trPr>
          <w:trHeight w:val="300"/>
        </w:trPr>
        <w:tc>
          <w:tcPr>
            <w:tcW w:w="1377"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ЮКО</w:t>
            </w:r>
          </w:p>
        </w:tc>
        <w:tc>
          <w:tcPr>
            <w:tcW w:w="1015"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8,2</w:t>
            </w:r>
          </w:p>
        </w:tc>
        <w:tc>
          <w:tcPr>
            <w:tcW w:w="1087"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8,9</w:t>
            </w:r>
          </w:p>
        </w:tc>
        <w:tc>
          <w:tcPr>
            <w:tcW w:w="1089" w:type="pct"/>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8A6A51">
            <w:pPr>
              <w:spacing w:after="0" w:line="240" w:lineRule="auto"/>
              <w:jc w:val="center"/>
              <w:textAlignment w:val="bottom"/>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8,5</w:t>
            </w:r>
          </w:p>
        </w:tc>
        <w:tc>
          <w:tcPr>
            <w:tcW w:w="432"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center"/>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0,00</w:t>
            </w:r>
          </w:p>
        </w:tc>
      </w:tr>
    </w:tbl>
    <w:p w:rsidR="00A75A8D" w:rsidRDefault="00A75A8D">
      <w:pPr>
        <w:spacing w:after="0" w:line="240" w:lineRule="auto"/>
        <w:ind w:firstLine="567"/>
        <w:jc w:val="both"/>
        <w:rPr>
          <w:rFonts w:ascii="Times New Roman" w:hAnsi="Times New Roman" w:cs="Times New Roman"/>
          <w:sz w:val="28"/>
          <w:szCs w:val="28"/>
        </w:rPr>
      </w:pP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За анализируемый период показатели заболеваемости выше среднереспубликанского уровня зафиксированы в 7 регионах: Западно-Казахстанская, Карагандинская, Восточно-Казахстанская, Акмолинская, Костанайская, Павлодарская, Северо-Казахстанская </w:t>
      </w:r>
      <w:r>
        <w:rPr>
          <w:rFonts w:ascii="Times New Roman" w:hAnsi="Times New Roman" w:cs="Times New Roman"/>
          <w:color w:val="000000" w:themeColor="text1"/>
          <w:sz w:val="28"/>
          <w:szCs w:val="28"/>
        </w:rPr>
        <w:t xml:space="preserve">области. </w:t>
      </w:r>
      <w:r>
        <w:rPr>
          <w:rFonts w:ascii="Times New Roman" w:hAnsi="Times New Roman" w:cs="Times New Roman"/>
          <w:sz w:val="28"/>
          <w:szCs w:val="28"/>
        </w:rPr>
        <w:t>При этом,</w:t>
      </w:r>
      <w:r>
        <w:rPr>
          <w:rFonts w:ascii="Times New Roman" w:hAnsi="Times New Roman" w:cs="Times New Roman"/>
          <w:sz w:val="28"/>
          <w:szCs w:val="28"/>
        </w:rPr>
        <w:t xml:space="preserve"> самый высокий показатель за весь анализируемый период зарегистрирован в Северо-Казахстанской области. </w:t>
      </w:r>
    </w:p>
    <w:p w:rsidR="00A75A8D" w:rsidRDefault="008A6A5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Уровни заболеваемости раком легкого на 100 тыс. населения ниже республиканского </w:t>
      </w:r>
      <w:r>
        <w:rPr>
          <w:rFonts w:ascii="Times New Roman" w:eastAsia="Times New Roman" w:hAnsi="Times New Roman" w:cs="Times New Roman"/>
          <w:color w:val="000000" w:themeColor="text1"/>
          <w:sz w:val="28"/>
        </w:rPr>
        <w:t>отмечены</w:t>
      </w:r>
      <w:r>
        <w:rPr>
          <w:rFonts w:ascii="Times New Roman" w:eastAsia="Times New Roman" w:hAnsi="Times New Roman" w:cs="Times New Roman"/>
          <w:sz w:val="28"/>
        </w:rPr>
        <w:t xml:space="preserve"> в 9 регионах: Актюбинская, Атырауская, Жамбылская, Кызылординск</w:t>
      </w:r>
      <w:r>
        <w:rPr>
          <w:rFonts w:ascii="Times New Roman" w:eastAsia="Times New Roman" w:hAnsi="Times New Roman" w:cs="Times New Roman"/>
          <w:sz w:val="28"/>
        </w:rPr>
        <w:t xml:space="preserve">ая, </w:t>
      </w:r>
      <w:r>
        <w:rPr>
          <w:rFonts w:ascii="Times New Roman" w:hAnsi="Times New Roman" w:cs="Times New Roman"/>
          <w:sz w:val="28"/>
          <w:szCs w:val="28"/>
        </w:rPr>
        <w:t>Алматинская</w:t>
      </w:r>
      <w:r>
        <w:rPr>
          <w:rFonts w:ascii="Times New Roman" w:eastAsia="Times New Roman" w:hAnsi="Times New Roman" w:cs="Times New Roman"/>
          <w:sz w:val="28"/>
        </w:rPr>
        <w:t xml:space="preserve">, Мангыстауская, Южно-Казахстанской </w:t>
      </w:r>
      <w:r>
        <w:rPr>
          <w:rFonts w:ascii="Times New Roman" w:eastAsia="Times New Roman" w:hAnsi="Times New Roman" w:cs="Times New Roman"/>
          <w:color w:val="000000" w:themeColor="text1"/>
          <w:sz w:val="28"/>
        </w:rPr>
        <w:t xml:space="preserve">областях </w:t>
      </w:r>
      <w:r>
        <w:rPr>
          <w:rFonts w:ascii="Times New Roman" w:eastAsia="Times New Roman" w:hAnsi="Times New Roman" w:cs="Times New Roman"/>
          <w:sz w:val="28"/>
        </w:rPr>
        <w:t>(самый низкий показатель), город Алматы, город Астана.</w:t>
      </w:r>
    </w:p>
    <w:p w:rsidR="00A75A8D" w:rsidRDefault="008A6A5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Динамика уровней заболеваемости раком легкого за анализируемый период по областям республики различная. Снижение заболеваемости в 2018 году п</w:t>
      </w:r>
      <w:r>
        <w:rPr>
          <w:rFonts w:ascii="Times New Roman" w:eastAsia="Times New Roman" w:hAnsi="Times New Roman" w:cs="Times New Roman"/>
          <w:sz w:val="28"/>
        </w:rPr>
        <w:t xml:space="preserve">о </w:t>
      </w:r>
      <w:r>
        <w:rPr>
          <w:rFonts w:ascii="Times New Roman" w:eastAsia="Times New Roman" w:hAnsi="Times New Roman" w:cs="Times New Roman"/>
          <w:sz w:val="28"/>
        </w:rPr>
        <w:lastRenderedPageBreak/>
        <w:t xml:space="preserve">отношению к уровню 2009 года отмечено в 9 регионах, рост – в 7. Так, наиболее значительно </w:t>
      </w:r>
      <w:r>
        <w:rPr>
          <w:rFonts w:ascii="Times New Roman" w:hAnsi="Times New Roman" w:cs="Times New Roman"/>
          <w:sz w:val="28"/>
          <w:szCs w:val="28"/>
        </w:rPr>
        <w:t>снизилась</w:t>
      </w:r>
      <w:r>
        <w:rPr>
          <w:rFonts w:ascii="Times New Roman" w:eastAsia="Times New Roman" w:hAnsi="Times New Roman" w:cs="Times New Roman"/>
          <w:sz w:val="28"/>
        </w:rPr>
        <w:t xml:space="preserve"> заболеваемость раком легкого в г.Астана (Т=-30,2%), </w:t>
      </w:r>
      <w:r>
        <w:rPr>
          <w:rFonts w:ascii="Times New Roman" w:hAnsi="Times New Roman" w:cs="Times New Roman"/>
          <w:sz w:val="28"/>
          <w:szCs w:val="28"/>
        </w:rPr>
        <w:t>Западно-Казахстанской</w:t>
      </w:r>
      <w:r>
        <w:rPr>
          <w:rFonts w:ascii="Times New Roman" w:eastAsia="Times New Roman" w:hAnsi="Times New Roman" w:cs="Times New Roman"/>
          <w:sz w:val="28"/>
        </w:rPr>
        <w:t xml:space="preserve"> (Т=-23,8%), </w:t>
      </w:r>
      <w:r>
        <w:rPr>
          <w:rFonts w:ascii="Times New Roman" w:hAnsi="Times New Roman" w:cs="Times New Roman"/>
          <w:sz w:val="28"/>
          <w:szCs w:val="28"/>
        </w:rPr>
        <w:t xml:space="preserve">Восточно-Казахстанской (Т=-21,6%) </w:t>
      </w:r>
      <w:r>
        <w:rPr>
          <w:rFonts w:ascii="Times New Roman" w:hAnsi="Times New Roman" w:cs="Times New Roman"/>
          <w:color w:val="000000" w:themeColor="text1"/>
          <w:sz w:val="28"/>
          <w:szCs w:val="28"/>
        </w:rPr>
        <w:t xml:space="preserve">областях. </w:t>
      </w:r>
      <w:r>
        <w:rPr>
          <w:rFonts w:ascii="Times New Roman" w:eastAsia="Times New Roman" w:hAnsi="Times New Roman" w:cs="Times New Roman"/>
          <w:sz w:val="28"/>
        </w:rPr>
        <w:t xml:space="preserve">В шести регионах отмечено снижение (Алматинской (Т=-7,5%), Атырауской (Т=-2,5%), Кызылординской (Т=-3,6%), Павлодарской (Т=-0,8%), Северо-Казахстанской (Т=-2,0%) областях и городе Алматы (Т=-12,9%)). В остальных 7 </w:t>
      </w:r>
      <w:r>
        <w:rPr>
          <w:rFonts w:ascii="Times New Roman" w:eastAsia="Times New Roman" w:hAnsi="Times New Roman" w:cs="Times New Roman"/>
          <w:color w:val="000000" w:themeColor="text1"/>
          <w:sz w:val="28"/>
        </w:rPr>
        <w:t>областях</w:t>
      </w:r>
      <w:r>
        <w:rPr>
          <w:rFonts w:ascii="Times New Roman" w:eastAsia="Times New Roman" w:hAnsi="Times New Roman" w:cs="Times New Roman"/>
          <w:sz w:val="28"/>
        </w:rPr>
        <w:t xml:space="preserve"> – рост, в двух наиболее значитель</w:t>
      </w:r>
      <w:r>
        <w:rPr>
          <w:rFonts w:ascii="Times New Roman" w:eastAsia="Times New Roman" w:hAnsi="Times New Roman" w:cs="Times New Roman"/>
          <w:sz w:val="28"/>
        </w:rPr>
        <w:t xml:space="preserve">ный – в Мангистауской (Т=+20,9%) и Костанайской (Т=+18,7%) </w:t>
      </w:r>
      <w:r>
        <w:rPr>
          <w:rFonts w:ascii="Times New Roman" w:eastAsia="Times New Roman" w:hAnsi="Times New Roman" w:cs="Times New Roman"/>
          <w:color w:val="000000" w:themeColor="text1"/>
          <w:sz w:val="28"/>
        </w:rPr>
        <w:t>областях, умеренный в Южно-Казахстанской (Т=+8,5%), Жамбылской (Т=+8,0%), Карагандинской (Т=+7,7%), Актюбинской (Т=+6,6%) и Акмолинской (Т=+0,6%) областях. О</w:t>
      </w:r>
      <w:r>
        <w:rPr>
          <w:rFonts w:ascii="Times New Roman" w:eastAsia="Times New Roman" w:hAnsi="Times New Roman" w:cs="Times New Roman"/>
          <w:sz w:val="28"/>
        </w:rPr>
        <w:t>днако,  в результате проведенного анализ</w:t>
      </w:r>
      <w:r>
        <w:rPr>
          <w:rFonts w:ascii="Times New Roman" w:eastAsia="Times New Roman" w:hAnsi="Times New Roman" w:cs="Times New Roman"/>
          <w:sz w:val="28"/>
        </w:rPr>
        <w:t>а нами не установлено статистической значимости в отношении снижения показателя заболеваемости по областям республики, что демонстрирует ее незначительное  снижении в течение изучаемого периода. Об этом также свидетельствует коэффициент достоверности аппро</w:t>
      </w:r>
      <w:r>
        <w:rPr>
          <w:rFonts w:ascii="Times New Roman" w:eastAsia="Times New Roman" w:hAnsi="Times New Roman" w:cs="Times New Roman"/>
          <w:sz w:val="28"/>
        </w:rPr>
        <w:t>ксимации линии тренда R</w:t>
      </w:r>
      <w:r>
        <w:rPr>
          <w:rFonts w:ascii="Times New Roman" w:eastAsia="Times New Roman" w:hAnsi="Times New Roman" w:cs="Times New Roman"/>
          <w:sz w:val="28"/>
          <w:vertAlign w:val="superscript"/>
        </w:rPr>
        <w:t>2</w:t>
      </w:r>
      <w:r>
        <w:rPr>
          <w:rFonts w:ascii="Times New Roman" w:eastAsia="Times New Roman" w:hAnsi="Times New Roman" w:cs="Times New Roman"/>
          <w:sz w:val="28"/>
        </w:rPr>
        <w:t>, который в нашем исследовании составил 0,34 в целом по республике и указывает на незначительную тенденцию снижения показателя заболеваемости раком легкого в РК в течение изучаемого периода.</w:t>
      </w:r>
    </w:p>
    <w:p w:rsidR="00A75A8D" w:rsidRDefault="00A75A8D">
      <w:pPr>
        <w:spacing w:after="0" w:line="240" w:lineRule="auto"/>
        <w:ind w:firstLine="567"/>
        <w:jc w:val="both"/>
        <w:rPr>
          <w:rFonts w:ascii="Times New Roman" w:hAnsi="Times New Roman" w:cs="Times New Roman"/>
          <w:sz w:val="28"/>
          <w:szCs w:val="28"/>
        </w:rPr>
      </w:pPr>
    </w:p>
    <w:p w:rsidR="00A75A8D" w:rsidRDefault="008A6A5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4 - Темпы прироста/убыли стандар</w:t>
      </w:r>
      <w:r>
        <w:rPr>
          <w:rFonts w:ascii="Times New Roman" w:hAnsi="Times New Roman" w:cs="Times New Roman"/>
          <w:sz w:val="28"/>
          <w:szCs w:val="28"/>
        </w:rPr>
        <w:t>тизированных показателей смертности от рака легкого по областям РК в период с 2009 по 2018</w:t>
      </w:r>
      <w:r>
        <w:rPr>
          <w:rFonts w:ascii="Times New Roman" w:hAnsi="Times New Roman" w:cs="Times New Roman"/>
          <w:color w:val="000000" w:themeColor="text1"/>
          <w:sz w:val="28"/>
          <w:szCs w:val="28"/>
        </w:rPr>
        <w:t xml:space="preserve">гг. </w:t>
      </w:r>
      <w:r>
        <w:rPr>
          <w:rFonts w:ascii="Times New Roman" w:hAnsi="Times New Roman" w:cs="Times New Roman"/>
          <w:sz w:val="28"/>
          <w:szCs w:val="28"/>
        </w:rPr>
        <w:t>(на 100 тыс. населения)</w:t>
      </w:r>
    </w:p>
    <w:p w:rsidR="00A75A8D" w:rsidRDefault="00A75A8D">
      <w:pPr>
        <w:spacing w:after="0" w:line="240" w:lineRule="auto"/>
        <w:ind w:firstLine="567"/>
        <w:jc w:val="both"/>
        <w:rPr>
          <w:rFonts w:ascii="Times New Roman" w:hAnsi="Times New Roman" w:cs="Times New Roman"/>
          <w:sz w:val="28"/>
          <w:szCs w:val="28"/>
        </w:rPr>
      </w:pPr>
    </w:p>
    <w:tbl>
      <w:tblPr>
        <w:tblW w:w="9776" w:type="dxa"/>
        <w:tblLook w:val="04A0" w:firstRow="1" w:lastRow="0" w:firstColumn="1" w:lastColumn="0" w:noHBand="0" w:noVBand="1"/>
      </w:tblPr>
      <w:tblGrid>
        <w:gridCol w:w="3114"/>
        <w:gridCol w:w="2126"/>
        <w:gridCol w:w="1843"/>
        <w:gridCol w:w="1843"/>
        <w:gridCol w:w="850"/>
      </w:tblGrid>
      <w:tr w:rsidR="00A75A8D">
        <w:trPr>
          <w:trHeight w:val="979"/>
        </w:trPr>
        <w:tc>
          <w:tcPr>
            <w:tcW w:w="311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Регион, область</w:t>
            </w:r>
          </w:p>
        </w:tc>
        <w:tc>
          <w:tcPr>
            <w:tcW w:w="3969" w:type="dxa"/>
            <w:gridSpan w:val="2"/>
            <w:tcBorders>
              <w:top w:val="single" w:sz="4" w:space="0" w:color="auto"/>
              <w:left w:val="nil"/>
              <w:bottom w:val="single" w:sz="4" w:space="0" w:color="auto"/>
              <w:right w:val="single" w:sz="4" w:space="0" w:color="auto"/>
            </w:tcBorders>
            <w:shd w:val="clear" w:color="auto" w:fill="auto"/>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eastAsia="zh-CN" w:bidi="ar"/>
              </w:rPr>
            </w:pPr>
            <w:r>
              <w:rPr>
                <w:rFonts w:ascii="Times New Roman" w:eastAsia="SimSun" w:hAnsi="Times New Roman" w:cs="Times New Roman"/>
                <w:color w:val="000000"/>
                <w:sz w:val="28"/>
                <w:szCs w:val="28"/>
                <w:lang w:eastAsia="zh-CN" w:bidi="ar"/>
              </w:rPr>
              <w:t>Стандартизированные показатели смертности от РЛ</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Темп прироста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R</w:t>
            </w:r>
            <w:r>
              <w:rPr>
                <w:rFonts w:ascii="Times New Roman" w:eastAsia="SimSun" w:hAnsi="Times New Roman" w:cs="Times New Roman"/>
                <w:color w:val="000000"/>
                <w:sz w:val="28"/>
                <w:szCs w:val="28"/>
                <w:vertAlign w:val="superscript"/>
                <w:lang w:val="en-US" w:eastAsia="zh-CN" w:bidi="ar"/>
              </w:rPr>
              <w:t>2</w:t>
            </w:r>
          </w:p>
        </w:tc>
      </w:tr>
      <w:tr w:rsidR="00A75A8D">
        <w:trPr>
          <w:trHeight w:val="300"/>
        </w:trPr>
        <w:tc>
          <w:tcPr>
            <w:tcW w:w="3114" w:type="dxa"/>
            <w:vMerge/>
            <w:tcBorders>
              <w:top w:val="single" w:sz="4" w:space="0" w:color="auto"/>
              <w:left w:val="single" w:sz="4" w:space="0" w:color="auto"/>
              <w:bottom w:val="single" w:sz="4" w:space="0" w:color="auto"/>
              <w:right w:val="single" w:sz="4" w:space="0" w:color="auto"/>
            </w:tcBorders>
            <w:vAlign w:val="center"/>
          </w:tcPr>
          <w:p w:rsidR="00A75A8D" w:rsidRDefault="00A75A8D">
            <w:pPr>
              <w:spacing w:after="0" w:line="240" w:lineRule="auto"/>
              <w:jc w:val="center"/>
              <w:textAlignment w:val="center"/>
              <w:rPr>
                <w:rFonts w:ascii="Times New Roman" w:eastAsia="SimSun" w:hAnsi="Times New Roman" w:cs="Times New Roman"/>
                <w:color w:val="000000"/>
                <w:sz w:val="28"/>
                <w:szCs w:val="28"/>
                <w:lang w:val="en-US" w:eastAsia="zh-CN" w:bidi="ar"/>
              </w:rPr>
            </w:pP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2009</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2018</w:t>
            </w:r>
          </w:p>
        </w:tc>
        <w:tc>
          <w:tcPr>
            <w:tcW w:w="1843" w:type="dxa"/>
            <w:tcBorders>
              <w:top w:val="single" w:sz="4" w:space="0" w:color="auto"/>
              <w:left w:val="single" w:sz="4" w:space="0" w:color="auto"/>
              <w:bottom w:val="single" w:sz="4" w:space="0" w:color="auto"/>
              <w:right w:val="single" w:sz="4" w:space="0" w:color="auto"/>
            </w:tcBorders>
            <w:vAlign w:val="center"/>
          </w:tcPr>
          <w:p w:rsidR="00A75A8D" w:rsidRDefault="00A75A8D">
            <w:pPr>
              <w:spacing w:after="0" w:line="240" w:lineRule="auto"/>
              <w:jc w:val="center"/>
              <w:textAlignment w:val="center"/>
              <w:rPr>
                <w:rFonts w:ascii="Times New Roman" w:eastAsia="SimSun" w:hAnsi="Times New Roman" w:cs="Times New Roman"/>
                <w:color w:val="000000"/>
                <w:sz w:val="28"/>
                <w:szCs w:val="28"/>
                <w:lang w:val="en-US" w:eastAsia="zh-CN" w:bidi="ar"/>
              </w:rPr>
            </w:pPr>
          </w:p>
        </w:tc>
        <w:tc>
          <w:tcPr>
            <w:tcW w:w="850" w:type="dxa"/>
            <w:tcBorders>
              <w:top w:val="single" w:sz="4" w:space="0" w:color="auto"/>
              <w:left w:val="single" w:sz="4" w:space="0" w:color="auto"/>
              <w:bottom w:val="single" w:sz="4" w:space="0" w:color="auto"/>
              <w:right w:val="single" w:sz="4" w:space="0" w:color="auto"/>
            </w:tcBorders>
            <w:vAlign w:val="center"/>
          </w:tcPr>
          <w:p w:rsidR="00A75A8D" w:rsidRDefault="00A75A8D">
            <w:pPr>
              <w:spacing w:after="0" w:line="240" w:lineRule="auto"/>
              <w:jc w:val="center"/>
              <w:textAlignment w:val="center"/>
              <w:rPr>
                <w:rFonts w:ascii="Times New Roman" w:eastAsia="SimSun" w:hAnsi="Times New Roman" w:cs="Times New Roman"/>
                <w:color w:val="000000"/>
                <w:sz w:val="28"/>
                <w:szCs w:val="28"/>
                <w:lang w:val="en-US" w:eastAsia="zh-CN" w:bidi="ar"/>
              </w:rPr>
            </w:pPr>
          </w:p>
        </w:tc>
      </w:tr>
      <w:tr w:rsidR="00A75A8D">
        <w:trPr>
          <w:trHeight w:val="300"/>
        </w:trPr>
        <w:tc>
          <w:tcPr>
            <w:tcW w:w="3114" w:type="dxa"/>
            <w:tcBorders>
              <w:top w:val="single" w:sz="4" w:space="0" w:color="auto"/>
              <w:left w:val="single" w:sz="4" w:space="0" w:color="auto"/>
              <w:bottom w:val="single" w:sz="4" w:space="0" w:color="auto"/>
              <w:right w:val="single" w:sz="4" w:space="0" w:color="auto"/>
            </w:tcBorders>
            <w:shd w:val="clear" w:color="auto" w:fill="auto"/>
            <w:noWrap/>
            <w:vAlign w:val="center"/>
          </w:tcPr>
          <w:p w:rsidR="00A75A8D" w:rsidRDefault="008A6A51">
            <w:pPr>
              <w:spacing w:after="0" w:line="240" w:lineRule="auto"/>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ВКО</w:t>
            </w:r>
          </w:p>
        </w:tc>
        <w:tc>
          <w:tcPr>
            <w:tcW w:w="2126" w:type="dxa"/>
            <w:tcBorders>
              <w:top w:val="single" w:sz="4" w:space="0" w:color="auto"/>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34,2</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25</w:t>
            </w:r>
          </w:p>
        </w:tc>
        <w:tc>
          <w:tcPr>
            <w:tcW w:w="1843" w:type="dxa"/>
            <w:tcBorders>
              <w:top w:val="single" w:sz="4" w:space="0" w:color="auto"/>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-26,9</w:t>
            </w:r>
          </w:p>
        </w:tc>
        <w:tc>
          <w:tcPr>
            <w:tcW w:w="850" w:type="dxa"/>
            <w:tcBorders>
              <w:top w:val="nil"/>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0,92</w:t>
            </w:r>
          </w:p>
        </w:tc>
      </w:tr>
      <w:tr w:rsidR="00A75A8D">
        <w:trPr>
          <w:trHeight w:val="300"/>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75A8D" w:rsidRDefault="008A6A51">
            <w:pPr>
              <w:spacing w:after="0" w:line="240" w:lineRule="auto"/>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Павлодарская</w:t>
            </w:r>
          </w:p>
        </w:tc>
        <w:tc>
          <w:tcPr>
            <w:tcW w:w="2126" w:type="dxa"/>
            <w:tcBorders>
              <w:top w:val="nil"/>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30,8</w:t>
            </w:r>
          </w:p>
        </w:tc>
        <w:tc>
          <w:tcPr>
            <w:tcW w:w="1843" w:type="dxa"/>
            <w:tcBorders>
              <w:top w:val="nil"/>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22</w:t>
            </w:r>
          </w:p>
        </w:tc>
        <w:tc>
          <w:tcPr>
            <w:tcW w:w="184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-28,6</w:t>
            </w:r>
          </w:p>
        </w:tc>
        <w:tc>
          <w:tcPr>
            <w:tcW w:w="850" w:type="dxa"/>
            <w:tcBorders>
              <w:top w:val="nil"/>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0,34</w:t>
            </w:r>
          </w:p>
        </w:tc>
      </w:tr>
      <w:tr w:rsidR="00A75A8D">
        <w:trPr>
          <w:trHeight w:val="300"/>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75A8D" w:rsidRDefault="008A6A51">
            <w:pPr>
              <w:spacing w:after="0" w:line="240" w:lineRule="auto"/>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СКО</w:t>
            </w:r>
          </w:p>
        </w:tc>
        <w:tc>
          <w:tcPr>
            <w:tcW w:w="2126" w:type="dxa"/>
            <w:tcBorders>
              <w:top w:val="nil"/>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29,4</w:t>
            </w:r>
          </w:p>
        </w:tc>
        <w:tc>
          <w:tcPr>
            <w:tcW w:w="1843" w:type="dxa"/>
            <w:tcBorders>
              <w:top w:val="nil"/>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20,7</w:t>
            </w:r>
          </w:p>
        </w:tc>
        <w:tc>
          <w:tcPr>
            <w:tcW w:w="184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-29,6</w:t>
            </w:r>
          </w:p>
        </w:tc>
        <w:tc>
          <w:tcPr>
            <w:tcW w:w="850" w:type="dxa"/>
            <w:tcBorders>
              <w:top w:val="nil"/>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0,63</w:t>
            </w:r>
          </w:p>
        </w:tc>
      </w:tr>
      <w:tr w:rsidR="00A75A8D">
        <w:trPr>
          <w:trHeight w:val="300"/>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75A8D" w:rsidRDefault="008A6A51">
            <w:pPr>
              <w:spacing w:after="0" w:line="240" w:lineRule="auto"/>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Акмолинская</w:t>
            </w:r>
          </w:p>
        </w:tc>
        <w:tc>
          <w:tcPr>
            <w:tcW w:w="2126" w:type="dxa"/>
            <w:tcBorders>
              <w:top w:val="nil"/>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25</w:t>
            </w:r>
          </w:p>
        </w:tc>
        <w:tc>
          <w:tcPr>
            <w:tcW w:w="1843" w:type="dxa"/>
            <w:tcBorders>
              <w:top w:val="nil"/>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19,6</w:t>
            </w:r>
          </w:p>
        </w:tc>
        <w:tc>
          <w:tcPr>
            <w:tcW w:w="184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-21,6</w:t>
            </w:r>
          </w:p>
        </w:tc>
        <w:tc>
          <w:tcPr>
            <w:tcW w:w="850" w:type="dxa"/>
            <w:tcBorders>
              <w:top w:val="nil"/>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0,53</w:t>
            </w:r>
          </w:p>
        </w:tc>
      </w:tr>
      <w:tr w:rsidR="00A75A8D">
        <w:trPr>
          <w:trHeight w:val="300"/>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75A8D" w:rsidRDefault="008A6A51">
            <w:pPr>
              <w:spacing w:after="0" w:line="240" w:lineRule="auto"/>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Карагандинская</w:t>
            </w:r>
          </w:p>
        </w:tc>
        <w:tc>
          <w:tcPr>
            <w:tcW w:w="2126" w:type="dxa"/>
            <w:tcBorders>
              <w:top w:val="nil"/>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26,1</w:t>
            </w:r>
          </w:p>
        </w:tc>
        <w:tc>
          <w:tcPr>
            <w:tcW w:w="1843" w:type="dxa"/>
            <w:tcBorders>
              <w:top w:val="nil"/>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16,9</w:t>
            </w:r>
          </w:p>
        </w:tc>
        <w:tc>
          <w:tcPr>
            <w:tcW w:w="184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-35,2</w:t>
            </w:r>
          </w:p>
        </w:tc>
        <w:tc>
          <w:tcPr>
            <w:tcW w:w="850" w:type="dxa"/>
            <w:tcBorders>
              <w:top w:val="nil"/>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0,64</w:t>
            </w:r>
          </w:p>
        </w:tc>
      </w:tr>
      <w:tr w:rsidR="00A75A8D">
        <w:trPr>
          <w:trHeight w:val="300"/>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75A8D" w:rsidRDefault="008A6A51">
            <w:pPr>
              <w:spacing w:after="0" w:line="240" w:lineRule="auto"/>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ЗКО</w:t>
            </w:r>
          </w:p>
        </w:tc>
        <w:tc>
          <w:tcPr>
            <w:tcW w:w="2126" w:type="dxa"/>
            <w:tcBorders>
              <w:top w:val="nil"/>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22,8</w:t>
            </w:r>
          </w:p>
        </w:tc>
        <w:tc>
          <w:tcPr>
            <w:tcW w:w="1843" w:type="dxa"/>
            <w:tcBorders>
              <w:top w:val="nil"/>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14,6</w:t>
            </w:r>
          </w:p>
        </w:tc>
        <w:tc>
          <w:tcPr>
            <w:tcW w:w="184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-36</w:t>
            </w:r>
          </w:p>
        </w:tc>
        <w:tc>
          <w:tcPr>
            <w:tcW w:w="850" w:type="dxa"/>
            <w:tcBorders>
              <w:top w:val="nil"/>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0,71</w:t>
            </w:r>
          </w:p>
        </w:tc>
      </w:tr>
      <w:tr w:rsidR="00A75A8D">
        <w:trPr>
          <w:trHeight w:val="300"/>
        </w:trPr>
        <w:tc>
          <w:tcPr>
            <w:tcW w:w="3114" w:type="dxa"/>
            <w:tcBorders>
              <w:top w:val="nil"/>
              <w:left w:val="single" w:sz="4" w:space="0" w:color="auto"/>
              <w:bottom w:val="nil"/>
              <w:right w:val="single" w:sz="4" w:space="0" w:color="auto"/>
            </w:tcBorders>
            <w:shd w:val="clear" w:color="auto" w:fill="auto"/>
            <w:noWrap/>
            <w:vAlign w:val="center"/>
          </w:tcPr>
          <w:p w:rsidR="00A75A8D" w:rsidRDefault="008A6A51">
            <w:pPr>
              <w:spacing w:after="0" w:line="240" w:lineRule="auto"/>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Костанайская</w:t>
            </w:r>
          </w:p>
        </w:tc>
        <w:tc>
          <w:tcPr>
            <w:tcW w:w="2126" w:type="dxa"/>
            <w:tcBorders>
              <w:top w:val="nil"/>
              <w:left w:val="nil"/>
              <w:bottom w:val="nil"/>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23,1</w:t>
            </w:r>
          </w:p>
        </w:tc>
        <w:tc>
          <w:tcPr>
            <w:tcW w:w="1843" w:type="dxa"/>
            <w:tcBorders>
              <w:top w:val="nil"/>
              <w:left w:val="nil"/>
              <w:bottom w:val="nil"/>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15,4</w:t>
            </w:r>
          </w:p>
        </w:tc>
        <w:tc>
          <w:tcPr>
            <w:tcW w:w="1843" w:type="dxa"/>
            <w:tcBorders>
              <w:top w:val="nil"/>
              <w:left w:val="nil"/>
              <w:bottom w:val="nil"/>
              <w:right w:val="single" w:sz="4" w:space="0" w:color="auto"/>
            </w:tcBorders>
            <w:shd w:val="clear" w:color="auto" w:fill="auto"/>
            <w:noWrap/>
            <w:vAlign w:val="bottom"/>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-33,3</w:t>
            </w:r>
          </w:p>
        </w:tc>
        <w:tc>
          <w:tcPr>
            <w:tcW w:w="850" w:type="dxa"/>
            <w:tcBorders>
              <w:top w:val="nil"/>
              <w:left w:val="nil"/>
              <w:bottom w:val="nil"/>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0,71</w:t>
            </w:r>
          </w:p>
        </w:tc>
      </w:tr>
      <w:tr w:rsidR="00A75A8D">
        <w:trPr>
          <w:trHeight w:val="300"/>
        </w:trPr>
        <w:tc>
          <w:tcPr>
            <w:tcW w:w="3114" w:type="dxa"/>
            <w:tcBorders>
              <w:top w:val="single" w:sz="8" w:space="0" w:color="auto"/>
              <w:left w:val="single" w:sz="8" w:space="0" w:color="auto"/>
              <w:bottom w:val="single" w:sz="8" w:space="0" w:color="auto"/>
              <w:right w:val="single" w:sz="4" w:space="0" w:color="auto"/>
            </w:tcBorders>
            <w:shd w:val="clear" w:color="auto" w:fill="auto"/>
            <w:noWrap/>
            <w:vAlign w:val="center"/>
          </w:tcPr>
          <w:p w:rsidR="00A75A8D" w:rsidRDefault="008A6A51">
            <w:pPr>
              <w:spacing w:after="0" w:line="240" w:lineRule="auto"/>
              <w:textAlignment w:val="center"/>
              <w:rPr>
                <w:rFonts w:ascii="Times New Roman" w:eastAsia="SimSun" w:hAnsi="Times New Roman" w:cs="Times New Roman"/>
                <w:b/>
                <w:color w:val="000000"/>
                <w:sz w:val="28"/>
                <w:szCs w:val="28"/>
                <w:lang w:val="en-US" w:eastAsia="zh-CN" w:bidi="ar"/>
              </w:rPr>
            </w:pPr>
            <w:r>
              <w:rPr>
                <w:rFonts w:ascii="Times New Roman" w:eastAsia="SimSun" w:hAnsi="Times New Roman" w:cs="Times New Roman"/>
                <w:b/>
                <w:color w:val="000000"/>
                <w:sz w:val="28"/>
                <w:szCs w:val="28"/>
                <w:lang w:val="en-US" w:eastAsia="zh-CN" w:bidi="ar"/>
              </w:rPr>
              <w:t>РК</w:t>
            </w:r>
          </w:p>
        </w:tc>
        <w:tc>
          <w:tcPr>
            <w:tcW w:w="2126" w:type="dxa"/>
            <w:tcBorders>
              <w:top w:val="single" w:sz="8" w:space="0" w:color="auto"/>
              <w:left w:val="nil"/>
              <w:bottom w:val="single" w:sz="8"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b/>
                <w:color w:val="000000"/>
                <w:sz w:val="28"/>
                <w:szCs w:val="28"/>
                <w:lang w:val="en-US" w:eastAsia="zh-CN" w:bidi="ar"/>
              </w:rPr>
            </w:pPr>
            <w:r>
              <w:rPr>
                <w:rFonts w:ascii="Times New Roman" w:eastAsia="SimSun" w:hAnsi="Times New Roman" w:cs="Times New Roman"/>
                <w:b/>
                <w:color w:val="000000"/>
                <w:sz w:val="28"/>
                <w:szCs w:val="28"/>
                <w:lang w:val="en-US" w:eastAsia="zh-CN" w:bidi="ar"/>
              </w:rPr>
              <w:t>19,1</w:t>
            </w:r>
          </w:p>
        </w:tc>
        <w:tc>
          <w:tcPr>
            <w:tcW w:w="1843" w:type="dxa"/>
            <w:tcBorders>
              <w:top w:val="single" w:sz="8" w:space="0" w:color="auto"/>
              <w:left w:val="nil"/>
              <w:bottom w:val="single" w:sz="8"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b/>
                <w:color w:val="000000"/>
                <w:sz w:val="28"/>
                <w:szCs w:val="28"/>
                <w:lang w:val="en-US" w:eastAsia="zh-CN" w:bidi="ar"/>
              </w:rPr>
            </w:pPr>
            <w:r>
              <w:rPr>
                <w:rFonts w:ascii="Times New Roman" w:eastAsia="SimSun" w:hAnsi="Times New Roman" w:cs="Times New Roman"/>
                <w:b/>
                <w:color w:val="000000"/>
                <w:sz w:val="28"/>
                <w:szCs w:val="28"/>
                <w:lang w:val="en-US" w:eastAsia="zh-CN" w:bidi="ar"/>
              </w:rPr>
              <w:t>12,9</w:t>
            </w:r>
          </w:p>
        </w:tc>
        <w:tc>
          <w:tcPr>
            <w:tcW w:w="1843" w:type="dxa"/>
            <w:tcBorders>
              <w:top w:val="single" w:sz="8" w:space="0" w:color="auto"/>
              <w:left w:val="nil"/>
              <w:bottom w:val="single" w:sz="8" w:space="0" w:color="auto"/>
              <w:right w:val="single" w:sz="4" w:space="0" w:color="auto"/>
            </w:tcBorders>
            <w:shd w:val="clear" w:color="auto" w:fill="auto"/>
            <w:noWrap/>
            <w:vAlign w:val="bottom"/>
          </w:tcPr>
          <w:p w:rsidR="00A75A8D" w:rsidRDefault="008A6A51">
            <w:pPr>
              <w:spacing w:after="0" w:line="240" w:lineRule="auto"/>
              <w:jc w:val="center"/>
              <w:textAlignment w:val="center"/>
              <w:rPr>
                <w:rFonts w:ascii="Times New Roman" w:eastAsia="SimSun" w:hAnsi="Times New Roman" w:cs="Times New Roman"/>
                <w:b/>
                <w:color w:val="000000"/>
                <w:sz w:val="28"/>
                <w:szCs w:val="28"/>
                <w:lang w:val="en-US" w:eastAsia="zh-CN" w:bidi="ar"/>
              </w:rPr>
            </w:pPr>
            <w:r>
              <w:rPr>
                <w:rFonts w:ascii="Times New Roman" w:eastAsia="SimSun" w:hAnsi="Times New Roman" w:cs="Times New Roman"/>
                <w:b/>
                <w:color w:val="000000"/>
                <w:sz w:val="28"/>
                <w:szCs w:val="28"/>
                <w:lang w:val="en-US" w:eastAsia="zh-CN" w:bidi="ar"/>
              </w:rPr>
              <w:t>-32,5</w:t>
            </w:r>
          </w:p>
        </w:tc>
        <w:tc>
          <w:tcPr>
            <w:tcW w:w="850" w:type="dxa"/>
            <w:tcBorders>
              <w:top w:val="single" w:sz="8" w:space="0" w:color="auto"/>
              <w:left w:val="nil"/>
              <w:bottom w:val="single" w:sz="8"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b/>
                <w:color w:val="000000"/>
                <w:sz w:val="28"/>
                <w:szCs w:val="28"/>
                <w:lang w:val="en-US" w:eastAsia="zh-CN" w:bidi="ar"/>
              </w:rPr>
            </w:pPr>
            <w:r>
              <w:rPr>
                <w:rFonts w:ascii="Times New Roman" w:eastAsia="SimSun" w:hAnsi="Times New Roman" w:cs="Times New Roman"/>
                <w:b/>
                <w:color w:val="000000"/>
                <w:sz w:val="28"/>
                <w:szCs w:val="28"/>
                <w:lang w:val="en-US" w:eastAsia="zh-CN" w:bidi="ar"/>
              </w:rPr>
              <w:t>0,91</w:t>
            </w:r>
          </w:p>
        </w:tc>
      </w:tr>
      <w:tr w:rsidR="00A75A8D">
        <w:trPr>
          <w:trHeight w:val="300"/>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75A8D" w:rsidRDefault="008A6A51">
            <w:pPr>
              <w:spacing w:after="0" w:line="240" w:lineRule="auto"/>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Атырауская</w:t>
            </w:r>
          </w:p>
        </w:tc>
        <w:tc>
          <w:tcPr>
            <w:tcW w:w="2126" w:type="dxa"/>
            <w:tcBorders>
              <w:top w:val="nil"/>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15,2</w:t>
            </w:r>
          </w:p>
        </w:tc>
        <w:tc>
          <w:tcPr>
            <w:tcW w:w="1843" w:type="dxa"/>
            <w:tcBorders>
              <w:top w:val="nil"/>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10,9</w:t>
            </w:r>
          </w:p>
        </w:tc>
        <w:tc>
          <w:tcPr>
            <w:tcW w:w="184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-28,3</w:t>
            </w:r>
          </w:p>
        </w:tc>
        <w:tc>
          <w:tcPr>
            <w:tcW w:w="850" w:type="dxa"/>
            <w:tcBorders>
              <w:top w:val="nil"/>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0,38</w:t>
            </w:r>
          </w:p>
        </w:tc>
      </w:tr>
      <w:tr w:rsidR="00A75A8D">
        <w:trPr>
          <w:trHeight w:val="300"/>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75A8D" w:rsidRDefault="008A6A51">
            <w:pPr>
              <w:spacing w:after="0" w:line="240" w:lineRule="auto"/>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г. Алматы</w:t>
            </w:r>
          </w:p>
        </w:tc>
        <w:tc>
          <w:tcPr>
            <w:tcW w:w="2126" w:type="dxa"/>
            <w:tcBorders>
              <w:top w:val="nil"/>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17,8</w:t>
            </w:r>
          </w:p>
        </w:tc>
        <w:tc>
          <w:tcPr>
            <w:tcW w:w="1843" w:type="dxa"/>
            <w:tcBorders>
              <w:top w:val="nil"/>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12,6</w:t>
            </w:r>
          </w:p>
        </w:tc>
        <w:tc>
          <w:tcPr>
            <w:tcW w:w="184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-29,2</w:t>
            </w:r>
          </w:p>
        </w:tc>
        <w:tc>
          <w:tcPr>
            <w:tcW w:w="850" w:type="dxa"/>
            <w:tcBorders>
              <w:top w:val="nil"/>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0,67</w:t>
            </w:r>
          </w:p>
        </w:tc>
      </w:tr>
      <w:tr w:rsidR="00A75A8D">
        <w:trPr>
          <w:trHeight w:val="300"/>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75A8D" w:rsidRDefault="008A6A51">
            <w:pPr>
              <w:spacing w:after="0" w:line="240" w:lineRule="auto"/>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г. Астана</w:t>
            </w:r>
          </w:p>
        </w:tc>
        <w:tc>
          <w:tcPr>
            <w:tcW w:w="2126" w:type="dxa"/>
            <w:tcBorders>
              <w:top w:val="nil"/>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14,5</w:t>
            </w:r>
          </w:p>
        </w:tc>
        <w:tc>
          <w:tcPr>
            <w:tcW w:w="1843" w:type="dxa"/>
            <w:tcBorders>
              <w:top w:val="nil"/>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12,2</w:t>
            </w:r>
          </w:p>
        </w:tc>
        <w:tc>
          <w:tcPr>
            <w:tcW w:w="184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-15,9</w:t>
            </w:r>
          </w:p>
        </w:tc>
        <w:tc>
          <w:tcPr>
            <w:tcW w:w="850" w:type="dxa"/>
            <w:tcBorders>
              <w:top w:val="nil"/>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0,31</w:t>
            </w:r>
          </w:p>
        </w:tc>
      </w:tr>
      <w:tr w:rsidR="00A75A8D">
        <w:trPr>
          <w:trHeight w:val="300"/>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75A8D" w:rsidRDefault="008A6A51">
            <w:pPr>
              <w:spacing w:after="0" w:line="240" w:lineRule="auto"/>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Актюбинская</w:t>
            </w:r>
          </w:p>
        </w:tc>
        <w:tc>
          <w:tcPr>
            <w:tcW w:w="2126" w:type="dxa"/>
            <w:tcBorders>
              <w:top w:val="nil"/>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17,7</w:t>
            </w:r>
          </w:p>
        </w:tc>
        <w:tc>
          <w:tcPr>
            <w:tcW w:w="1843" w:type="dxa"/>
            <w:tcBorders>
              <w:top w:val="nil"/>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10,8</w:t>
            </w:r>
          </w:p>
        </w:tc>
        <w:tc>
          <w:tcPr>
            <w:tcW w:w="184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-39</w:t>
            </w:r>
          </w:p>
        </w:tc>
        <w:tc>
          <w:tcPr>
            <w:tcW w:w="850" w:type="dxa"/>
            <w:tcBorders>
              <w:top w:val="nil"/>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0,60</w:t>
            </w:r>
          </w:p>
        </w:tc>
      </w:tr>
      <w:tr w:rsidR="00A75A8D">
        <w:trPr>
          <w:trHeight w:val="300"/>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75A8D" w:rsidRDefault="008A6A51">
            <w:pPr>
              <w:spacing w:after="0" w:line="240" w:lineRule="auto"/>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Жамбылская</w:t>
            </w:r>
          </w:p>
        </w:tc>
        <w:tc>
          <w:tcPr>
            <w:tcW w:w="2126" w:type="dxa"/>
            <w:tcBorders>
              <w:top w:val="nil"/>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14,3</w:t>
            </w:r>
          </w:p>
        </w:tc>
        <w:tc>
          <w:tcPr>
            <w:tcW w:w="1843" w:type="dxa"/>
            <w:tcBorders>
              <w:top w:val="nil"/>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12,3</w:t>
            </w:r>
          </w:p>
        </w:tc>
        <w:tc>
          <w:tcPr>
            <w:tcW w:w="184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-14</w:t>
            </w:r>
          </w:p>
        </w:tc>
        <w:tc>
          <w:tcPr>
            <w:tcW w:w="850" w:type="dxa"/>
            <w:tcBorders>
              <w:top w:val="nil"/>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0,59</w:t>
            </w:r>
          </w:p>
        </w:tc>
      </w:tr>
      <w:tr w:rsidR="00A75A8D">
        <w:trPr>
          <w:trHeight w:val="300"/>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75A8D" w:rsidRDefault="008A6A51">
            <w:pPr>
              <w:spacing w:after="0" w:line="240" w:lineRule="auto"/>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Кызыл</w:t>
            </w:r>
            <w:r>
              <w:rPr>
                <w:rFonts w:ascii="Times New Roman" w:eastAsia="SimSun" w:hAnsi="Times New Roman" w:cs="Times New Roman"/>
                <w:color w:val="000000"/>
                <w:sz w:val="28"/>
                <w:szCs w:val="28"/>
                <w:lang w:eastAsia="zh-CN" w:bidi="ar"/>
              </w:rPr>
              <w:t>о</w:t>
            </w:r>
            <w:r>
              <w:rPr>
                <w:rFonts w:ascii="Times New Roman" w:eastAsia="SimSun" w:hAnsi="Times New Roman" w:cs="Times New Roman"/>
                <w:color w:val="000000"/>
                <w:sz w:val="28"/>
                <w:szCs w:val="28"/>
                <w:lang w:val="en-US" w:eastAsia="zh-CN" w:bidi="ar"/>
              </w:rPr>
              <w:t>рдинская</w:t>
            </w:r>
          </w:p>
        </w:tc>
        <w:tc>
          <w:tcPr>
            <w:tcW w:w="2126" w:type="dxa"/>
            <w:tcBorders>
              <w:top w:val="nil"/>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17,4</w:t>
            </w:r>
          </w:p>
        </w:tc>
        <w:tc>
          <w:tcPr>
            <w:tcW w:w="1843" w:type="dxa"/>
            <w:tcBorders>
              <w:top w:val="nil"/>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9,3</w:t>
            </w:r>
          </w:p>
        </w:tc>
        <w:tc>
          <w:tcPr>
            <w:tcW w:w="184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-46,6</w:t>
            </w:r>
          </w:p>
        </w:tc>
        <w:tc>
          <w:tcPr>
            <w:tcW w:w="850" w:type="dxa"/>
            <w:tcBorders>
              <w:top w:val="nil"/>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0,58</w:t>
            </w:r>
          </w:p>
        </w:tc>
      </w:tr>
      <w:tr w:rsidR="00A75A8D">
        <w:trPr>
          <w:trHeight w:val="300"/>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75A8D" w:rsidRDefault="008A6A51">
            <w:pPr>
              <w:spacing w:after="0" w:line="240" w:lineRule="auto"/>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Алматинская</w:t>
            </w:r>
          </w:p>
        </w:tc>
        <w:tc>
          <w:tcPr>
            <w:tcW w:w="2126" w:type="dxa"/>
            <w:tcBorders>
              <w:top w:val="nil"/>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14,8</w:t>
            </w:r>
          </w:p>
        </w:tc>
        <w:tc>
          <w:tcPr>
            <w:tcW w:w="1843" w:type="dxa"/>
            <w:tcBorders>
              <w:top w:val="nil"/>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8,5</w:t>
            </w:r>
          </w:p>
        </w:tc>
        <w:tc>
          <w:tcPr>
            <w:tcW w:w="184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-42,6</w:t>
            </w:r>
          </w:p>
        </w:tc>
        <w:tc>
          <w:tcPr>
            <w:tcW w:w="850" w:type="dxa"/>
            <w:tcBorders>
              <w:top w:val="nil"/>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0,45</w:t>
            </w:r>
          </w:p>
        </w:tc>
      </w:tr>
      <w:tr w:rsidR="00A75A8D">
        <w:trPr>
          <w:trHeight w:val="300"/>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75A8D" w:rsidRDefault="008A6A51">
            <w:pPr>
              <w:spacing w:after="0" w:line="240" w:lineRule="auto"/>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Мангистауская</w:t>
            </w:r>
          </w:p>
        </w:tc>
        <w:tc>
          <w:tcPr>
            <w:tcW w:w="2126" w:type="dxa"/>
            <w:tcBorders>
              <w:top w:val="nil"/>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7,6</w:t>
            </w:r>
          </w:p>
        </w:tc>
        <w:tc>
          <w:tcPr>
            <w:tcW w:w="1843" w:type="dxa"/>
            <w:tcBorders>
              <w:top w:val="nil"/>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5,9</w:t>
            </w:r>
          </w:p>
        </w:tc>
        <w:tc>
          <w:tcPr>
            <w:tcW w:w="184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-22,4</w:t>
            </w:r>
          </w:p>
        </w:tc>
        <w:tc>
          <w:tcPr>
            <w:tcW w:w="850" w:type="dxa"/>
            <w:tcBorders>
              <w:top w:val="nil"/>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0,02</w:t>
            </w:r>
          </w:p>
        </w:tc>
      </w:tr>
      <w:tr w:rsidR="00A75A8D">
        <w:trPr>
          <w:trHeight w:val="300"/>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75A8D" w:rsidRDefault="008A6A51">
            <w:pPr>
              <w:spacing w:after="0" w:line="240" w:lineRule="auto"/>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lastRenderedPageBreak/>
              <w:t>ЮКО</w:t>
            </w:r>
          </w:p>
        </w:tc>
        <w:tc>
          <w:tcPr>
            <w:tcW w:w="2126" w:type="dxa"/>
            <w:tcBorders>
              <w:top w:val="nil"/>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6,4</w:t>
            </w:r>
          </w:p>
        </w:tc>
        <w:tc>
          <w:tcPr>
            <w:tcW w:w="1843" w:type="dxa"/>
            <w:tcBorders>
              <w:top w:val="nil"/>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6,8</w:t>
            </w:r>
          </w:p>
        </w:tc>
        <w:tc>
          <w:tcPr>
            <w:tcW w:w="184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6,3</w:t>
            </w:r>
          </w:p>
        </w:tc>
        <w:tc>
          <w:tcPr>
            <w:tcW w:w="850" w:type="dxa"/>
            <w:tcBorders>
              <w:top w:val="nil"/>
              <w:left w:val="nil"/>
              <w:bottom w:val="single" w:sz="4" w:space="0" w:color="auto"/>
              <w:right w:val="single" w:sz="4" w:space="0" w:color="auto"/>
            </w:tcBorders>
            <w:shd w:val="clear" w:color="auto" w:fill="auto"/>
            <w:noWrap/>
            <w:vAlign w:val="center"/>
          </w:tcPr>
          <w:p w:rsidR="00A75A8D" w:rsidRDefault="008A6A51">
            <w:pPr>
              <w:spacing w:after="0" w:line="240" w:lineRule="auto"/>
              <w:jc w:val="center"/>
              <w:textAlignment w:val="center"/>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0,15</w:t>
            </w:r>
          </w:p>
        </w:tc>
      </w:tr>
    </w:tbl>
    <w:p w:rsidR="00A75A8D" w:rsidRDefault="00A75A8D">
      <w:pPr>
        <w:spacing w:after="0" w:line="240" w:lineRule="auto"/>
        <w:ind w:firstLine="567"/>
        <w:jc w:val="both"/>
        <w:rPr>
          <w:rFonts w:ascii="Times New Roman" w:hAnsi="Times New Roman" w:cs="Times New Roman"/>
          <w:sz w:val="28"/>
          <w:szCs w:val="28"/>
        </w:rPr>
      </w:pP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Согласно данным </w:t>
      </w:r>
      <w:r>
        <w:rPr>
          <w:rFonts w:ascii="Times New Roman" w:hAnsi="Times New Roman" w:cs="Times New Roman"/>
          <w:color w:val="000000" w:themeColor="text1"/>
          <w:sz w:val="28"/>
          <w:szCs w:val="28"/>
        </w:rPr>
        <w:t>из</w:t>
      </w:r>
      <w:r>
        <w:rPr>
          <w:rFonts w:ascii="Times New Roman" w:hAnsi="Times New Roman" w:cs="Times New Roman"/>
          <w:sz w:val="28"/>
          <w:szCs w:val="28"/>
        </w:rPr>
        <w:t xml:space="preserve"> таблицы 4 за 10-летний период, наиболее высокий </w:t>
      </w:r>
      <w:r>
        <w:rPr>
          <w:rFonts w:ascii="Times New Roman" w:hAnsi="Times New Roman" w:cs="Times New Roman"/>
          <w:color w:val="000000" w:themeColor="text1"/>
          <w:sz w:val="28"/>
          <w:szCs w:val="28"/>
        </w:rPr>
        <w:t>показатель</w:t>
      </w:r>
      <w:r>
        <w:rPr>
          <w:rFonts w:ascii="Times New Roman" w:hAnsi="Times New Roman" w:cs="Times New Roman"/>
          <w:sz w:val="28"/>
          <w:szCs w:val="28"/>
        </w:rPr>
        <w:t xml:space="preserve"> смертности, превышающий общереспубликанский </w:t>
      </w:r>
      <w:r>
        <w:rPr>
          <w:rFonts w:ascii="Times New Roman" w:hAnsi="Times New Roman" w:cs="Times New Roman"/>
          <w:color w:val="000000" w:themeColor="text1"/>
          <w:sz w:val="28"/>
          <w:szCs w:val="28"/>
        </w:rPr>
        <w:t xml:space="preserve">наблюдался </w:t>
      </w:r>
      <w:r>
        <w:rPr>
          <w:rFonts w:ascii="Times New Roman" w:hAnsi="Times New Roman" w:cs="Times New Roman"/>
          <w:sz w:val="28"/>
          <w:szCs w:val="28"/>
        </w:rPr>
        <w:t>в 7 регионах. Так, среднегодовой показатель смертности за 10 лет в Восточно-Казахстанской области составил 29,1</w:t>
      </w:r>
      <w:r>
        <w:rPr>
          <w:rFonts w:ascii="Times New Roman" w:hAnsi="Times New Roman" w:cs="Times New Roman"/>
          <w:sz w:val="28"/>
          <w:szCs w:val="28"/>
          <w:vertAlign w:val="superscript"/>
        </w:rPr>
        <w:t>0</w:t>
      </w:r>
      <w:r>
        <w:rPr>
          <w:rFonts w:ascii="Times New Roman" w:hAnsi="Times New Roman" w:cs="Times New Roman"/>
          <w:sz w:val="28"/>
          <w:szCs w:val="28"/>
        </w:rPr>
        <w:t>/</w:t>
      </w:r>
      <w:r>
        <w:rPr>
          <w:rFonts w:ascii="Times New Roman" w:hAnsi="Times New Roman" w:cs="Times New Roman"/>
          <w:sz w:val="28"/>
          <w:szCs w:val="28"/>
          <w:vertAlign w:val="subscript"/>
        </w:rPr>
        <w:t>0000</w:t>
      </w:r>
      <w:r>
        <w:rPr>
          <w:rFonts w:ascii="Times New Roman" w:hAnsi="Times New Roman" w:cs="Times New Roman"/>
          <w:sz w:val="28"/>
          <w:szCs w:val="28"/>
        </w:rPr>
        <w:t xml:space="preserve"> - самый высокий уровень</w:t>
      </w:r>
      <w:r>
        <w:rPr>
          <w:rFonts w:ascii="Times New Roman" w:hAnsi="Times New Roman" w:cs="Times New Roman"/>
          <w:sz w:val="28"/>
          <w:szCs w:val="28"/>
        </w:rPr>
        <w:t xml:space="preserve">, Павлодарской - 27 </w:t>
      </w:r>
      <w:r>
        <w:rPr>
          <w:rFonts w:ascii="Times New Roman" w:hAnsi="Times New Roman" w:cs="Times New Roman"/>
          <w:sz w:val="28"/>
          <w:szCs w:val="28"/>
          <w:vertAlign w:val="superscript"/>
        </w:rPr>
        <w:t>0</w:t>
      </w:r>
      <w:r>
        <w:rPr>
          <w:rFonts w:ascii="Times New Roman" w:hAnsi="Times New Roman" w:cs="Times New Roman"/>
          <w:sz w:val="28"/>
          <w:szCs w:val="28"/>
        </w:rPr>
        <w:t>/</w:t>
      </w:r>
      <w:r>
        <w:rPr>
          <w:rFonts w:ascii="Times New Roman" w:hAnsi="Times New Roman" w:cs="Times New Roman"/>
          <w:sz w:val="28"/>
          <w:szCs w:val="28"/>
          <w:vertAlign w:val="subscript"/>
        </w:rPr>
        <w:t>0000</w:t>
      </w:r>
      <w:r>
        <w:rPr>
          <w:rFonts w:ascii="Times New Roman" w:hAnsi="Times New Roman" w:cs="Times New Roman"/>
          <w:sz w:val="28"/>
          <w:szCs w:val="28"/>
        </w:rPr>
        <w:t>, Северо-Казахстанской – 26,9</w:t>
      </w:r>
      <w:r>
        <w:rPr>
          <w:rFonts w:ascii="Times New Roman" w:hAnsi="Times New Roman" w:cs="Times New Roman"/>
          <w:sz w:val="28"/>
          <w:szCs w:val="28"/>
          <w:vertAlign w:val="superscript"/>
        </w:rPr>
        <w:t>0</w:t>
      </w:r>
      <w:r>
        <w:rPr>
          <w:rFonts w:ascii="Times New Roman" w:hAnsi="Times New Roman" w:cs="Times New Roman"/>
          <w:sz w:val="28"/>
          <w:szCs w:val="28"/>
        </w:rPr>
        <w:t>/</w:t>
      </w:r>
      <w:r>
        <w:rPr>
          <w:rFonts w:ascii="Times New Roman" w:hAnsi="Times New Roman" w:cs="Times New Roman"/>
          <w:sz w:val="28"/>
          <w:szCs w:val="28"/>
          <w:vertAlign w:val="subscript"/>
        </w:rPr>
        <w:t>0000</w:t>
      </w:r>
      <w:r>
        <w:rPr>
          <w:rFonts w:ascii="Times New Roman" w:hAnsi="Times New Roman" w:cs="Times New Roman"/>
          <w:sz w:val="28"/>
          <w:szCs w:val="28"/>
        </w:rPr>
        <w:t>, Акмолинской – 25,0</w:t>
      </w:r>
      <w:r>
        <w:rPr>
          <w:rFonts w:ascii="Times New Roman" w:hAnsi="Times New Roman" w:cs="Times New Roman"/>
          <w:sz w:val="28"/>
          <w:szCs w:val="28"/>
          <w:vertAlign w:val="superscript"/>
        </w:rPr>
        <w:t>0</w:t>
      </w:r>
      <w:r>
        <w:rPr>
          <w:rFonts w:ascii="Times New Roman" w:hAnsi="Times New Roman" w:cs="Times New Roman"/>
          <w:sz w:val="28"/>
          <w:szCs w:val="28"/>
        </w:rPr>
        <w:t>/</w:t>
      </w:r>
      <w:r>
        <w:rPr>
          <w:rFonts w:ascii="Times New Roman" w:hAnsi="Times New Roman" w:cs="Times New Roman"/>
          <w:sz w:val="28"/>
          <w:szCs w:val="28"/>
          <w:vertAlign w:val="subscript"/>
        </w:rPr>
        <w:t>0000</w:t>
      </w:r>
      <w:r>
        <w:rPr>
          <w:rFonts w:ascii="Times New Roman" w:hAnsi="Times New Roman" w:cs="Times New Roman"/>
          <w:sz w:val="28"/>
          <w:szCs w:val="28"/>
        </w:rPr>
        <w:t>, Карагандинской – 21,1</w:t>
      </w:r>
      <w:r>
        <w:rPr>
          <w:rFonts w:ascii="Times New Roman" w:hAnsi="Times New Roman" w:cs="Times New Roman"/>
          <w:sz w:val="28"/>
          <w:szCs w:val="28"/>
          <w:vertAlign w:val="superscript"/>
        </w:rPr>
        <w:t>0</w:t>
      </w:r>
      <w:r>
        <w:rPr>
          <w:rFonts w:ascii="Times New Roman" w:hAnsi="Times New Roman" w:cs="Times New Roman"/>
          <w:sz w:val="28"/>
          <w:szCs w:val="28"/>
        </w:rPr>
        <w:t>/</w:t>
      </w:r>
      <w:r>
        <w:rPr>
          <w:rFonts w:ascii="Times New Roman" w:hAnsi="Times New Roman" w:cs="Times New Roman"/>
          <w:sz w:val="28"/>
          <w:szCs w:val="28"/>
          <w:vertAlign w:val="subscript"/>
        </w:rPr>
        <w:t>0000</w:t>
      </w:r>
      <w:r>
        <w:rPr>
          <w:rFonts w:ascii="Times New Roman" w:hAnsi="Times New Roman" w:cs="Times New Roman"/>
          <w:sz w:val="28"/>
          <w:szCs w:val="28"/>
        </w:rPr>
        <w:t>, Костанайской – 19,0</w:t>
      </w:r>
      <w:r>
        <w:rPr>
          <w:rFonts w:ascii="Times New Roman" w:hAnsi="Times New Roman" w:cs="Times New Roman"/>
          <w:sz w:val="28"/>
          <w:szCs w:val="28"/>
          <w:vertAlign w:val="superscript"/>
        </w:rPr>
        <w:t>0</w:t>
      </w:r>
      <w:r>
        <w:rPr>
          <w:rFonts w:ascii="Times New Roman" w:hAnsi="Times New Roman" w:cs="Times New Roman"/>
          <w:sz w:val="28"/>
          <w:szCs w:val="28"/>
        </w:rPr>
        <w:t>/</w:t>
      </w:r>
      <w:r>
        <w:rPr>
          <w:rFonts w:ascii="Times New Roman" w:hAnsi="Times New Roman" w:cs="Times New Roman"/>
          <w:sz w:val="28"/>
          <w:szCs w:val="28"/>
          <w:vertAlign w:val="subscript"/>
        </w:rPr>
        <w:t>0000</w:t>
      </w:r>
      <w:r>
        <w:rPr>
          <w:rFonts w:ascii="Times New Roman" w:hAnsi="Times New Roman" w:cs="Times New Roman"/>
          <w:sz w:val="28"/>
          <w:szCs w:val="28"/>
        </w:rPr>
        <w:t xml:space="preserve"> и Западно-Казахстанской – 18,5</w:t>
      </w:r>
      <w:r>
        <w:rPr>
          <w:rFonts w:ascii="Times New Roman" w:hAnsi="Times New Roman" w:cs="Times New Roman"/>
          <w:sz w:val="28"/>
          <w:szCs w:val="28"/>
          <w:vertAlign w:val="superscript"/>
        </w:rPr>
        <w:t>0</w:t>
      </w:r>
      <w:r>
        <w:rPr>
          <w:rFonts w:ascii="Times New Roman" w:hAnsi="Times New Roman" w:cs="Times New Roman"/>
          <w:sz w:val="28"/>
          <w:szCs w:val="28"/>
        </w:rPr>
        <w:t>/</w:t>
      </w:r>
      <w:r>
        <w:rPr>
          <w:rFonts w:ascii="Times New Roman" w:hAnsi="Times New Roman" w:cs="Times New Roman"/>
          <w:sz w:val="28"/>
          <w:szCs w:val="28"/>
          <w:vertAlign w:val="subscript"/>
        </w:rPr>
        <w:t>0000</w:t>
      </w:r>
      <w:r>
        <w:rPr>
          <w:rFonts w:ascii="Times New Roman" w:hAnsi="Times New Roman" w:cs="Times New Roman"/>
          <w:sz w:val="28"/>
          <w:szCs w:val="28"/>
        </w:rPr>
        <w:t xml:space="preserve">.  </w:t>
      </w:r>
    </w:p>
    <w:p w:rsidR="00A75A8D" w:rsidRDefault="008A6A5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В 9 регионах отмечена смертность ниже среднего уровня по стране. </w:t>
      </w:r>
      <w:r>
        <w:rPr>
          <w:rFonts w:ascii="Times New Roman" w:hAnsi="Times New Roman" w:cs="Times New Roman"/>
          <w:sz w:val="28"/>
          <w:szCs w:val="28"/>
        </w:rPr>
        <w:t xml:space="preserve">Среднегодовой показатель смертности </w:t>
      </w:r>
      <w:r>
        <w:rPr>
          <w:rFonts w:ascii="Times New Roman" w:eastAsia="Times New Roman" w:hAnsi="Times New Roman" w:cs="Times New Roman"/>
          <w:sz w:val="28"/>
        </w:rPr>
        <w:t>от рака легкого в Атырауской области составил 15,2</w:t>
      </w:r>
      <w:r>
        <w:rPr>
          <w:rFonts w:ascii="Times New Roman" w:hAnsi="Times New Roman" w:cs="Times New Roman"/>
          <w:sz w:val="28"/>
          <w:szCs w:val="28"/>
          <w:vertAlign w:val="superscript"/>
        </w:rPr>
        <w:t>0</w:t>
      </w:r>
      <w:r>
        <w:rPr>
          <w:rFonts w:ascii="Times New Roman" w:hAnsi="Times New Roman" w:cs="Times New Roman"/>
          <w:sz w:val="28"/>
          <w:szCs w:val="28"/>
        </w:rPr>
        <w:t>/</w:t>
      </w:r>
      <w:r>
        <w:rPr>
          <w:rFonts w:ascii="Times New Roman" w:hAnsi="Times New Roman" w:cs="Times New Roman"/>
          <w:sz w:val="28"/>
          <w:szCs w:val="28"/>
          <w:vertAlign w:val="subscript"/>
        </w:rPr>
        <w:t xml:space="preserve">0000, </w:t>
      </w:r>
      <w:r>
        <w:rPr>
          <w:rFonts w:ascii="Times New Roman" w:hAnsi="Times New Roman" w:cs="Times New Roman"/>
          <w:sz w:val="28"/>
          <w:szCs w:val="28"/>
        </w:rPr>
        <w:t>в городе Алматы – 14,5</w:t>
      </w:r>
      <w:r>
        <w:rPr>
          <w:rFonts w:ascii="Times New Roman" w:hAnsi="Times New Roman" w:cs="Times New Roman"/>
          <w:sz w:val="28"/>
          <w:szCs w:val="28"/>
          <w:vertAlign w:val="superscript"/>
        </w:rPr>
        <w:t>0</w:t>
      </w:r>
      <w:r>
        <w:rPr>
          <w:rFonts w:ascii="Times New Roman" w:hAnsi="Times New Roman" w:cs="Times New Roman"/>
          <w:sz w:val="28"/>
          <w:szCs w:val="28"/>
        </w:rPr>
        <w:t>/</w:t>
      </w:r>
      <w:r>
        <w:rPr>
          <w:rFonts w:ascii="Times New Roman" w:hAnsi="Times New Roman" w:cs="Times New Roman"/>
          <w:sz w:val="28"/>
          <w:szCs w:val="28"/>
          <w:vertAlign w:val="subscript"/>
        </w:rPr>
        <w:t xml:space="preserve">0000, </w:t>
      </w:r>
      <w:r>
        <w:rPr>
          <w:rFonts w:ascii="Times New Roman" w:hAnsi="Times New Roman" w:cs="Times New Roman"/>
          <w:sz w:val="28"/>
          <w:szCs w:val="28"/>
        </w:rPr>
        <w:t>в городе Астана – 14,1</w:t>
      </w:r>
      <w:r>
        <w:rPr>
          <w:rFonts w:ascii="Times New Roman" w:hAnsi="Times New Roman" w:cs="Times New Roman"/>
          <w:sz w:val="28"/>
          <w:szCs w:val="28"/>
          <w:vertAlign w:val="superscript"/>
        </w:rPr>
        <w:t>0</w:t>
      </w:r>
      <w:r>
        <w:rPr>
          <w:rFonts w:ascii="Times New Roman" w:hAnsi="Times New Roman" w:cs="Times New Roman"/>
          <w:sz w:val="28"/>
          <w:szCs w:val="28"/>
        </w:rPr>
        <w:t>/</w:t>
      </w:r>
      <w:r>
        <w:rPr>
          <w:rFonts w:ascii="Times New Roman" w:hAnsi="Times New Roman" w:cs="Times New Roman"/>
          <w:sz w:val="28"/>
          <w:szCs w:val="28"/>
          <w:vertAlign w:val="subscript"/>
        </w:rPr>
        <w:t xml:space="preserve">0000, </w:t>
      </w:r>
      <w:r>
        <w:rPr>
          <w:rFonts w:ascii="Times New Roman" w:hAnsi="Times New Roman" w:cs="Times New Roman"/>
          <w:sz w:val="28"/>
          <w:szCs w:val="28"/>
        </w:rPr>
        <w:t>в Актюбинской области – 14,0</w:t>
      </w:r>
      <w:r>
        <w:rPr>
          <w:rFonts w:ascii="Times New Roman" w:hAnsi="Times New Roman" w:cs="Times New Roman"/>
          <w:sz w:val="28"/>
          <w:szCs w:val="28"/>
          <w:vertAlign w:val="superscript"/>
        </w:rPr>
        <w:t>0</w:t>
      </w:r>
      <w:r>
        <w:rPr>
          <w:rFonts w:ascii="Times New Roman" w:hAnsi="Times New Roman" w:cs="Times New Roman"/>
          <w:sz w:val="28"/>
          <w:szCs w:val="28"/>
        </w:rPr>
        <w:t>/</w:t>
      </w:r>
      <w:r>
        <w:rPr>
          <w:rFonts w:ascii="Times New Roman" w:hAnsi="Times New Roman" w:cs="Times New Roman"/>
          <w:sz w:val="28"/>
          <w:szCs w:val="28"/>
          <w:vertAlign w:val="subscript"/>
        </w:rPr>
        <w:t>0000</w:t>
      </w:r>
      <w:r>
        <w:rPr>
          <w:rFonts w:ascii="Times New Roman" w:hAnsi="Times New Roman" w:cs="Times New Roman"/>
          <w:sz w:val="28"/>
          <w:szCs w:val="28"/>
        </w:rPr>
        <w:t>, Жамбылской – 13,7</w:t>
      </w:r>
      <w:r>
        <w:rPr>
          <w:rFonts w:ascii="Times New Roman" w:hAnsi="Times New Roman" w:cs="Times New Roman"/>
          <w:sz w:val="28"/>
          <w:szCs w:val="28"/>
          <w:vertAlign w:val="superscript"/>
        </w:rPr>
        <w:t>0</w:t>
      </w:r>
      <w:r>
        <w:rPr>
          <w:rFonts w:ascii="Times New Roman" w:hAnsi="Times New Roman" w:cs="Times New Roman"/>
          <w:sz w:val="28"/>
          <w:szCs w:val="28"/>
        </w:rPr>
        <w:t>/</w:t>
      </w:r>
      <w:r>
        <w:rPr>
          <w:rFonts w:ascii="Times New Roman" w:hAnsi="Times New Roman" w:cs="Times New Roman"/>
          <w:sz w:val="28"/>
          <w:szCs w:val="28"/>
          <w:vertAlign w:val="subscript"/>
        </w:rPr>
        <w:t>0000</w:t>
      </w:r>
      <w:r>
        <w:rPr>
          <w:rFonts w:ascii="Times New Roman" w:hAnsi="Times New Roman" w:cs="Times New Roman"/>
          <w:sz w:val="28"/>
          <w:szCs w:val="28"/>
        </w:rPr>
        <w:t>, Кызылординской – 12,8</w:t>
      </w:r>
      <w:r>
        <w:rPr>
          <w:rFonts w:ascii="Times New Roman" w:hAnsi="Times New Roman" w:cs="Times New Roman"/>
          <w:sz w:val="28"/>
          <w:szCs w:val="28"/>
          <w:vertAlign w:val="superscript"/>
        </w:rPr>
        <w:t>0</w:t>
      </w:r>
      <w:r>
        <w:rPr>
          <w:rFonts w:ascii="Times New Roman" w:hAnsi="Times New Roman" w:cs="Times New Roman"/>
          <w:sz w:val="28"/>
          <w:szCs w:val="28"/>
        </w:rPr>
        <w:t>/</w:t>
      </w:r>
      <w:r>
        <w:rPr>
          <w:rFonts w:ascii="Times New Roman" w:hAnsi="Times New Roman" w:cs="Times New Roman"/>
          <w:sz w:val="28"/>
          <w:szCs w:val="28"/>
          <w:vertAlign w:val="subscript"/>
        </w:rPr>
        <w:t>0000</w:t>
      </w:r>
      <w:r>
        <w:rPr>
          <w:rFonts w:ascii="Times New Roman" w:hAnsi="Times New Roman" w:cs="Times New Roman"/>
          <w:sz w:val="28"/>
          <w:szCs w:val="28"/>
        </w:rPr>
        <w:t xml:space="preserve">, Алматинской </w:t>
      </w:r>
      <w:r>
        <w:rPr>
          <w:rFonts w:ascii="Times New Roman" w:hAnsi="Times New Roman" w:cs="Times New Roman"/>
          <w:sz w:val="28"/>
          <w:szCs w:val="28"/>
        </w:rPr>
        <w:t>– 11,3</w:t>
      </w:r>
      <w:r>
        <w:rPr>
          <w:rFonts w:ascii="Times New Roman" w:hAnsi="Times New Roman" w:cs="Times New Roman"/>
          <w:sz w:val="28"/>
          <w:szCs w:val="28"/>
          <w:vertAlign w:val="superscript"/>
        </w:rPr>
        <w:t>0</w:t>
      </w:r>
      <w:r>
        <w:rPr>
          <w:rFonts w:ascii="Times New Roman" w:hAnsi="Times New Roman" w:cs="Times New Roman"/>
          <w:sz w:val="28"/>
          <w:szCs w:val="28"/>
        </w:rPr>
        <w:t>/</w:t>
      </w:r>
      <w:r>
        <w:rPr>
          <w:rFonts w:ascii="Times New Roman" w:hAnsi="Times New Roman" w:cs="Times New Roman"/>
          <w:sz w:val="28"/>
          <w:szCs w:val="28"/>
          <w:vertAlign w:val="subscript"/>
        </w:rPr>
        <w:t>0000</w:t>
      </w:r>
      <w:r>
        <w:rPr>
          <w:rFonts w:ascii="Times New Roman" w:hAnsi="Times New Roman" w:cs="Times New Roman"/>
          <w:sz w:val="28"/>
          <w:szCs w:val="28"/>
        </w:rPr>
        <w:t>, Мангистауской – 7,1</w:t>
      </w:r>
      <w:r>
        <w:rPr>
          <w:rFonts w:ascii="Times New Roman" w:hAnsi="Times New Roman" w:cs="Times New Roman"/>
          <w:sz w:val="28"/>
          <w:szCs w:val="28"/>
          <w:vertAlign w:val="superscript"/>
        </w:rPr>
        <w:t>0</w:t>
      </w:r>
      <w:r>
        <w:rPr>
          <w:rFonts w:ascii="Times New Roman" w:hAnsi="Times New Roman" w:cs="Times New Roman"/>
          <w:sz w:val="28"/>
          <w:szCs w:val="28"/>
        </w:rPr>
        <w:t>/</w:t>
      </w:r>
      <w:r>
        <w:rPr>
          <w:rFonts w:ascii="Times New Roman" w:hAnsi="Times New Roman" w:cs="Times New Roman"/>
          <w:sz w:val="28"/>
          <w:szCs w:val="28"/>
          <w:vertAlign w:val="subscript"/>
        </w:rPr>
        <w:t>0000</w:t>
      </w:r>
      <w:r>
        <w:rPr>
          <w:rFonts w:ascii="Times New Roman" w:hAnsi="Times New Roman" w:cs="Times New Roman"/>
          <w:sz w:val="28"/>
          <w:szCs w:val="28"/>
        </w:rPr>
        <w:t xml:space="preserve"> и Южно-Казахстанской – 6,7</w:t>
      </w:r>
      <w:r>
        <w:rPr>
          <w:rFonts w:ascii="Times New Roman" w:hAnsi="Times New Roman" w:cs="Times New Roman"/>
          <w:sz w:val="28"/>
          <w:szCs w:val="28"/>
          <w:vertAlign w:val="superscript"/>
        </w:rPr>
        <w:t>0</w:t>
      </w:r>
      <w:r>
        <w:rPr>
          <w:rFonts w:ascii="Times New Roman" w:hAnsi="Times New Roman" w:cs="Times New Roman"/>
          <w:sz w:val="28"/>
          <w:szCs w:val="28"/>
        </w:rPr>
        <w:t>/</w:t>
      </w:r>
      <w:r>
        <w:rPr>
          <w:rFonts w:ascii="Times New Roman" w:hAnsi="Times New Roman" w:cs="Times New Roman"/>
          <w:sz w:val="28"/>
          <w:szCs w:val="28"/>
          <w:vertAlign w:val="subscript"/>
        </w:rPr>
        <w:t>0000</w:t>
      </w:r>
      <w:r>
        <w:rPr>
          <w:rFonts w:ascii="Times New Roman" w:hAnsi="Times New Roman" w:cs="Times New Roman"/>
          <w:sz w:val="28"/>
          <w:szCs w:val="28"/>
        </w:rPr>
        <w:t xml:space="preserve"> - с</w:t>
      </w:r>
      <w:r>
        <w:rPr>
          <w:rFonts w:ascii="Times New Roman" w:eastAsia="Times New Roman" w:hAnsi="Times New Roman" w:cs="Times New Roman"/>
          <w:sz w:val="28"/>
        </w:rPr>
        <w:t>амый низкий показатель по республике.</w:t>
      </w:r>
      <w:r>
        <w:rPr>
          <w:rFonts w:ascii="Arial" w:hAnsi="Arial" w:cs="Arial"/>
          <w:color w:val="202122"/>
          <w:sz w:val="21"/>
          <w:szCs w:val="21"/>
          <w:shd w:val="clear" w:color="auto" w:fill="FFFFFF"/>
        </w:rPr>
        <w:t xml:space="preserve"> </w:t>
      </w:r>
    </w:p>
    <w:p w:rsidR="00A75A8D" w:rsidRDefault="008A6A5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Положительная динамика снижения показателя за анализируемый период наблюдалась практически во всех (15) регионах страны, с максимальным приро</w:t>
      </w:r>
      <w:r>
        <w:rPr>
          <w:rFonts w:ascii="Times New Roman" w:eastAsia="Times New Roman" w:hAnsi="Times New Roman" w:cs="Times New Roman"/>
          <w:sz w:val="28"/>
        </w:rPr>
        <w:t xml:space="preserve">стом в Т=42,6% в Алматинской области. Исключение составил только один регион - Южно-Казахстанская область, где зафиксирован подъем уровня смертности на 6,3%. </w:t>
      </w:r>
    </w:p>
    <w:p w:rsidR="00A75A8D" w:rsidRDefault="008A6A5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Однако, несмотря на снижение показателей заболеваемости и смертности от рака легкого, процент выявления на поздних стадиях остается высоким (рисунок 12). </w:t>
      </w:r>
    </w:p>
    <w:p w:rsidR="00A75A8D" w:rsidRDefault="00A75A8D">
      <w:pPr>
        <w:spacing w:after="0" w:line="240" w:lineRule="auto"/>
        <w:ind w:firstLine="567"/>
        <w:jc w:val="both"/>
        <w:rPr>
          <w:rFonts w:ascii="Times New Roman" w:eastAsia="Times New Roman" w:hAnsi="Times New Roman" w:cs="Times New Roman"/>
          <w:sz w:val="28"/>
        </w:rPr>
      </w:pPr>
    </w:p>
    <w:p w:rsidR="00A75A8D" w:rsidRDefault="008A6A51">
      <w:pPr>
        <w:pStyle w:val="af3"/>
        <w:rPr>
          <w:color w:val="000000"/>
        </w:rPr>
      </w:pPr>
      <w:r>
        <w:rPr>
          <w:noProof/>
          <w:lang w:eastAsia="ru-RU"/>
        </w:rPr>
        <w:drawing>
          <wp:inline distT="0" distB="0" distL="114300" distR="114300">
            <wp:extent cx="5282565" cy="2042795"/>
            <wp:effectExtent l="0" t="0" r="13335" b="14605"/>
            <wp:docPr id="11"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A75A8D" w:rsidRDefault="008A6A51">
      <w:pPr>
        <w:spacing w:after="0" w:line="240" w:lineRule="auto"/>
        <w:ind w:firstLine="567"/>
        <w:jc w:val="center"/>
        <w:rPr>
          <w:rFonts w:ascii="Times New Roman" w:hAnsi="Times New Roman" w:cs="Times New Roman"/>
          <w:sz w:val="28"/>
          <w:szCs w:val="28"/>
        </w:rPr>
      </w:pPr>
      <w:r>
        <w:rPr>
          <w:rFonts w:ascii="Times New Roman" w:eastAsia="Times New Roman" w:hAnsi="Times New Roman" w:cs="Times New Roman"/>
          <w:sz w:val="28"/>
        </w:rPr>
        <w:t xml:space="preserve">Рисунок 12 - Распределение по стадиям рака легкого впервые выявленных I-II и III-IV стадий в </w:t>
      </w:r>
      <w:r>
        <w:rPr>
          <w:rFonts w:ascii="Times New Roman" w:eastAsia="Times New Roman" w:hAnsi="Times New Roman" w:cs="Times New Roman"/>
          <w:sz w:val="28"/>
        </w:rPr>
        <w:t>период с 2009</w:t>
      </w:r>
      <w:r>
        <w:rPr>
          <w:rFonts w:ascii="Times New Roman" w:hAnsi="Times New Roman" w:cs="Times New Roman"/>
          <w:sz w:val="28"/>
          <w:szCs w:val="28"/>
        </w:rPr>
        <w:t xml:space="preserve"> по 2018гг (%)</w:t>
      </w:r>
    </w:p>
    <w:p w:rsidR="00A75A8D" w:rsidRDefault="00A75A8D">
      <w:pPr>
        <w:spacing w:after="0" w:line="240" w:lineRule="auto"/>
        <w:ind w:firstLine="567"/>
        <w:jc w:val="both"/>
        <w:rPr>
          <w:rFonts w:ascii="Times New Roman" w:hAnsi="Times New Roman" w:cs="Times New Roman"/>
          <w:color w:val="FF0000"/>
          <w:sz w:val="28"/>
          <w:szCs w:val="28"/>
        </w:rPr>
      </w:pP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Как видно из рисунка 12 на протяжении 10-летнего периода наблюдается </w:t>
      </w:r>
      <w:r>
        <w:rPr>
          <w:rFonts w:ascii="Times New Roman" w:hAnsi="Times New Roman" w:cs="Times New Roman"/>
          <w:color w:val="000000" w:themeColor="text1"/>
          <w:sz w:val="28"/>
          <w:szCs w:val="28"/>
        </w:rPr>
        <w:t xml:space="preserve">преобладание </w:t>
      </w:r>
      <w:r>
        <w:rPr>
          <w:rFonts w:ascii="Times New Roman" w:hAnsi="Times New Roman" w:cs="Times New Roman"/>
          <w:sz w:val="28"/>
          <w:szCs w:val="28"/>
        </w:rPr>
        <w:t>поздних (III-IV) стадий, в то время как процент выявления ранних (I-II) не превышали 30,4%, что наблюдалось в 2017 году. В целом за исследуемый п</w:t>
      </w:r>
      <w:r>
        <w:rPr>
          <w:rFonts w:ascii="Times New Roman" w:hAnsi="Times New Roman" w:cs="Times New Roman"/>
          <w:sz w:val="28"/>
          <w:szCs w:val="28"/>
        </w:rPr>
        <w:t xml:space="preserve">ериод </w:t>
      </w:r>
      <w:r>
        <w:rPr>
          <w:rFonts w:ascii="Times New Roman" w:eastAsia="Times New Roman" w:hAnsi="Times New Roman" w:cs="Times New Roman"/>
          <w:sz w:val="28"/>
        </w:rPr>
        <w:t>наблюдалось</w:t>
      </w:r>
      <w:r>
        <w:rPr>
          <w:rFonts w:ascii="Times New Roman" w:hAnsi="Times New Roman" w:cs="Times New Roman"/>
          <w:sz w:val="28"/>
          <w:szCs w:val="28"/>
        </w:rPr>
        <w:t xml:space="preserve"> постепенное увеличение выявляемости рака легкого на ранних стадиях. С 2009 года по 2010 наблюдалось </w:t>
      </w:r>
      <w:r>
        <w:rPr>
          <w:rFonts w:ascii="Times New Roman" w:hAnsi="Times New Roman" w:cs="Times New Roman"/>
          <w:color w:val="000000" w:themeColor="text1"/>
          <w:sz w:val="28"/>
          <w:szCs w:val="28"/>
        </w:rPr>
        <w:t>снижение</w:t>
      </w:r>
      <w:r>
        <w:rPr>
          <w:rFonts w:ascii="Times New Roman" w:hAnsi="Times New Roman" w:cs="Times New Roman"/>
          <w:color w:val="FF0000"/>
          <w:sz w:val="28"/>
          <w:szCs w:val="28"/>
        </w:rPr>
        <w:t xml:space="preserve"> </w:t>
      </w:r>
      <w:r>
        <w:rPr>
          <w:rFonts w:ascii="Times New Roman" w:hAnsi="Times New Roman" w:cs="Times New Roman"/>
          <w:sz w:val="28"/>
          <w:szCs w:val="28"/>
        </w:rPr>
        <w:t xml:space="preserve">ранних стадий с последующим ростом до 2015 года, в котором показатель составил 28,3%, затем </w:t>
      </w:r>
      <w:r>
        <w:rPr>
          <w:rFonts w:ascii="Times New Roman" w:hAnsi="Times New Roman" w:cs="Times New Roman"/>
          <w:color w:val="000000" w:themeColor="text1"/>
          <w:sz w:val="28"/>
          <w:szCs w:val="28"/>
        </w:rPr>
        <w:t>отмечалось</w:t>
      </w:r>
      <w:r>
        <w:rPr>
          <w:rFonts w:ascii="Times New Roman" w:hAnsi="Times New Roman" w:cs="Times New Roman"/>
          <w:sz w:val="28"/>
          <w:szCs w:val="28"/>
        </w:rPr>
        <w:t xml:space="preserve"> снижение в 2016 году и рос</w:t>
      </w:r>
      <w:r>
        <w:rPr>
          <w:rFonts w:ascii="Times New Roman" w:hAnsi="Times New Roman" w:cs="Times New Roman"/>
          <w:sz w:val="28"/>
          <w:szCs w:val="28"/>
        </w:rPr>
        <w:t xml:space="preserve">т в 2017 году. На конец изучаемого </w:t>
      </w:r>
      <w:r>
        <w:rPr>
          <w:rFonts w:ascii="Times New Roman" w:hAnsi="Times New Roman" w:cs="Times New Roman"/>
          <w:sz w:val="28"/>
          <w:szCs w:val="28"/>
        </w:rPr>
        <w:lastRenderedPageBreak/>
        <w:t xml:space="preserve">периода показатель составил 27,5%. За анализируемый период с 2009 по 2018 год удельный вес I-II стадий увеличился с 21,9% до 27,5%. Самый низкий показатель ранних стадий наблюдался в 2010 году и составил 21,3%.  </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Для анал</w:t>
      </w:r>
      <w:r>
        <w:rPr>
          <w:rFonts w:ascii="Times New Roman" w:hAnsi="Times New Roman" w:cs="Times New Roman"/>
          <w:sz w:val="28"/>
          <w:szCs w:val="28"/>
        </w:rPr>
        <w:t>иза половозрастных особенностей заболеваемости раком легкого мы изучили все впервые диагностированные случаи за период с 2009 по 2018 год. </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Ежегодно в РК выявляется около трех с половиной тысяч новых случаев рака легкого. За анализируемый период было зарег</w:t>
      </w:r>
      <w:r>
        <w:rPr>
          <w:rFonts w:ascii="Times New Roman" w:hAnsi="Times New Roman" w:cs="Times New Roman"/>
          <w:sz w:val="28"/>
          <w:szCs w:val="28"/>
        </w:rPr>
        <w:t>истрировано 36 744 новых случаев рака легкого.</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Изучение возрастных особенностей показало, что за анализируемый период в возрастных категориях от 0 до 24 лет, выявлены единичные случаи рака легкого, что составило </w:t>
      </w:r>
      <w:r>
        <w:rPr>
          <w:rFonts w:ascii="Times New Roman" w:hAnsi="Times New Roman" w:cs="Times New Roman"/>
          <w:color w:val="000000" w:themeColor="text1"/>
          <w:sz w:val="28"/>
          <w:szCs w:val="28"/>
        </w:rPr>
        <w:t xml:space="preserve">0,12% </w:t>
      </w:r>
      <w:r>
        <w:rPr>
          <w:rFonts w:ascii="Times New Roman" w:hAnsi="Times New Roman" w:cs="Times New Roman"/>
          <w:sz w:val="28"/>
          <w:szCs w:val="28"/>
        </w:rPr>
        <w:t>случаев</w:t>
      </w:r>
      <w:r>
        <w:rPr>
          <w:rFonts w:ascii="Times New Roman" w:hAnsi="Times New Roman" w:cs="Times New Roman"/>
          <w:color w:val="000000" w:themeColor="text1"/>
          <w:sz w:val="28"/>
          <w:szCs w:val="28"/>
        </w:rPr>
        <w:t xml:space="preserve"> (</w:t>
      </w:r>
      <w:r>
        <w:rPr>
          <w:rFonts w:ascii="Times New Roman" w:hAnsi="Times New Roman" w:cs="Times New Roman"/>
          <w:sz w:val="28"/>
          <w:szCs w:val="28"/>
        </w:rPr>
        <w:t>46/36 744</w:t>
      </w:r>
      <w:r>
        <w:rPr>
          <w:rFonts w:ascii="Times New Roman" w:hAnsi="Times New Roman" w:cs="Times New Roman"/>
          <w:color w:val="000000" w:themeColor="text1"/>
          <w:sz w:val="28"/>
          <w:szCs w:val="28"/>
        </w:rPr>
        <w:t>)</w:t>
      </w:r>
      <w:r>
        <w:rPr>
          <w:rFonts w:ascii="Times New Roman" w:hAnsi="Times New Roman" w:cs="Times New Roman"/>
          <w:sz w:val="28"/>
          <w:szCs w:val="28"/>
        </w:rPr>
        <w:t>, в то время как на</w:t>
      </w:r>
      <w:r>
        <w:rPr>
          <w:rFonts w:ascii="Times New Roman" w:hAnsi="Times New Roman" w:cs="Times New Roman"/>
          <w:sz w:val="28"/>
          <w:szCs w:val="28"/>
        </w:rPr>
        <w:t xml:space="preserve">чиная с возраста 25 лет наблюдается увеличение ежегодно регистрируемых случаев рака легкого. В таблице 5 представлены все впервые зарегистрированные случаи рака легкого с распределением по полу и возрасту.  </w:t>
      </w:r>
    </w:p>
    <w:p w:rsidR="00A75A8D" w:rsidRDefault="00A75A8D">
      <w:pPr>
        <w:spacing w:after="0" w:line="240" w:lineRule="auto"/>
        <w:ind w:firstLine="567"/>
        <w:jc w:val="both"/>
        <w:rPr>
          <w:rFonts w:ascii="Times New Roman" w:hAnsi="Times New Roman" w:cs="Times New Roman"/>
          <w:sz w:val="28"/>
          <w:szCs w:val="28"/>
        </w:rPr>
      </w:pPr>
    </w:p>
    <w:p w:rsidR="00A75A8D" w:rsidRDefault="008A6A5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5 - Распределение впервые выявленных сл</w:t>
      </w:r>
      <w:r>
        <w:rPr>
          <w:rFonts w:ascii="Times New Roman" w:hAnsi="Times New Roman" w:cs="Times New Roman"/>
          <w:sz w:val="28"/>
          <w:szCs w:val="28"/>
        </w:rPr>
        <w:t>учаев раком легкого в Казахстане за 2009-2018 гг. по полу и возрасту (</w:t>
      </w:r>
      <w:r>
        <w:rPr>
          <w:rFonts w:ascii="Times New Roman" w:hAnsi="Times New Roman" w:cs="Times New Roman"/>
          <w:sz w:val="28"/>
          <w:szCs w:val="28"/>
          <w:lang w:val="en-US"/>
        </w:rPr>
        <w:t>n</w:t>
      </w:r>
      <w:r>
        <w:rPr>
          <w:rFonts w:ascii="Times New Roman" w:hAnsi="Times New Roman" w:cs="Times New Roman"/>
          <w:sz w:val="28"/>
          <w:szCs w:val="28"/>
        </w:rPr>
        <w:t>=36 744)</w:t>
      </w:r>
    </w:p>
    <w:p w:rsidR="00A75A8D" w:rsidRDefault="00A75A8D">
      <w:pPr>
        <w:spacing w:after="0" w:line="240" w:lineRule="auto"/>
        <w:jc w:val="both"/>
        <w:rPr>
          <w:rFonts w:ascii="Times New Roman" w:hAnsi="Times New Roman" w:cs="Times New Roman"/>
          <w:sz w:val="28"/>
          <w:szCs w:val="28"/>
        </w:rPr>
      </w:pPr>
    </w:p>
    <w:tbl>
      <w:tblPr>
        <w:tblW w:w="5000" w:type="pct"/>
        <w:tblLook w:val="04A0" w:firstRow="1" w:lastRow="0" w:firstColumn="1" w:lastColumn="0" w:noHBand="0" w:noVBand="1"/>
      </w:tblPr>
      <w:tblGrid>
        <w:gridCol w:w="1997"/>
        <w:gridCol w:w="637"/>
        <w:gridCol w:w="703"/>
        <w:gridCol w:w="703"/>
        <w:gridCol w:w="703"/>
        <w:gridCol w:w="703"/>
        <w:gridCol w:w="703"/>
        <w:gridCol w:w="703"/>
        <w:gridCol w:w="703"/>
        <w:gridCol w:w="703"/>
        <w:gridCol w:w="703"/>
        <w:gridCol w:w="699"/>
      </w:tblGrid>
      <w:tr w:rsidR="00A75A8D">
        <w:trPr>
          <w:trHeight w:val="300"/>
        </w:trPr>
        <w:tc>
          <w:tcPr>
            <w:tcW w:w="1033" w:type="pct"/>
            <w:vMerge w:val="restart"/>
            <w:tcBorders>
              <w:top w:val="single" w:sz="8" w:space="0" w:color="000000"/>
              <w:left w:val="single" w:sz="8"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Возрастные группы (лет)</w:t>
            </w:r>
          </w:p>
        </w:tc>
        <w:tc>
          <w:tcPr>
            <w:tcW w:w="3967" w:type="pct"/>
            <w:gridSpan w:val="11"/>
            <w:tcBorders>
              <w:top w:val="single" w:sz="8" w:space="0" w:color="000000"/>
              <w:left w:val="single" w:sz="2" w:space="0" w:color="000000"/>
              <w:bottom w:val="single" w:sz="2" w:space="0" w:color="000000"/>
              <w:right w:val="single" w:sz="8"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Годы</w:t>
            </w:r>
          </w:p>
        </w:tc>
      </w:tr>
      <w:tr w:rsidR="00A75A8D">
        <w:trPr>
          <w:trHeight w:val="300"/>
        </w:trPr>
        <w:tc>
          <w:tcPr>
            <w:tcW w:w="1033" w:type="pct"/>
            <w:vMerge/>
            <w:tcBorders>
              <w:top w:val="single" w:sz="8" w:space="0" w:color="000000"/>
              <w:left w:val="single" w:sz="8" w:space="0" w:color="000000"/>
              <w:bottom w:val="single" w:sz="2" w:space="0" w:color="000000"/>
              <w:right w:val="single" w:sz="2" w:space="0" w:color="000000"/>
            </w:tcBorders>
            <w:shd w:val="clear" w:color="auto" w:fill="auto"/>
          </w:tcPr>
          <w:p w:rsidR="00A75A8D" w:rsidRDefault="00A75A8D">
            <w:pPr>
              <w:spacing w:after="0" w:line="240" w:lineRule="auto"/>
              <w:jc w:val="center"/>
              <w:rPr>
                <w:rFonts w:ascii="Times New Roman" w:eastAsia="Times New Roman" w:hAnsi="Times New Roman" w:cs="Times New Roman"/>
                <w:color w:val="000000"/>
                <w:sz w:val="24"/>
                <w:szCs w:val="24"/>
                <w:lang w:eastAsia="ru-RU"/>
              </w:rPr>
            </w:pPr>
          </w:p>
        </w:tc>
        <w:tc>
          <w:tcPr>
            <w:tcW w:w="329"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Пол</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2009</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2010</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2011</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2012</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2013</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2014</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2015</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2016</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2017</w:t>
            </w:r>
          </w:p>
        </w:tc>
        <w:tc>
          <w:tcPr>
            <w:tcW w:w="364" w:type="pct"/>
            <w:tcBorders>
              <w:top w:val="single" w:sz="2" w:space="0" w:color="000000"/>
              <w:left w:val="single" w:sz="2" w:space="0" w:color="000000"/>
              <w:bottom w:val="single" w:sz="2" w:space="0" w:color="000000"/>
              <w:right w:val="single" w:sz="8"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2018</w:t>
            </w:r>
          </w:p>
        </w:tc>
      </w:tr>
      <w:tr w:rsidR="00A75A8D">
        <w:trPr>
          <w:trHeight w:val="292"/>
        </w:trPr>
        <w:tc>
          <w:tcPr>
            <w:tcW w:w="1033" w:type="pct"/>
            <w:vMerge w:val="restart"/>
            <w:tcBorders>
              <w:top w:val="single" w:sz="2" w:space="0" w:color="000000"/>
              <w:left w:val="single" w:sz="8"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0-24</w:t>
            </w:r>
          </w:p>
        </w:tc>
        <w:tc>
          <w:tcPr>
            <w:tcW w:w="329"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364" w:type="pct"/>
            <w:tcBorders>
              <w:top w:val="single" w:sz="2" w:space="0" w:color="000000"/>
              <w:left w:val="single" w:sz="2" w:space="0" w:color="000000"/>
              <w:bottom w:val="single" w:sz="2" w:space="0" w:color="000000"/>
              <w:right w:val="single" w:sz="8"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r>
      <w:tr w:rsidR="00A75A8D">
        <w:trPr>
          <w:trHeight w:val="342"/>
        </w:trPr>
        <w:tc>
          <w:tcPr>
            <w:tcW w:w="1033" w:type="pct"/>
            <w:vMerge/>
            <w:tcBorders>
              <w:top w:val="single" w:sz="2" w:space="0" w:color="000000"/>
              <w:left w:val="single" w:sz="8" w:space="0" w:color="000000"/>
              <w:bottom w:val="single" w:sz="2" w:space="0" w:color="000000"/>
              <w:right w:val="single" w:sz="2" w:space="0" w:color="000000"/>
            </w:tcBorders>
            <w:shd w:val="clear" w:color="auto" w:fill="auto"/>
          </w:tcPr>
          <w:p w:rsidR="00A75A8D" w:rsidRDefault="00A75A8D">
            <w:pPr>
              <w:spacing w:after="0" w:line="240" w:lineRule="auto"/>
              <w:jc w:val="center"/>
              <w:rPr>
                <w:rFonts w:ascii="Times New Roman" w:eastAsia="Times New Roman" w:hAnsi="Times New Roman" w:cs="Times New Roman"/>
                <w:color w:val="000000"/>
                <w:sz w:val="24"/>
                <w:szCs w:val="24"/>
                <w:lang w:eastAsia="ru-RU"/>
              </w:rPr>
            </w:pPr>
          </w:p>
        </w:tc>
        <w:tc>
          <w:tcPr>
            <w:tcW w:w="329"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Ж</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364" w:type="pct"/>
            <w:tcBorders>
              <w:top w:val="single" w:sz="2" w:space="0" w:color="000000"/>
              <w:left w:val="single" w:sz="2" w:space="0" w:color="000000"/>
              <w:bottom w:val="single" w:sz="2" w:space="0" w:color="000000"/>
              <w:right w:val="single" w:sz="8"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r>
      <w:tr w:rsidR="00A75A8D">
        <w:trPr>
          <w:trHeight w:val="315"/>
        </w:trPr>
        <w:tc>
          <w:tcPr>
            <w:tcW w:w="1033" w:type="pct"/>
            <w:vMerge w:val="restart"/>
            <w:tcBorders>
              <w:top w:val="single" w:sz="2" w:space="0" w:color="000000"/>
              <w:left w:val="single" w:sz="8"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25-29</w:t>
            </w:r>
          </w:p>
        </w:tc>
        <w:tc>
          <w:tcPr>
            <w:tcW w:w="329"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364" w:type="pct"/>
            <w:tcBorders>
              <w:top w:val="single" w:sz="2" w:space="0" w:color="000000"/>
              <w:left w:val="single" w:sz="2" w:space="0" w:color="000000"/>
              <w:bottom w:val="single" w:sz="2" w:space="0" w:color="000000"/>
              <w:right w:val="single" w:sz="8"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r>
      <w:tr w:rsidR="00A75A8D">
        <w:trPr>
          <w:trHeight w:val="300"/>
        </w:trPr>
        <w:tc>
          <w:tcPr>
            <w:tcW w:w="1033" w:type="pct"/>
            <w:vMerge/>
            <w:tcBorders>
              <w:top w:val="single" w:sz="2" w:space="0" w:color="000000"/>
              <w:left w:val="single" w:sz="8" w:space="0" w:color="000000"/>
              <w:bottom w:val="single" w:sz="2" w:space="0" w:color="000000"/>
              <w:right w:val="single" w:sz="2" w:space="0" w:color="000000"/>
            </w:tcBorders>
            <w:shd w:val="clear" w:color="auto" w:fill="auto"/>
          </w:tcPr>
          <w:p w:rsidR="00A75A8D" w:rsidRDefault="00A75A8D">
            <w:pPr>
              <w:spacing w:after="0" w:line="240" w:lineRule="auto"/>
              <w:jc w:val="center"/>
              <w:rPr>
                <w:rFonts w:ascii="Times New Roman" w:eastAsia="Times New Roman" w:hAnsi="Times New Roman" w:cs="Times New Roman"/>
                <w:color w:val="000000"/>
                <w:sz w:val="24"/>
                <w:szCs w:val="24"/>
                <w:lang w:eastAsia="ru-RU"/>
              </w:rPr>
            </w:pPr>
          </w:p>
        </w:tc>
        <w:tc>
          <w:tcPr>
            <w:tcW w:w="329"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Ж</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364" w:type="pct"/>
            <w:tcBorders>
              <w:top w:val="single" w:sz="2" w:space="0" w:color="000000"/>
              <w:left w:val="single" w:sz="2" w:space="0" w:color="000000"/>
              <w:bottom w:val="single" w:sz="2" w:space="0" w:color="000000"/>
              <w:right w:val="single" w:sz="8"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r>
      <w:tr w:rsidR="00A75A8D">
        <w:trPr>
          <w:trHeight w:val="300"/>
        </w:trPr>
        <w:tc>
          <w:tcPr>
            <w:tcW w:w="1033" w:type="pct"/>
            <w:vMerge w:val="restart"/>
            <w:tcBorders>
              <w:top w:val="single" w:sz="2" w:space="0" w:color="000000"/>
              <w:left w:val="single" w:sz="8"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30-34</w:t>
            </w:r>
          </w:p>
        </w:tc>
        <w:tc>
          <w:tcPr>
            <w:tcW w:w="329"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364" w:type="pct"/>
            <w:tcBorders>
              <w:top w:val="single" w:sz="2" w:space="0" w:color="000000"/>
              <w:left w:val="single" w:sz="2" w:space="0" w:color="000000"/>
              <w:bottom w:val="single" w:sz="2" w:space="0" w:color="000000"/>
              <w:right w:val="single" w:sz="8"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w:t>
            </w:r>
          </w:p>
        </w:tc>
      </w:tr>
      <w:tr w:rsidR="00A75A8D">
        <w:trPr>
          <w:trHeight w:val="300"/>
        </w:trPr>
        <w:tc>
          <w:tcPr>
            <w:tcW w:w="1033" w:type="pct"/>
            <w:vMerge/>
            <w:tcBorders>
              <w:top w:val="single" w:sz="2" w:space="0" w:color="000000"/>
              <w:left w:val="single" w:sz="8" w:space="0" w:color="000000"/>
              <w:bottom w:val="single" w:sz="2" w:space="0" w:color="000000"/>
              <w:right w:val="single" w:sz="2" w:space="0" w:color="000000"/>
            </w:tcBorders>
            <w:shd w:val="clear" w:color="auto" w:fill="auto"/>
          </w:tcPr>
          <w:p w:rsidR="00A75A8D" w:rsidRDefault="00A75A8D">
            <w:pPr>
              <w:spacing w:after="0" w:line="240" w:lineRule="auto"/>
              <w:jc w:val="center"/>
              <w:rPr>
                <w:rFonts w:ascii="Times New Roman" w:eastAsia="Times New Roman" w:hAnsi="Times New Roman" w:cs="Times New Roman"/>
                <w:color w:val="000000"/>
                <w:sz w:val="24"/>
                <w:szCs w:val="24"/>
                <w:lang w:eastAsia="ru-RU"/>
              </w:rPr>
            </w:pPr>
          </w:p>
        </w:tc>
        <w:tc>
          <w:tcPr>
            <w:tcW w:w="329"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Ж</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364" w:type="pct"/>
            <w:tcBorders>
              <w:top w:val="single" w:sz="2" w:space="0" w:color="000000"/>
              <w:left w:val="single" w:sz="2" w:space="0" w:color="000000"/>
              <w:bottom w:val="single" w:sz="2" w:space="0" w:color="000000"/>
              <w:right w:val="single" w:sz="8"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r>
      <w:tr w:rsidR="00A75A8D">
        <w:trPr>
          <w:trHeight w:val="300"/>
        </w:trPr>
        <w:tc>
          <w:tcPr>
            <w:tcW w:w="1033" w:type="pct"/>
            <w:vMerge w:val="restart"/>
            <w:tcBorders>
              <w:top w:val="single" w:sz="2" w:space="0" w:color="000000"/>
              <w:left w:val="single" w:sz="8"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35-39</w:t>
            </w:r>
          </w:p>
        </w:tc>
        <w:tc>
          <w:tcPr>
            <w:tcW w:w="329"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364" w:type="pct"/>
            <w:tcBorders>
              <w:top w:val="single" w:sz="2" w:space="0" w:color="000000"/>
              <w:left w:val="single" w:sz="2" w:space="0" w:color="000000"/>
              <w:bottom w:val="single" w:sz="2" w:space="0" w:color="000000"/>
              <w:right w:val="single" w:sz="8"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r>
      <w:tr w:rsidR="00A75A8D">
        <w:trPr>
          <w:trHeight w:val="300"/>
        </w:trPr>
        <w:tc>
          <w:tcPr>
            <w:tcW w:w="1033" w:type="pct"/>
            <w:vMerge/>
            <w:tcBorders>
              <w:top w:val="single" w:sz="2" w:space="0" w:color="000000"/>
              <w:left w:val="single" w:sz="8" w:space="0" w:color="000000"/>
              <w:bottom w:val="single" w:sz="2" w:space="0" w:color="000000"/>
              <w:right w:val="single" w:sz="2" w:space="0" w:color="000000"/>
            </w:tcBorders>
            <w:shd w:val="clear" w:color="auto" w:fill="auto"/>
          </w:tcPr>
          <w:p w:rsidR="00A75A8D" w:rsidRDefault="00A75A8D">
            <w:pPr>
              <w:spacing w:after="0" w:line="240" w:lineRule="auto"/>
              <w:jc w:val="center"/>
              <w:rPr>
                <w:rFonts w:ascii="Times New Roman" w:eastAsia="Times New Roman" w:hAnsi="Times New Roman" w:cs="Times New Roman"/>
                <w:color w:val="000000"/>
                <w:sz w:val="24"/>
                <w:szCs w:val="24"/>
                <w:lang w:eastAsia="ru-RU"/>
              </w:rPr>
            </w:pPr>
          </w:p>
        </w:tc>
        <w:tc>
          <w:tcPr>
            <w:tcW w:w="329"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Ж</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c>
          <w:tcPr>
            <w:tcW w:w="364" w:type="pct"/>
            <w:tcBorders>
              <w:top w:val="single" w:sz="2" w:space="0" w:color="000000"/>
              <w:left w:val="single" w:sz="2" w:space="0" w:color="000000"/>
              <w:bottom w:val="single" w:sz="2" w:space="0" w:color="000000"/>
              <w:right w:val="single" w:sz="8"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r>
      <w:tr w:rsidR="00A75A8D">
        <w:trPr>
          <w:trHeight w:val="300"/>
        </w:trPr>
        <w:tc>
          <w:tcPr>
            <w:tcW w:w="1033" w:type="pct"/>
            <w:vMerge w:val="restart"/>
            <w:tcBorders>
              <w:top w:val="single" w:sz="2" w:space="0" w:color="000000"/>
              <w:left w:val="single" w:sz="8"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40-44</w:t>
            </w:r>
          </w:p>
        </w:tc>
        <w:tc>
          <w:tcPr>
            <w:tcW w:w="329"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58</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47</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42</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37</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44</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33</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58</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41</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35</w:t>
            </w:r>
          </w:p>
        </w:tc>
        <w:tc>
          <w:tcPr>
            <w:tcW w:w="364" w:type="pct"/>
            <w:tcBorders>
              <w:top w:val="single" w:sz="2" w:space="0" w:color="000000"/>
              <w:left w:val="single" w:sz="2" w:space="0" w:color="000000"/>
              <w:bottom w:val="single" w:sz="2" w:space="0" w:color="000000"/>
              <w:right w:val="single" w:sz="8"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46</w:t>
            </w:r>
          </w:p>
        </w:tc>
      </w:tr>
      <w:tr w:rsidR="00A75A8D">
        <w:trPr>
          <w:trHeight w:val="300"/>
        </w:trPr>
        <w:tc>
          <w:tcPr>
            <w:tcW w:w="1033" w:type="pct"/>
            <w:vMerge/>
            <w:tcBorders>
              <w:top w:val="single" w:sz="2" w:space="0" w:color="000000"/>
              <w:left w:val="single" w:sz="8" w:space="0" w:color="000000"/>
              <w:bottom w:val="single" w:sz="2" w:space="0" w:color="000000"/>
              <w:right w:val="single" w:sz="2" w:space="0" w:color="000000"/>
            </w:tcBorders>
            <w:shd w:val="clear" w:color="auto" w:fill="auto"/>
          </w:tcPr>
          <w:p w:rsidR="00A75A8D" w:rsidRDefault="00A75A8D">
            <w:pPr>
              <w:spacing w:after="0" w:line="240" w:lineRule="auto"/>
              <w:jc w:val="center"/>
              <w:rPr>
                <w:rFonts w:ascii="Times New Roman" w:eastAsia="Times New Roman" w:hAnsi="Times New Roman" w:cs="Times New Roman"/>
                <w:color w:val="000000"/>
                <w:sz w:val="24"/>
                <w:szCs w:val="24"/>
                <w:lang w:eastAsia="ru-RU"/>
              </w:rPr>
            </w:pPr>
          </w:p>
        </w:tc>
        <w:tc>
          <w:tcPr>
            <w:tcW w:w="329"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Ж</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w:t>
            </w:r>
          </w:p>
        </w:tc>
        <w:tc>
          <w:tcPr>
            <w:tcW w:w="364" w:type="pct"/>
            <w:tcBorders>
              <w:top w:val="single" w:sz="2" w:space="0" w:color="000000"/>
              <w:left w:val="single" w:sz="2" w:space="0" w:color="000000"/>
              <w:bottom w:val="single" w:sz="2" w:space="0" w:color="000000"/>
              <w:right w:val="single" w:sz="8"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r>
      <w:tr w:rsidR="00A75A8D">
        <w:trPr>
          <w:trHeight w:val="300"/>
        </w:trPr>
        <w:tc>
          <w:tcPr>
            <w:tcW w:w="1033" w:type="pct"/>
            <w:vMerge w:val="restart"/>
            <w:tcBorders>
              <w:top w:val="single" w:sz="2" w:space="0" w:color="000000"/>
              <w:left w:val="single" w:sz="8"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45-49</w:t>
            </w:r>
          </w:p>
        </w:tc>
        <w:tc>
          <w:tcPr>
            <w:tcW w:w="329"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168</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162</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135</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138</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131</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115</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113</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94</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113</w:t>
            </w:r>
          </w:p>
        </w:tc>
        <w:tc>
          <w:tcPr>
            <w:tcW w:w="364" w:type="pct"/>
            <w:tcBorders>
              <w:top w:val="single" w:sz="2" w:space="0" w:color="000000"/>
              <w:left w:val="single" w:sz="2" w:space="0" w:color="000000"/>
              <w:bottom w:val="single" w:sz="2" w:space="0" w:color="000000"/>
              <w:right w:val="single" w:sz="8"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109</w:t>
            </w:r>
          </w:p>
        </w:tc>
      </w:tr>
      <w:tr w:rsidR="00A75A8D">
        <w:trPr>
          <w:trHeight w:val="300"/>
        </w:trPr>
        <w:tc>
          <w:tcPr>
            <w:tcW w:w="1033" w:type="pct"/>
            <w:vMerge/>
            <w:tcBorders>
              <w:top w:val="single" w:sz="2" w:space="0" w:color="000000"/>
              <w:left w:val="single" w:sz="8" w:space="0" w:color="000000"/>
              <w:bottom w:val="single" w:sz="2" w:space="0" w:color="000000"/>
              <w:right w:val="single" w:sz="2" w:space="0" w:color="000000"/>
            </w:tcBorders>
            <w:shd w:val="clear" w:color="auto" w:fill="auto"/>
          </w:tcPr>
          <w:p w:rsidR="00A75A8D" w:rsidRDefault="00A75A8D">
            <w:pPr>
              <w:spacing w:after="0" w:line="240" w:lineRule="auto"/>
              <w:jc w:val="center"/>
              <w:rPr>
                <w:rFonts w:ascii="Times New Roman" w:eastAsia="Times New Roman" w:hAnsi="Times New Roman" w:cs="Times New Roman"/>
                <w:color w:val="000000"/>
                <w:sz w:val="24"/>
                <w:szCs w:val="24"/>
                <w:lang w:eastAsia="ru-RU"/>
              </w:rPr>
            </w:pPr>
          </w:p>
        </w:tc>
        <w:tc>
          <w:tcPr>
            <w:tcW w:w="329"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Ж</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31</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33</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40</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47</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39</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35</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36</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35</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29</w:t>
            </w:r>
          </w:p>
        </w:tc>
        <w:tc>
          <w:tcPr>
            <w:tcW w:w="364" w:type="pct"/>
            <w:tcBorders>
              <w:top w:val="single" w:sz="2" w:space="0" w:color="000000"/>
              <w:left w:val="single" w:sz="2" w:space="0" w:color="000000"/>
              <w:bottom w:val="single" w:sz="2" w:space="0" w:color="000000"/>
              <w:right w:val="single" w:sz="8"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44</w:t>
            </w:r>
          </w:p>
        </w:tc>
      </w:tr>
      <w:tr w:rsidR="00A75A8D">
        <w:trPr>
          <w:trHeight w:val="300"/>
        </w:trPr>
        <w:tc>
          <w:tcPr>
            <w:tcW w:w="1033" w:type="pct"/>
            <w:vMerge w:val="restart"/>
            <w:tcBorders>
              <w:top w:val="single" w:sz="2" w:space="0" w:color="000000"/>
              <w:left w:val="single" w:sz="8"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50-54</w:t>
            </w:r>
          </w:p>
        </w:tc>
        <w:tc>
          <w:tcPr>
            <w:tcW w:w="329"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362</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349</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319</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329</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316</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301</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293</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258</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264</w:t>
            </w:r>
          </w:p>
        </w:tc>
        <w:tc>
          <w:tcPr>
            <w:tcW w:w="364" w:type="pct"/>
            <w:tcBorders>
              <w:top w:val="single" w:sz="2" w:space="0" w:color="000000"/>
              <w:left w:val="single" w:sz="2" w:space="0" w:color="000000"/>
              <w:bottom w:val="single" w:sz="2" w:space="0" w:color="000000"/>
              <w:right w:val="single" w:sz="8"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237</w:t>
            </w:r>
          </w:p>
        </w:tc>
      </w:tr>
      <w:tr w:rsidR="00A75A8D">
        <w:trPr>
          <w:trHeight w:val="300"/>
        </w:trPr>
        <w:tc>
          <w:tcPr>
            <w:tcW w:w="1033" w:type="pct"/>
            <w:vMerge/>
            <w:tcBorders>
              <w:top w:val="single" w:sz="2" w:space="0" w:color="000000"/>
              <w:left w:val="single" w:sz="8" w:space="0" w:color="000000"/>
              <w:bottom w:val="single" w:sz="2" w:space="0" w:color="000000"/>
              <w:right w:val="single" w:sz="2" w:space="0" w:color="000000"/>
            </w:tcBorders>
            <w:shd w:val="clear" w:color="auto" w:fill="auto"/>
          </w:tcPr>
          <w:p w:rsidR="00A75A8D" w:rsidRDefault="00A75A8D">
            <w:pPr>
              <w:spacing w:after="0" w:line="240" w:lineRule="auto"/>
              <w:jc w:val="center"/>
              <w:rPr>
                <w:rFonts w:ascii="Times New Roman" w:eastAsia="Times New Roman" w:hAnsi="Times New Roman" w:cs="Times New Roman"/>
                <w:color w:val="000000"/>
                <w:sz w:val="24"/>
                <w:szCs w:val="24"/>
                <w:lang w:eastAsia="ru-RU"/>
              </w:rPr>
            </w:pPr>
          </w:p>
        </w:tc>
        <w:tc>
          <w:tcPr>
            <w:tcW w:w="329"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Ж</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60</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51</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57</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65</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74</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65</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80</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56</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55</w:t>
            </w:r>
          </w:p>
        </w:tc>
        <w:tc>
          <w:tcPr>
            <w:tcW w:w="364" w:type="pct"/>
            <w:tcBorders>
              <w:top w:val="single" w:sz="2" w:space="0" w:color="000000"/>
              <w:left w:val="single" w:sz="2" w:space="0" w:color="000000"/>
              <w:bottom w:val="single" w:sz="2" w:space="0" w:color="000000"/>
              <w:right w:val="single" w:sz="8"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71</w:t>
            </w:r>
          </w:p>
        </w:tc>
      </w:tr>
      <w:tr w:rsidR="00A75A8D">
        <w:trPr>
          <w:trHeight w:val="300"/>
        </w:trPr>
        <w:tc>
          <w:tcPr>
            <w:tcW w:w="1033" w:type="pct"/>
            <w:vMerge w:val="restart"/>
            <w:tcBorders>
              <w:top w:val="single" w:sz="2" w:space="0" w:color="000000"/>
              <w:left w:val="single" w:sz="8"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55-59</w:t>
            </w:r>
          </w:p>
        </w:tc>
        <w:tc>
          <w:tcPr>
            <w:tcW w:w="329"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496</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532</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483</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490</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527</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508</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560</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490</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540</w:t>
            </w:r>
          </w:p>
        </w:tc>
        <w:tc>
          <w:tcPr>
            <w:tcW w:w="364" w:type="pct"/>
            <w:tcBorders>
              <w:top w:val="single" w:sz="2" w:space="0" w:color="000000"/>
              <w:left w:val="single" w:sz="2" w:space="0" w:color="000000"/>
              <w:bottom w:val="single" w:sz="2" w:space="0" w:color="000000"/>
              <w:right w:val="single" w:sz="8"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482</w:t>
            </w:r>
          </w:p>
        </w:tc>
      </w:tr>
      <w:tr w:rsidR="00A75A8D">
        <w:trPr>
          <w:trHeight w:val="300"/>
        </w:trPr>
        <w:tc>
          <w:tcPr>
            <w:tcW w:w="1033" w:type="pct"/>
            <w:vMerge/>
            <w:tcBorders>
              <w:top w:val="single" w:sz="2" w:space="0" w:color="000000"/>
              <w:left w:val="single" w:sz="8" w:space="0" w:color="000000"/>
              <w:bottom w:val="single" w:sz="2" w:space="0" w:color="000000"/>
              <w:right w:val="single" w:sz="2" w:space="0" w:color="000000"/>
            </w:tcBorders>
            <w:shd w:val="clear" w:color="auto" w:fill="auto"/>
          </w:tcPr>
          <w:p w:rsidR="00A75A8D" w:rsidRDefault="00A75A8D">
            <w:pPr>
              <w:spacing w:after="0" w:line="240" w:lineRule="auto"/>
              <w:jc w:val="center"/>
              <w:rPr>
                <w:rFonts w:ascii="Times New Roman" w:eastAsia="Times New Roman" w:hAnsi="Times New Roman" w:cs="Times New Roman"/>
                <w:color w:val="000000"/>
                <w:sz w:val="24"/>
                <w:szCs w:val="24"/>
                <w:lang w:eastAsia="ru-RU"/>
              </w:rPr>
            </w:pPr>
          </w:p>
        </w:tc>
        <w:tc>
          <w:tcPr>
            <w:tcW w:w="329"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Ж</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91</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81</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94</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81</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90</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81</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96</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84</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105</w:t>
            </w:r>
          </w:p>
        </w:tc>
        <w:tc>
          <w:tcPr>
            <w:tcW w:w="364" w:type="pct"/>
            <w:tcBorders>
              <w:top w:val="single" w:sz="2" w:space="0" w:color="000000"/>
              <w:left w:val="single" w:sz="2" w:space="0" w:color="000000"/>
              <w:bottom w:val="single" w:sz="2" w:space="0" w:color="000000"/>
              <w:right w:val="single" w:sz="8"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82</w:t>
            </w:r>
          </w:p>
        </w:tc>
      </w:tr>
      <w:tr w:rsidR="00A75A8D">
        <w:trPr>
          <w:trHeight w:val="300"/>
        </w:trPr>
        <w:tc>
          <w:tcPr>
            <w:tcW w:w="1033" w:type="pct"/>
            <w:vMerge w:val="restart"/>
            <w:tcBorders>
              <w:top w:val="single" w:sz="2" w:space="0" w:color="000000"/>
              <w:left w:val="single" w:sz="8"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60-64</w:t>
            </w:r>
          </w:p>
        </w:tc>
        <w:tc>
          <w:tcPr>
            <w:tcW w:w="329"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453</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548</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600</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673</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663</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668</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695</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646</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624</w:t>
            </w:r>
          </w:p>
        </w:tc>
        <w:tc>
          <w:tcPr>
            <w:tcW w:w="364" w:type="pct"/>
            <w:tcBorders>
              <w:top w:val="single" w:sz="2" w:space="0" w:color="000000"/>
              <w:left w:val="single" w:sz="2" w:space="0" w:color="000000"/>
              <w:bottom w:val="single" w:sz="2" w:space="0" w:color="000000"/>
              <w:right w:val="single" w:sz="8"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668</w:t>
            </w:r>
          </w:p>
        </w:tc>
      </w:tr>
      <w:tr w:rsidR="00A75A8D">
        <w:trPr>
          <w:trHeight w:val="300"/>
        </w:trPr>
        <w:tc>
          <w:tcPr>
            <w:tcW w:w="1033" w:type="pct"/>
            <w:vMerge/>
            <w:tcBorders>
              <w:top w:val="single" w:sz="2" w:space="0" w:color="000000"/>
              <w:left w:val="single" w:sz="8" w:space="0" w:color="000000"/>
              <w:bottom w:val="single" w:sz="2" w:space="0" w:color="000000"/>
              <w:right w:val="single" w:sz="2" w:space="0" w:color="000000"/>
            </w:tcBorders>
            <w:shd w:val="clear" w:color="auto" w:fill="auto"/>
          </w:tcPr>
          <w:p w:rsidR="00A75A8D" w:rsidRDefault="00A75A8D">
            <w:pPr>
              <w:spacing w:after="0" w:line="240" w:lineRule="auto"/>
              <w:jc w:val="center"/>
              <w:rPr>
                <w:rFonts w:ascii="Times New Roman" w:eastAsia="Times New Roman" w:hAnsi="Times New Roman" w:cs="Times New Roman"/>
                <w:color w:val="000000"/>
                <w:sz w:val="24"/>
                <w:szCs w:val="24"/>
                <w:lang w:eastAsia="ru-RU"/>
              </w:rPr>
            </w:pPr>
          </w:p>
        </w:tc>
        <w:tc>
          <w:tcPr>
            <w:tcW w:w="329"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Ж</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84</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81</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91</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117</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116</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88</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136</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121</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123</w:t>
            </w:r>
          </w:p>
        </w:tc>
        <w:tc>
          <w:tcPr>
            <w:tcW w:w="364" w:type="pct"/>
            <w:tcBorders>
              <w:top w:val="single" w:sz="2" w:space="0" w:color="000000"/>
              <w:left w:val="single" w:sz="2" w:space="0" w:color="000000"/>
              <w:bottom w:val="single" w:sz="2" w:space="0" w:color="000000"/>
              <w:right w:val="single" w:sz="8"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145</w:t>
            </w:r>
          </w:p>
        </w:tc>
      </w:tr>
      <w:tr w:rsidR="00A75A8D">
        <w:trPr>
          <w:trHeight w:val="300"/>
        </w:trPr>
        <w:tc>
          <w:tcPr>
            <w:tcW w:w="1033" w:type="pct"/>
            <w:vMerge w:val="restart"/>
            <w:tcBorders>
              <w:top w:val="single" w:sz="2" w:space="0" w:color="000000"/>
              <w:left w:val="single" w:sz="8"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65-69</w:t>
            </w:r>
          </w:p>
        </w:tc>
        <w:tc>
          <w:tcPr>
            <w:tcW w:w="329"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461</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381</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357</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408</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425</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475</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592</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621</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636</w:t>
            </w:r>
          </w:p>
        </w:tc>
        <w:tc>
          <w:tcPr>
            <w:tcW w:w="364" w:type="pct"/>
            <w:tcBorders>
              <w:top w:val="single" w:sz="2" w:space="0" w:color="000000"/>
              <w:left w:val="single" w:sz="2" w:space="0" w:color="000000"/>
              <w:bottom w:val="single" w:sz="2" w:space="0" w:color="000000"/>
              <w:right w:val="single" w:sz="8"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630</w:t>
            </w:r>
          </w:p>
        </w:tc>
      </w:tr>
      <w:tr w:rsidR="00A75A8D">
        <w:trPr>
          <w:trHeight w:val="300"/>
        </w:trPr>
        <w:tc>
          <w:tcPr>
            <w:tcW w:w="1033" w:type="pct"/>
            <w:vMerge/>
            <w:tcBorders>
              <w:top w:val="single" w:sz="2" w:space="0" w:color="000000"/>
              <w:left w:val="single" w:sz="8" w:space="0" w:color="000000"/>
              <w:bottom w:val="single" w:sz="2" w:space="0" w:color="000000"/>
              <w:right w:val="single" w:sz="2" w:space="0" w:color="000000"/>
            </w:tcBorders>
            <w:shd w:val="clear" w:color="auto" w:fill="auto"/>
          </w:tcPr>
          <w:p w:rsidR="00A75A8D" w:rsidRDefault="00A75A8D">
            <w:pPr>
              <w:spacing w:after="0" w:line="240" w:lineRule="auto"/>
              <w:jc w:val="center"/>
              <w:rPr>
                <w:rFonts w:ascii="Times New Roman" w:eastAsia="Times New Roman" w:hAnsi="Times New Roman" w:cs="Times New Roman"/>
                <w:color w:val="000000"/>
                <w:sz w:val="24"/>
                <w:szCs w:val="24"/>
                <w:lang w:eastAsia="ru-RU"/>
              </w:rPr>
            </w:pPr>
          </w:p>
        </w:tc>
        <w:tc>
          <w:tcPr>
            <w:tcW w:w="329"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Ж</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104</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78</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66</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64</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78</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98</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122</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129</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138</w:t>
            </w:r>
          </w:p>
        </w:tc>
        <w:tc>
          <w:tcPr>
            <w:tcW w:w="364" w:type="pct"/>
            <w:tcBorders>
              <w:top w:val="single" w:sz="2" w:space="0" w:color="000000"/>
              <w:left w:val="single" w:sz="2" w:space="0" w:color="000000"/>
              <w:bottom w:val="single" w:sz="2" w:space="0" w:color="000000"/>
              <w:right w:val="single" w:sz="8"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119</w:t>
            </w:r>
          </w:p>
        </w:tc>
      </w:tr>
      <w:tr w:rsidR="00A75A8D">
        <w:trPr>
          <w:trHeight w:val="300"/>
        </w:trPr>
        <w:tc>
          <w:tcPr>
            <w:tcW w:w="1033" w:type="pct"/>
            <w:vMerge w:val="restart"/>
            <w:tcBorders>
              <w:top w:val="single" w:sz="2" w:space="0" w:color="000000"/>
              <w:left w:val="single" w:sz="8"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Старше 70</w:t>
            </w:r>
          </w:p>
        </w:tc>
        <w:tc>
          <w:tcPr>
            <w:tcW w:w="329"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878</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882</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863</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838</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856</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824</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812</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771</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765</w:t>
            </w:r>
          </w:p>
        </w:tc>
        <w:tc>
          <w:tcPr>
            <w:tcW w:w="364" w:type="pct"/>
            <w:tcBorders>
              <w:top w:val="single" w:sz="2" w:space="0" w:color="000000"/>
              <w:left w:val="single" w:sz="2" w:space="0" w:color="000000"/>
              <w:bottom w:val="single" w:sz="2" w:space="0" w:color="000000"/>
              <w:right w:val="single" w:sz="8"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764</w:t>
            </w:r>
          </w:p>
        </w:tc>
      </w:tr>
      <w:tr w:rsidR="00A75A8D">
        <w:trPr>
          <w:trHeight w:val="300"/>
        </w:trPr>
        <w:tc>
          <w:tcPr>
            <w:tcW w:w="1033" w:type="pct"/>
            <w:vMerge/>
            <w:tcBorders>
              <w:top w:val="single" w:sz="2" w:space="0" w:color="000000"/>
              <w:left w:val="single" w:sz="8" w:space="0" w:color="000000"/>
              <w:bottom w:val="single" w:sz="2" w:space="0" w:color="000000"/>
              <w:right w:val="single" w:sz="2" w:space="0" w:color="000000"/>
            </w:tcBorders>
            <w:shd w:val="clear" w:color="auto" w:fill="auto"/>
          </w:tcPr>
          <w:p w:rsidR="00A75A8D" w:rsidRDefault="00A75A8D">
            <w:pPr>
              <w:spacing w:after="0" w:line="240" w:lineRule="auto"/>
              <w:jc w:val="center"/>
              <w:rPr>
                <w:rFonts w:ascii="Times New Roman" w:eastAsia="Times New Roman" w:hAnsi="Times New Roman" w:cs="Times New Roman"/>
                <w:color w:val="000000"/>
                <w:sz w:val="24"/>
                <w:szCs w:val="24"/>
                <w:lang w:eastAsia="ru-RU"/>
              </w:rPr>
            </w:pPr>
          </w:p>
        </w:tc>
        <w:tc>
          <w:tcPr>
            <w:tcW w:w="329"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Ж</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256</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230</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255</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293</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316</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302</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265</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227</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267</w:t>
            </w:r>
          </w:p>
        </w:tc>
        <w:tc>
          <w:tcPr>
            <w:tcW w:w="364" w:type="pct"/>
            <w:tcBorders>
              <w:top w:val="single" w:sz="2" w:space="0" w:color="000000"/>
              <w:left w:val="single" w:sz="2" w:space="0" w:color="000000"/>
              <w:bottom w:val="single" w:sz="2" w:space="0" w:color="000000"/>
              <w:right w:val="single" w:sz="8"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258</w:t>
            </w:r>
          </w:p>
        </w:tc>
      </w:tr>
      <w:tr w:rsidR="00A75A8D">
        <w:trPr>
          <w:trHeight w:val="300"/>
        </w:trPr>
        <w:tc>
          <w:tcPr>
            <w:tcW w:w="1033" w:type="pct"/>
            <w:tcBorders>
              <w:top w:val="single" w:sz="2" w:space="0" w:color="000000"/>
              <w:left w:val="single" w:sz="8"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Всего</w:t>
            </w:r>
          </w:p>
        </w:tc>
        <w:tc>
          <w:tcPr>
            <w:tcW w:w="329"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2916</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2941</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2824</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2946</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2994</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2956</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3157</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2945</w:t>
            </w:r>
          </w:p>
        </w:tc>
        <w:tc>
          <w:tcPr>
            <w:tcW w:w="364" w:type="pct"/>
            <w:tcBorders>
              <w:top w:val="single" w:sz="2" w:space="0" w:color="000000"/>
              <w:left w:val="single" w:sz="2" w:space="0" w:color="000000"/>
              <w:bottom w:val="single" w:sz="2" w:space="0" w:color="000000"/>
              <w:right w:val="single" w:sz="2"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3008</w:t>
            </w:r>
          </w:p>
        </w:tc>
        <w:tc>
          <w:tcPr>
            <w:tcW w:w="364" w:type="pct"/>
            <w:tcBorders>
              <w:top w:val="single" w:sz="2" w:space="0" w:color="000000"/>
              <w:left w:val="single" w:sz="2" w:space="0" w:color="000000"/>
              <w:bottom w:val="single" w:sz="2" w:space="0" w:color="000000"/>
              <w:right w:val="single" w:sz="8" w:space="0" w:color="000000"/>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2973</w:t>
            </w:r>
          </w:p>
        </w:tc>
      </w:tr>
      <w:tr w:rsidR="00A75A8D">
        <w:trPr>
          <w:trHeight w:val="300"/>
        </w:trPr>
        <w:tc>
          <w:tcPr>
            <w:tcW w:w="1033" w:type="pct"/>
            <w:tcBorders>
              <w:top w:val="single" w:sz="2" w:space="0" w:color="000000"/>
              <w:left w:val="single" w:sz="8" w:space="0" w:color="000000"/>
              <w:bottom w:val="single" w:sz="8" w:space="0" w:color="000000"/>
              <w:right w:val="single" w:sz="2" w:space="0" w:color="000000"/>
            </w:tcBorders>
            <w:shd w:val="clear" w:color="auto" w:fill="auto"/>
          </w:tcPr>
          <w:p w:rsidR="00A75A8D" w:rsidRDefault="00A75A8D">
            <w:pPr>
              <w:spacing w:after="0" w:line="240" w:lineRule="auto"/>
              <w:jc w:val="center"/>
              <w:rPr>
                <w:rFonts w:ascii="Times New Roman" w:eastAsia="Times New Roman" w:hAnsi="Times New Roman" w:cs="Times New Roman"/>
                <w:color w:val="000000"/>
                <w:sz w:val="24"/>
                <w:szCs w:val="24"/>
                <w:lang w:eastAsia="ru-RU"/>
              </w:rPr>
            </w:pPr>
          </w:p>
        </w:tc>
        <w:tc>
          <w:tcPr>
            <w:tcW w:w="329" w:type="pct"/>
            <w:tcBorders>
              <w:top w:val="single" w:sz="2" w:space="0" w:color="000000"/>
              <w:left w:val="single" w:sz="2" w:space="0" w:color="000000"/>
              <w:bottom w:val="single" w:sz="8"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Ж</w:t>
            </w:r>
          </w:p>
        </w:tc>
        <w:tc>
          <w:tcPr>
            <w:tcW w:w="364" w:type="pct"/>
            <w:tcBorders>
              <w:top w:val="single" w:sz="2" w:space="0" w:color="000000"/>
              <w:left w:val="single" w:sz="2" w:space="0" w:color="000000"/>
              <w:bottom w:val="single" w:sz="8"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657</w:t>
            </w:r>
          </w:p>
        </w:tc>
        <w:tc>
          <w:tcPr>
            <w:tcW w:w="364" w:type="pct"/>
            <w:tcBorders>
              <w:top w:val="single" w:sz="2" w:space="0" w:color="000000"/>
              <w:left w:val="single" w:sz="2" w:space="0" w:color="000000"/>
              <w:bottom w:val="single" w:sz="8"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594</w:t>
            </w:r>
          </w:p>
        </w:tc>
        <w:tc>
          <w:tcPr>
            <w:tcW w:w="364" w:type="pct"/>
            <w:tcBorders>
              <w:top w:val="single" w:sz="2" w:space="0" w:color="000000"/>
              <w:left w:val="single" w:sz="2" w:space="0" w:color="000000"/>
              <w:bottom w:val="single" w:sz="8"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639</w:t>
            </w:r>
          </w:p>
        </w:tc>
        <w:tc>
          <w:tcPr>
            <w:tcW w:w="364" w:type="pct"/>
            <w:tcBorders>
              <w:top w:val="single" w:sz="2" w:space="0" w:color="000000"/>
              <w:left w:val="single" w:sz="2" w:space="0" w:color="000000"/>
              <w:bottom w:val="single" w:sz="8"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718</w:t>
            </w:r>
          </w:p>
        </w:tc>
        <w:tc>
          <w:tcPr>
            <w:tcW w:w="364" w:type="pct"/>
            <w:tcBorders>
              <w:top w:val="single" w:sz="2" w:space="0" w:color="000000"/>
              <w:left w:val="single" w:sz="2" w:space="0" w:color="000000"/>
              <w:bottom w:val="single" w:sz="8"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762</w:t>
            </w:r>
          </w:p>
        </w:tc>
        <w:tc>
          <w:tcPr>
            <w:tcW w:w="364" w:type="pct"/>
            <w:tcBorders>
              <w:top w:val="single" w:sz="2" w:space="0" w:color="000000"/>
              <w:left w:val="single" w:sz="2" w:space="0" w:color="000000"/>
              <w:bottom w:val="single" w:sz="8"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713</w:t>
            </w:r>
          </w:p>
        </w:tc>
        <w:tc>
          <w:tcPr>
            <w:tcW w:w="364" w:type="pct"/>
            <w:tcBorders>
              <w:top w:val="single" w:sz="2" w:space="0" w:color="000000"/>
              <w:left w:val="single" w:sz="2" w:space="0" w:color="000000"/>
              <w:bottom w:val="single" w:sz="8"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783</w:t>
            </w:r>
          </w:p>
        </w:tc>
        <w:tc>
          <w:tcPr>
            <w:tcW w:w="364" w:type="pct"/>
            <w:tcBorders>
              <w:top w:val="single" w:sz="2" w:space="0" w:color="000000"/>
              <w:left w:val="single" w:sz="2" w:space="0" w:color="000000"/>
              <w:bottom w:val="single" w:sz="8"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689</w:t>
            </w:r>
          </w:p>
        </w:tc>
        <w:tc>
          <w:tcPr>
            <w:tcW w:w="364" w:type="pct"/>
            <w:tcBorders>
              <w:top w:val="single" w:sz="2" w:space="0" w:color="000000"/>
              <w:left w:val="single" w:sz="2" w:space="0" w:color="000000"/>
              <w:bottom w:val="single" w:sz="8" w:space="0" w:color="000000"/>
              <w:right w:val="single" w:sz="2"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762</w:t>
            </w:r>
          </w:p>
        </w:tc>
        <w:tc>
          <w:tcPr>
            <w:tcW w:w="364" w:type="pct"/>
            <w:tcBorders>
              <w:top w:val="single" w:sz="2" w:space="0" w:color="000000"/>
              <w:left w:val="single" w:sz="2" w:space="0" w:color="000000"/>
              <w:bottom w:val="single" w:sz="8" w:space="0" w:color="000000"/>
              <w:right w:val="single" w:sz="8" w:space="0" w:color="000000"/>
            </w:tcBorders>
            <w:shd w:val="clear" w:color="auto" w:fill="auto"/>
          </w:tcPr>
          <w:p w:rsidR="00A75A8D" w:rsidRDefault="008A6A51">
            <w:pPr>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767</w:t>
            </w:r>
          </w:p>
        </w:tc>
      </w:tr>
      <w:tr w:rsidR="00A75A8D">
        <w:trPr>
          <w:trHeight w:val="300"/>
        </w:trPr>
        <w:tc>
          <w:tcPr>
            <w:tcW w:w="1362" w:type="pct"/>
            <w:gridSpan w:val="2"/>
            <w:tcBorders>
              <w:top w:val="single" w:sz="8" w:space="0" w:color="000000"/>
              <w:left w:val="single" w:sz="8" w:space="0" w:color="000000"/>
              <w:bottom w:val="single" w:sz="8" w:space="0" w:color="000000"/>
              <w:right w:val="single" w:sz="2" w:space="0" w:color="000000"/>
            </w:tcBorders>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lastRenderedPageBreak/>
              <w:t>Всего</w:t>
            </w:r>
          </w:p>
        </w:tc>
        <w:tc>
          <w:tcPr>
            <w:tcW w:w="364" w:type="pct"/>
            <w:tcBorders>
              <w:top w:val="single" w:sz="8" w:space="0" w:color="000000"/>
              <w:left w:val="single" w:sz="2" w:space="0" w:color="000000"/>
              <w:bottom w:val="single" w:sz="8" w:space="0" w:color="000000"/>
              <w:right w:val="single" w:sz="2" w:space="0" w:color="000000"/>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3573</w:t>
            </w:r>
          </w:p>
        </w:tc>
        <w:tc>
          <w:tcPr>
            <w:tcW w:w="364" w:type="pct"/>
            <w:tcBorders>
              <w:top w:val="single" w:sz="8" w:space="0" w:color="000000"/>
              <w:left w:val="single" w:sz="2" w:space="0" w:color="000000"/>
              <w:bottom w:val="single" w:sz="8" w:space="0" w:color="000000"/>
              <w:right w:val="single" w:sz="2" w:space="0" w:color="000000"/>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3535</w:t>
            </w:r>
          </w:p>
        </w:tc>
        <w:tc>
          <w:tcPr>
            <w:tcW w:w="364" w:type="pct"/>
            <w:tcBorders>
              <w:top w:val="single" w:sz="8" w:space="0" w:color="000000"/>
              <w:left w:val="single" w:sz="2" w:space="0" w:color="000000"/>
              <w:bottom w:val="single" w:sz="8" w:space="0" w:color="000000"/>
              <w:right w:val="single" w:sz="2" w:space="0" w:color="000000"/>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3463</w:t>
            </w:r>
          </w:p>
        </w:tc>
        <w:tc>
          <w:tcPr>
            <w:tcW w:w="364" w:type="pct"/>
            <w:tcBorders>
              <w:top w:val="single" w:sz="8" w:space="0" w:color="000000"/>
              <w:left w:val="single" w:sz="2" w:space="0" w:color="000000"/>
              <w:bottom w:val="single" w:sz="8" w:space="0" w:color="000000"/>
              <w:right w:val="single" w:sz="2" w:space="0" w:color="000000"/>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3664</w:t>
            </w:r>
          </w:p>
        </w:tc>
        <w:tc>
          <w:tcPr>
            <w:tcW w:w="364" w:type="pct"/>
            <w:tcBorders>
              <w:top w:val="single" w:sz="8" w:space="0" w:color="000000"/>
              <w:left w:val="single" w:sz="2" w:space="0" w:color="000000"/>
              <w:bottom w:val="single" w:sz="8" w:space="0" w:color="000000"/>
              <w:right w:val="single" w:sz="2" w:space="0" w:color="000000"/>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3756</w:t>
            </w:r>
          </w:p>
        </w:tc>
        <w:tc>
          <w:tcPr>
            <w:tcW w:w="364" w:type="pct"/>
            <w:tcBorders>
              <w:top w:val="single" w:sz="8" w:space="0" w:color="000000"/>
              <w:left w:val="single" w:sz="2" w:space="0" w:color="000000"/>
              <w:bottom w:val="single" w:sz="8" w:space="0" w:color="000000"/>
              <w:right w:val="single" w:sz="2" w:space="0" w:color="000000"/>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3669</w:t>
            </w:r>
          </w:p>
        </w:tc>
        <w:tc>
          <w:tcPr>
            <w:tcW w:w="364" w:type="pct"/>
            <w:tcBorders>
              <w:top w:val="single" w:sz="8" w:space="0" w:color="000000"/>
              <w:left w:val="single" w:sz="2" w:space="0" w:color="000000"/>
              <w:bottom w:val="single" w:sz="8" w:space="0" w:color="000000"/>
              <w:right w:val="single" w:sz="2" w:space="0" w:color="000000"/>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3940</w:t>
            </w:r>
          </w:p>
        </w:tc>
        <w:tc>
          <w:tcPr>
            <w:tcW w:w="364" w:type="pct"/>
            <w:tcBorders>
              <w:top w:val="single" w:sz="8" w:space="0" w:color="000000"/>
              <w:left w:val="single" w:sz="2" w:space="0" w:color="000000"/>
              <w:bottom w:val="single" w:sz="8" w:space="0" w:color="000000"/>
              <w:right w:val="single" w:sz="2" w:space="0" w:color="000000"/>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3634</w:t>
            </w:r>
          </w:p>
        </w:tc>
        <w:tc>
          <w:tcPr>
            <w:tcW w:w="364" w:type="pct"/>
            <w:tcBorders>
              <w:top w:val="single" w:sz="8" w:space="0" w:color="000000"/>
              <w:left w:val="single" w:sz="2" w:space="0" w:color="000000"/>
              <w:bottom w:val="single" w:sz="8" w:space="0" w:color="000000"/>
              <w:right w:val="single" w:sz="2" w:space="0" w:color="000000"/>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3770</w:t>
            </w:r>
          </w:p>
        </w:tc>
        <w:tc>
          <w:tcPr>
            <w:tcW w:w="364" w:type="pct"/>
            <w:tcBorders>
              <w:top w:val="single" w:sz="8" w:space="0" w:color="000000"/>
              <w:left w:val="single" w:sz="2" w:space="0" w:color="000000"/>
              <w:bottom w:val="single" w:sz="8" w:space="0" w:color="000000"/>
              <w:right w:val="single" w:sz="8" w:space="0" w:color="000000"/>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3740</w:t>
            </w:r>
          </w:p>
        </w:tc>
      </w:tr>
    </w:tbl>
    <w:p w:rsidR="00A75A8D" w:rsidRDefault="00A75A8D">
      <w:pPr>
        <w:spacing w:after="0"/>
        <w:ind w:firstLine="704"/>
        <w:jc w:val="both"/>
        <w:rPr>
          <w:rFonts w:ascii="Times New Roman" w:hAnsi="Times New Roman" w:cs="Times New Roman"/>
          <w:sz w:val="28"/>
          <w:szCs w:val="28"/>
        </w:rPr>
      </w:pP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Согласно данным из таблицы 5, начиная с возраста 25 лет наблюдается увеличение ежегодно регистрируемых случаев рака легкого с максимальными показателями в возрастной группе 70 лет и старше </w:t>
      </w:r>
      <w:r>
        <w:rPr>
          <w:rFonts w:ascii="Times New Roman" w:hAnsi="Times New Roman" w:cs="Times New Roman"/>
          <w:color w:val="000000" w:themeColor="text1"/>
          <w:sz w:val="28"/>
          <w:szCs w:val="28"/>
        </w:rPr>
        <w:t xml:space="preserve">– 29,7% случая </w:t>
      </w:r>
      <w:r>
        <w:rPr>
          <w:rFonts w:ascii="Times New Roman" w:hAnsi="Times New Roman" w:cs="Times New Roman"/>
          <w:sz w:val="28"/>
          <w:szCs w:val="28"/>
        </w:rPr>
        <w:t xml:space="preserve">(10922/36744), из них большинство приходится на мужскую популяцию – 75,5% </w:t>
      </w:r>
      <w:r>
        <w:rPr>
          <w:rFonts w:ascii="Times New Roman" w:hAnsi="Times New Roman" w:cs="Times New Roman"/>
          <w:color w:val="000000" w:themeColor="text1"/>
          <w:sz w:val="28"/>
          <w:szCs w:val="28"/>
        </w:rPr>
        <w:t>случая</w:t>
      </w:r>
      <w:r>
        <w:rPr>
          <w:rFonts w:ascii="Times New Roman" w:hAnsi="Times New Roman" w:cs="Times New Roman"/>
          <w:sz w:val="28"/>
          <w:szCs w:val="28"/>
        </w:rPr>
        <w:t xml:space="preserve"> (8253/10922). </w:t>
      </w:r>
      <w:r>
        <w:rPr>
          <w:rFonts w:ascii="Times New Roman" w:hAnsi="Times New Roman" w:cs="Times New Roman"/>
          <w:color w:val="000000" w:themeColor="text1"/>
          <w:sz w:val="28"/>
          <w:szCs w:val="28"/>
        </w:rPr>
        <w:t xml:space="preserve">Наибольший процент </w:t>
      </w:r>
      <w:r>
        <w:rPr>
          <w:rFonts w:ascii="Times New Roman" w:hAnsi="Times New Roman" w:cs="Times New Roman"/>
          <w:sz w:val="28"/>
          <w:szCs w:val="28"/>
        </w:rPr>
        <w:t xml:space="preserve">впервые выявленных случаев рака легкого приходится на возрастные группы 50-54 года - </w:t>
      </w:r>
      <w:r>
        <w:rPr>
          <w:rFonts w:ascii="Times New Roman" w:hAnsi="Times New Roman" w:cs="Times New Roman"/>
          <w:color w:val="000000" w:themeColor="text1"/>
          <w:sz w:val="28"/>
          <w:szCs w:val="28"/>
        </w:rPr>
        <w:t>9,9% (3662/</w:t>
      </w:r>
      <w:r>
        <w:rPr>
          <w:rFonts w:ascii="Times New Roman" w:hAnsi="Times New Roman" w:cs="Times New Roman"/>
          <w:sz w:val="28"/>
          <w:szCs w:val="28"/>
        </w:rPr>
        <w:t>36744)</w:t>
      </w:r>
      <w:r>
        <w:rPr>
          <w:rFonts w:ascii="Times New Roman" w:hAnsi="Times New Roman" w:cs="Times New Roman"/>
          <w:color w:val="000000" w:themeColor="text1"/>
          <w:sz w:val="28"/>
          <w:szCs w:val="28"/>
        </w:rPr>
        <w:t xml:space="preserve">, </w:t>
      </w:r>
      <w:r>
        <w:rPr>
          <w:rFonts w:ascii="Times New Roman" w:hAnsi="Times New Roman" w:cs="Times New Roman"/>
          <w:sz w:val="28"/>
          <w:szCs w:val="28"/>
        </w:rPr>
        <w:t xml:space="preserve">55-59 лет - 16,3% (5993/36744), 60-64 </w:t>
      </w:r>
      <w:r>
        <w:rPr>
          <w:rFonts w:ascii="Times New Roman" w:hAnsi="Times New Roman" w:cs="Times New Roman"/>
          <w:sz w:val="28"/>
          <w:szCs w:val="28"/>
        </w:rPr>
        <w:t xml:space="preserve">года - 19,9% (7340/36744), 65-69 лет - 16,2% (5982/36744) и старше 70 лет - 29,7% (10922/36744), что составляет 92% от всех впервые зарегистрированных случаев. </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целом за анализируемый период в структуре </w:t>
      </w:r>
      <w:r>
        <w:rPr>
          <w:rFonts w:ascii="Times New Roman" w:hAnsi="Times New Roman" w:cs="Times New Roman"/>
          <w:color w:val="000000" w:themeColor="text1"/>
          <w:sz w:val="28"/>
          <w:szCs w:val="28"/>
        </w:rPr>
        <w:t>заболевших</w:t>
      </w:r>
      <w:r>
        <w:rPr>
          <w:rFonts w:ascii="Times New Roman" w:hAnsi="Times New Roman" w:cs="Times New Roman"/>
          <w:color w:val="FF0000"/>
          <w:sz w:val="28"/>
          <w:szCs w:val="28"/>
        </w:rPr>
        <w:t xml:space="preserve"> </w:t>
      </w:r>
      <w:r>
        <w:rPr>
          <w:rFonts w:ascii="Times New Roman" w:hAnsi="Times New Roman" w:cs="Times New Roman"/>
          <w:sz w:val="28"/>
          <w:szCs w:val="28"/>
        </w:rPr>
        <w:t>раком легкого, мужчины всех возрастов со</w:t>
      </w:r>
      <w:r>
        <w:rPr>
          <w:rFonts w:ascii="Times New Roman" w:hAnsi="Times New Roman" w:cs="Times New Roman"/>
          <w:sz w:val="28"/>
          <w:szCs w:val="28"/>
        </w:rPr>
        <w:t>ставляли 75,8%, женщины – 24,2%.</w:t>
      </w:r>
    </w:p>
    <w:p w:rsidR="00A75A8D" w:rsidRDefault="008A6A51">
      <w:pPr>
        <w:spacing w:after="0" w:line="240" w:lineRule="auto"/>
        <w:ind w:right="-2" w:firstLine="567"/>
        <w:jc w:val="both"/>
        <w:rPr>
          <w:rFonts w:ascii="Times New Roman" w:hAnsi="Times New Roman" w:cs="Times New Roman"/>
          <w:sz w:val="28"/>
          <w:szCs w:val="28"/>
        </w:rPr>
      </w:pPr>
      <w:r>
        <w:rPr>
          <w:rFonts w:ascii="Times New Roman" w:hAnsi="Times New Roman" w:cs="Times New Roman"/>
          <w:sz w:val="28"/>
          <w:szCs w:val="28"/>
        </w:rPr>
        <w:t xml:space="preserve">Максимальное количество впервые выявленных случаев у мужчин отмечено в возрастной категории 70 лет и старше в 2010 году (882 случая), а в женской популяции в 2013 году в этой же возрастной категории (316 случаев). </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гендер</w:t>
      </w:r>
      <w:r>
        <w:rPr>
          <w:rFonts w:ascii="Times New Roman" w:hAnsi="Times New Roman" w:cs="Times New Roman"/>
          <w:sz w:val="28"/>
          <w:szCs w:val="28"/>
        </w:rPr>
        <w:t xml:space="preserve">ном аспекте за анализируемый период, заболевших раком легкого отмечается увеличение доли женщин. Для расчета доли мы использовали формулу: </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0288" behindDoc="1" locked="0" layoutInCell="1" allowOverlap="1">
            <wp:simplePos x="0" y="0"/>
            <wp:positionH relativeFrom="column">
              <wp:posOffset>1597660</wp:posOffset>
            </wp:positionH>
            <wp:positionV relativeFrom="paragraph">
              <wp:posOffset>73660</wp:posOffset>
            </wp:positionV>
            <wp:extent cx="3068955" cy="497840"/>
            <wp:effectExtent l="0" t="0" r="0"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3068955" cy="497840"/>
                    </a:xfrm>
                    <a:prstGeom prst="rect">
                      <a:avLst/>
                    </a:prstGeom>
                    <a:noFill/>
                    <a:ln>
                      <a:noFill/>
                    </a:ln>
                  </pic:spPr>
                </pic:pic>
              </a:graphicData>
            </a:graphic>
          </wp:anchor>
        </w:drawing>
      </w:r>
    </w:p>
    <w:p w:rsidR="00A75A8D" w:rsidRDefault="00A75A8D">
      <w:pPr>
        <w:spacing w:after="0" w:line="240" w:lineRule="auto"/>
        <w:ind w:firstLine="567"/>
        <w:jc w:val="both"/>
        <w:rPr>
          <w:rFonts w:ascii="Times New Roman" w:hAnsi="Times New Roman" w:cs="Times New Roman"/>
          <w:sz w:val="28"/>
          <w:szCs w:val="28"/>
        </w:rPr>
      </w:pPr>
    </w:p>
    <w:p w:rsidR="00A75A8D" w:rsidRDefault="00A75A8D">
      <w:pPr>
        <w:spacing w:after="0" w:line="240" w:lineRule="auto"/>
        <w:ind w:firstLine="567"/>
        <w:jc w:val="both"/>
        <w:rPr>
          <w:rFonts w:ascii="Times New Roman" w:hAnsi="Times New Roman" w:cs="Times New Roman"/>
          <w:sz w:val="28"/>
          <w:szCs w:val="28"/>
        </w:rPr>
      </w:pPr>
    </w:p>
    <w:p w:rsidR="00A75A8D" w:rsidRDefault="008A6A51">
      <w:pPr>
        <w:spacing w:after="0" w:line="240" w:lineRule="auto"/>
        <w:ind w:right="-2"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59264" behindDoc="0" locked="0" layoutInCell="1" allowOverlap="1">
            <wp:simplePos x="0" y="0"/>
            <wp:positionH relativeFrom="column">
              <wp:posOffset>2337435</wp:posOffset>
            </wp:positionH>
            <wp:positionV relativeFrom="paragraph">
              <wp:posOffset>862330</wp:posOffset>
            </wp:positionV>
            <wp:extent cx="1645920" cy="485775"/>
            <wp:effectExtent l="0" t="0" r="0" b="9525"/>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1645920" cy="485775"/>
                    </a:xfrm>
                    <a:prstGeom prst="rect">
                      <a:avLst/>
                    </a:prstGeom>
                    <a:noFill/>
                    <a:ln>
                      <a:noFill/>
                    </a:ln>
                  </pic:spPr>
                </pic:pic>
              </a:graphicData>
            </a:graphic>
          </wp:anchor>
        </w:drawing>
      </w:r>
      <w:r>
        <w:rPr>
          <w:rFonts w:ascii="Times New Roman" w:hAnsi="Times New Roman" w:cs="Times New Roman"/>
          <w:sz w:val="28"/>
          <w:szCs w:val="28"/>
        </w:rPr>
        <w:t>Пример расчета: в 2009 году было зарегистрировано 657 женщин с раком легкого, а общее количество впервые выявле</w:t>
      </w:r>
      <w:r>
        <w:rPr>
          <w:rFonts w:ascii="Times New Roman" w:hAnsi="Times New Roman" w:cs="Times New Roman"/>
          <w:sz w:val="28"/>
          <w:szCs w:val="28"/>
        </w:rPr>
        <w:t xml:space="preserve">нных случаев составило 3 573, далее был проведен расчет по вышеописанной формуле: </w:t>
      </w:r>
    </w:p>
    <w:p w:rsidR="00A75A8D" w:rsidRDefault="00A75A8D">
      <w:pPr>
        <w:ind w:firstLine="704"/>
        <w:jc w:val="both"/>
        <w:rPr>
          <w:rFonts w:ascii="Times New Roman" w:hAnsi="Times New Roman" w:cs="Times New Roman"/>
          <w:sz w:val="28"/>
          <w:szCs w:val="28"/>
        </w:rPr>
      </w:pPr>
    </w:p>
    <w:p w:rsidR="00A75A8D" w:rsidRDefault="00A75A8D">
      <w:pPr>
        <w:ind w:firstLine="704"/>
        <w:jc w:val="both"/>
        <w:rPr>
          <w:rFonts w:ascii="Times New Roman" w:hAnsi="Times New Roman" w:cs="Times New Roman"/>
          <w:sz w:val="28"/>
          <w:szCs w:val="28"/>
        </w:rPr>
      </w:pPr>
    </w:p>
    <w:p w:rsidR="00A75A8D" w:rsidRDefault="00A75A8D">
      <w:pPr>
        <w:spacing w:after="0" w:line="240" w:lineRule="auto"/>
        <w:ind w:firstLine="567"/>
        <w:jc w:val="both"/>
        <w:rPr>
          <w:rFonts w:ascii="Times New Roman" w:hAnsi="Times New Roman" w:cs="Times New Roman"/>
          <w:sz w:val="28"/>
          <w:szCs w:val="28"/>
        </w:rPr>
      </w:pPr>
    </w:p>
    <w:p w:rsidR="00A75A8D" w:rsidRDefault="008A6A51">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sz w:val="28"/>
          <w:szCs w:val="28"/>
        </w:rPr>
        <w:t xml:space="preserve">Таким образом, в 2009 году доля женщин составила 18,4% против 81,6% мужчин; в 2018 году – </w:t>
      </w:r>
      <w:r>
        <w:rPr>
          <w:rFonts w:ascii="Times New Roman" w:hAnsi="Times New Roman" w:cs="Times New Roman"/>
          <w:color w:val="000000" w:themeColor="text1"/>
          <w:sz w:val="28"/>
          <w:szCs w:val="28"/>
        </w:rPr>
        <w:t>доля заболевших женщин возросла до 21% против 79% заболевших мужчин.</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color w:val="000000" w:themeColor="text1"/>
          <w:sz w:val="28"/>
          <w:szCs w:val="28"/>
        </w:rPr>
        <w:t>В возрастны</w:t>
      </w:r>
      <w:r>
        <w:rPr>
          <w:rFonts w:ascii="Times New Roman" w:hAnsi="Times New Roman" w:cs="Times New Roman"/>
          <w:color w:val="000000" w:themeColor="text1"/>
          <w:sz w:val="28"/>
          <w:szCs w:val="28"/>
        </w:rPr>
        <w:t>х категориях 50-54, 55-59 лет, 60-64 и 65-69 лет, доля заболевших мужчин в течение всего анализируемого периода (кроме 2009 и 2010 годов, в возрастной категории 65-69 лет) превышала долю женщин</w:t>
      </w:r>
      <w:r>
        <w:rPr>
          <w:rFonts w:ascii="Times New Roman" w:hAnsi="Times New Roman" w:cs="Times New Roman"/>
          <w:sz w:val="28"/>
          <w:szCs w:val="28"/>
        </w:rPr>
        <w:t xml:space="preserve">, то в возрасте 70 лет и старше наблюдалась обратная ситуация: </w:t>
      </w:r>
      <w:r>
        <w:rPr>
          <w:rFonts w:ascii="Times New Roman" w:hAnsi="Times New Roman" w:cs="Times New Roman"/>
          <w:sz w:val="28"/>
          <w:szCs w:val="28"/>
        </w:rPr>
        <w:t xml:space="preserve">во все годы в этой возрастной категории </w:t>
      </w:r>
      <w:r>
        <w:rPr>
          <w:rFonts w:ascii="Times New Roman" w:hAnsi="Times New Roman" w:cs="Times New Roman"/>
          <w:color w:val="000000" w:themeColor="text1"/>
          <w:sz w:val="28"/>
          <w:szCs w:val="28"/>
        </w:rPr>
        <w:t>доля заболевших женщин превышала долю заболевших мужчин. Вероятно, это связано с большей продолжительностью жизни женского населения страны. По данным Комитета по статистике Министерства Национальной Экономики РК, пр</w:t>
      </w:r>
      <w:r>
        <w:rPr>
          <w:rFonts w:ascii="Times New Roman" w:hAnsi="Times New Roman" w:cs="Times New Roman"/>
          <w:color w:val="000000" w:themeColor="text1"/>
          <w:sz w:val="28"/>
          <w:szCs w:val="28"/>
        </w:rPr>
        <w:t>одолжительность жизни женщин на 8-9 и более лет стабильно превышает продолжительность жизни мужского населения. Исходя из этого, можно предполагать, что при одинаковом уровне ожидаемой продолжительности жизни мужчин и женщин в стране, доля заболевших раком</w:t>
      </w: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lastRenderedPageBreak/>
        <w:t xml:space="preserve">лёгких мужчин в возрасте 70 лет и старше выровнялась </w:t>
      </w:r>
      <w:r>
        <w:rPr>
          <w:rFonts w:ascii="Times New Roman" w:hAnsi="Times New Roman" w:cs="Times New Roman"/>
          <w:sz w:val="28"/>
          <w:szCs w:val="28"/>
        </w:rPr>
        <w:t>бы с аналогичным показателем у женщин, и даже превысила бы его.</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На рисунке 13 наглядно представлены данные по заболеваемости раком легкого в зависимости от возраста и пола в 2018 году, которые </w:t>
      </w:r>
      <w:r>
        <w:rPr>
          <w:rFonts w:ascii="Times New Roman" w:hAnsi="Times New Roman" w:cs="Times New Roman"/>
          <w:color w:val="000000" w:themeColor="text1"/>
          <w:sz w:val="28"/>
          <w:szCs w:val="28"/>
        </w:rPr>
        <w:t xml:space="preserve">отражают </w:t>
      </w:r>
      <w:r>
        <w:rPr>
          <w:rFonts w:ascii="Times New Roman" w:hAnsi="Times New Roman" w:cs="Times New Roman"/>
          <w:color w:val="000000" w:themeColor="text1"/>
          <w:sz w:val="28"/>
          <w:szCs w:val="28"/>
        </w:rPr>
        <w:t xml:space="preserve">долю </w:t>
      </w:r>
      <w:r>
        <w:rPr>
          <w:rFonts w:ascii="Times New Roman" w:hAnsi="Times New Roman" w:cs="Times New Roman"/>
          <w:sz w:val="28"/>
          <w:szCs w:val="28"/>
        </w:rPr>
        <w:t>заболевших мужчин и женщин и тенденцию к росту процентов заболевших женщин в возрастной группе 70 лет и старше.</w:t>
      </w:r>
    </w:p>
    <w:p w:rsidR="00A75A8D" w:rsidRDefault="00A75A8D">
      <w:pPr>
        <w:spacing w:after="0" w:line="240" w:lineRule="auto"/>
        <w:ind w:firstLine="567"/>
        <w:jc w:val="both"/>
        <w:rPr>
          <w:rFonts w:ascii="Times New Roman" w:hAnsi="Times New Roman" w:cs="Times New Roman"/>
          <w:sz w:val="28"/>
          <w:szCs w:val="28"/>
        </w:rPr>
      </w:pPr>
    </w:p>
    <w:p w:rsidR="00A75A8D" w:rsidRDefault="008A6A51">
      <w:pPr>
        <w:spacing w:after="0" w:line="240" w:lineRule="auto"/>
        <w:jc w:val="center"/>
        <w:rPr>
          <w:rFonts w:ascii="Times New Roman" w:hAnsi="Times New Roman" w:cs="Times New Roman"/>
          <w:sz w:val="28"/>
          <w:szCs w:val="28"/>
        </w:rPr>
      </w:pPr>
      <w:r>
        <w:rPr>
          <w:noProof/>
          <w:lang w:eastAsia="ru-RU"/>
        </w:rPr>
        <w:drawing>
          <wp:inline distT="0" distB="0" distL="0" distR="0">
            <wp:extent cx="6146800" cy="2605405"/>
            <wp:effectExtent l="0" t="0" r="6350" b="4445"/>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Pr>
          <w:rFonts w:ascii="Times New Roman" w:hAnsi="Times New Roman" w:cs="Times New Roman"/>
          <w:sz w:val="28"/>
          <w:szCs w:val="28"/>
        </w:rPr>
        <w:t xml:space="preserve"> </w:t>
      </w:r>
    </w:p>
    <w:p w:rsidR="00A75A8D" w:rsidRDefault="00A75A8D">
      <w:pPr>
        <w:spacing w:after="0" w:line="240" w:lineRule="auto"/>
        <w:jc w:val="center"/>
        <w:rPr>
          <w:rFonts w:ascii="Times New Roman" w:hAnsi="Times New Roman" w:cs="Times New Roman"/>
          <w:sz w:val="28"/>
          <w:szCs w:val="28"/>
        </w:rPr>
      </w:pPr>
    </w:p>
    <w:p w:rsidR="00A75A8D" w:rsidRDefault="008A6A5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13 – Распределение показателя заболеваемости раком легкого по возрасту среди мужчин и женщин в Республике Казахстан, 2018гг., </w:t>
      </w:r>
      <w:r>
        <w:rPr>
          <w:rFonts w:ascii="Times New Roman" w:hAnsi="Times New Roman" w:cs="Times New Roman"/>
          <w:sz w:val="28"/>
          <w:szCs w:val="28"/>
        </w:rPr>
        <w:t>%</w:t>
      </w:r>
    </w:p>
    <w:p w:rsidR="00A75A8D" w:rsidRDefault="00A75A8D">
      <w:pPr>
        <w:spacing w:after="0" w:line="240" w:lineRule="auto"/>
        <w:jc w:val="both"/>
        <w:rPr>
          <w:rFonts w:ascii="Times New Roman" w:hAnsi="Times New Roman" w:cs="Times New Roman"/>
          <w:sz w:val="28"/>
          <w:szCs w:val="28"/>
        </w:rPr>
      </w:pPr>
    </w:p>
    <w:p w:rsidR="00A75A8D" w:rsidRDefault="008A6A51">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sz w:val="28"/>
          <w:szCs w:val="28"/>
        </w:rPr>
        <w:t>Результаты нашего анализа показывают, что заболеваемость населения страны раком легкого имеет прямую зависимость от пола и возраста. Она выше у мужчин, чем у женщин, в целом и по возрастным категориям. Исключение составили категории женщин в возрасте 25</w:t>
      </w:r>
      <w:r>
        <w:rPr>
          <w:rFonts w:ascii="Times New Roman" w:hAnsi="Times New Roman" w:cs="Times New Roman"/>
          <w:sz w:val="28"/>
          <w:szCs w:val="28"/>
        </w:rPr>
        <w:t xml:space="preserve">-29 лет в </w:t>
      </w:r>
      <w:r>
        <w:rPr>
          <w:rFonts w:ascii="Times New Roman" w:hAnsi="Times New Roman" w:cs="Times New Roman"/>
          <w:color w:val="000000" w:themeColor="text1"/>
          <w:sz w:val="28"/>
          <w:szCs w:val="28"/>
        </w:rPr>
        <w:t xml:space="preserve">2011 (6 женщин и 5 мужчин) и 2018 годах (3 женщин и 1 мужчина) и 30-34 лет – в 2012 году (10 женщин и 4 мужчины), когда количество новых случаев рака легкого превысило количество у мужчин. </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Случаи смертельных исходов от рака легкого у женщин ежегодно регистрируются, начиная с возрастной категории 25-29 лет, у мужчин – с 30-34 лет, нарастают в каждой следующей возрастной группе и достигают максимальных значений у обоих полов в возрасте 70 лет </w:t>
      </w:r>
      <w:r>
        <w:rPr>
          <w:rFonts w:ascii="Times New Roman" w:hAnsi="Times New Roman" w:cs="Times New Roman"/>
          <w:sz w:val="28"/>
          <w:szCs w:val="28"/>
        </w:rPr>
        <w:t xml:space="preserve">и старше (Таблица 6). </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таблице 4 представлено абсолютное количество летальных случаев от рака легкого за анализируемый период с распределением по годам и возрасту. За исследуемый период зафиксировано 28 077 летальных исходов от рака легкого.</w:t>
      </w:r>
    </w:p>
    <w:p w:rsidR="00A75A8D" w:rsidRDefault="00A75A8D">
      <w:pPr>
        <w:spacing w:after="0" w:line="240" w:lineRule="auto"/>
        <w:ind w:firstLine="567"/>
        <w:jc w:val="both"/>
        <w:rPr>
          <w:rFonts w:ascii="Times New Roman" w:hAnsi="Times New Roman" w:cs="Times New Roman"/>
          <w:sz w:val="28"/>
          <w:szCs w:val="28"/>
        </w:rPr>
      </w:pPr>
    </w:p>
    <w:p w:rsidR="00A75A8D" w:rsidRDefault="008A6A5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6 –</w:t>
      </w:r>
      <w:r>
        <w:rPr>
          <w:rFonts w:ascii="Times New Roman" w:hAnsi="Times New Roman" w:cs="Times New Roman"/>
          <w:sz w:val="28"/>
          <w:szCs w:val="28"/>
        </w:rPr>
        <w:t xml:space="preserve"> Число умерших от рака легкого за 2009-2018 годы в Казахстане с распределением по полу и возрасту</w:t>
      </w:r>
    </w:p>
    <w:p w:rsidR="00A75A8D" w:rsidRDefault="00A75A8D">
      <w:pPr>
        <w:spacing w:after="0" w:line="240" w:lineRule="auto"/>
        <w:ind w:firstLine="567"/>
        <w:jc w:val="both"/>
        <w:rPr>
          <w:rFonts w:ascii="Times New Roman" w:hAnsi="Times New Roman" w:cs="Times New Roman"/>
          <w:sz w:val="28"/>
          <w:szCs w:val="28"/>
        </w:rPr>
      </w:pPr>
    </w:p>
    <w:tbl>
      <w:tblPr>
        <w:tblW w:w="9623" w:type="dxa"/>
        <w:tblInd w:w="66" w:type="dxa"/>
        <w:tblLayout w:type="fixed"/>
        <w:tblLook w:val="04A0" w:firstRow="1" w:lastRow="0" w:firstColumn="1" w:lastColumn="0" w:noHBand="0" w:noVBand="1"/>
      </w:tblPr>
      <w:tblGrid>
        <w:gridCol w:w="1909"/>
        <w:gridCol w:w="729"/>
        <w:gridCol w:w="709"/>
        <w:gridCol w:w="708"/>
        <w:gridCol w:w="696"/>
        <w:gridCol w:w="696"/>
        <w:gridCol w:w="696"/>
        <w:gridCol w:w="696"/>
        <w:gridCol w:w="696"/>
        <w:gridCol w:w="696"/>
        <w:gridCol w:w="696"/>
        <w:gridCol w:w="696"/>
      </w:tblGrid>
      <w:tr w:rsidR="00A75A8D">
        <w:trPr>
          <w:trHeight w:val="315"/>
        </w:trPr>
        <w:tc>
          <w:tcPr>
            <w:tcW w:w="1909"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Возрастные группы (лет)</w:t>
            </w:r>
          </w:p>
        </w:tc>
        <w:tc>
          <w:tcPr>
            <w:tcW w:w="7714" w:type="dxa"/>
            <w:gridSpan w:val="11"/>
            <w:tcBorders>
              <w:top w:val="single" w:sz="8" w:space="0" w:color="auto"/>
              <w:left w:val="nil"/>
              <w:bottom w:val="single" w:sz="8" w:space="0" w:color="auto"/>
              <w:right w:val="single" w:sz="8" w:space="0" w:color="000000"/>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Годы</w:t>
            </w:r>
          </w:p>
        </w:tc>
      </w:tr>
      <w:tr w:rsidR="00A75A8D">
        <w:trPr>
          <w:trHeight w:val="315"/>
        </w:trPr>
        <w:tc>
          <w:tcPr>
            <w:tcW w:w="1909" w:type="dxa"/>
            <w:vMerge/>
            <w:tcBorders>
              <w:top w:val="single" w:sz="8" w:space="0" w:color="auto"/>
              <w:left w:val="single" w:sz="8" w:space="0" w:color="auto"/>
              <w:bottom w:val="single" w:sz="8" w:space="0" w:color="000000"/>
              <w:right w:val="single" w:sz="8" w:space="0" w:color="auto"/>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c>
          <w:tcPr>
            <w:tcW w:w="729" w:type="dxa"/>
            <w:tcBorders>
              <w:top w:val="nil"/>
              <w:left w:val="nil"/>
              <w:bottom w:val="nil"/>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Пол</w:t>
            </w:r>
          </w:p>
        </w:tc>
        <w:tc>
          <w:tcPr>
            <w:tcW w:w="709" w:type="dxa"/>
            <w:tcBorders>
              <w:top w:val="nil"/>
              <w:left w:val="nil"/>
              <w:bottom w:val="nil"/>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2009</w:t>
            </w:r>
          </w:p>
        </w:tc>
        <w:tc>
          <w:tcPr>
            <w:tcW w:w="708" w:type="dxa"/>
            <w:tcBorders>
              <w:top w:val="nil"/>
              <w:left w:val="nil"/>
              <w:bottom w:val="nil"/>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2010</w:t>
            </w:r>
          </w:p>
        </w:tc>
        <w:tc>
          <w:tcPr>
            <w:tcW w:w="696" w:type="dxa"/>
            <w:tcBorders>
              <w:top w:val="nil"/>
              <w:left w:val="single" w:sz="8" w:space="0" w:color="auto"/>
              <w:bottom w:val="nil"/>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2011</w:t>
            </w:r>
          </w:p>
        </w:tc>
        <w:tc>
          <w:tcPr>
            <w:tcW w:w="696" w:type="dxa"/>
            <w:tcBorders>
              <w:top w:val="nil"/>
              <w:left w:val="nil"/>
              <w:bottom w:val="nil"/>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2012</w:t>
            </w:r>
          </w:p>
        </w:tc>
        <w:tc>
          <w:tcPr>
            <w:tcW w:w="696" w:type="dxa"/>
            <w:tcBorders>
              <w:top w:val="nil"/>
              <w:left w:val="single" w:sz="8" w:space="0" w:color="auto"/>
              <w:bottom w:val="nil"/>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2013</w:t>
            </w:r>
          </w:p>
        </w:tc>
        <w:tc>
          <w:tcPr>
            <w:tcW w:w="696" w:type="dxa"/>
            <w:tcBorders>
              <w:top w:val="nil"/>
              <w:left w:val="nil"/>
              <w:bottom w:val="nil"/>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2014</w:t>
            </w:r>
          </w:p>
        </w:tc>
        <w:tc>
          <w:tcPr>
            <w:tcW w:w="696" w:type="dxa"/>
            <w:tcBorders>
              <w:top w:val="nil"/>
              <w:left w:val="single" w:sz="8" w:space="0" w:color="auto"/>
              <w:bottom w:val="nil"/>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2015</w:t>
            </w:r>
          </w:p>
        </w:tc>
        <w:tc>
          <w:tcPr>
            <w:tcW w:w="696" w:type="dxa"/>
            <w:tcBorders>
              <w:top w:val="nil"/>
              <w:left w:val="nil"/>
              <w:bottom w:val="nil"/>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2016</w:t>
            </w:r>
          </w:p>
        </w:tc>
        <w:tc>
          <w:tcPr>
            <w:tcW w:w="696" w:type="dxa"/>
            <w:tcBorders>
              <w:top w:val="nil"/>
              <w:left w:val="single" w:sz="8" w:space="0" w:color="auto"/>
              <w:bottom w:val="nil"/>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2017</w:t>
            </w:r>
          </w:p>
        </w:tc>
        <w:tc>
          <w:tcPr>
            <w:tcW w:w="696" w:type="dxa"/>
            <w:tcBorders>
              <w:top w:val="nil"/>
              <w:left w:val="nil"/>
              <w:bottom w:val="nil"/>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2018</w:t>
            </w:r>
          </w:p>
        </w:tc>
      </w:tr>
      <w:tr w:rsidR="00A75A8D">
        <w:trPr>
          <w:trHeight w:val="300"/>
        </w:trPr>
        <w:tc>
          <w:tcPr>
            <w:tcW w:w="1909" w:type="dxa"/>
            <w:vMerge w:val="restart"/>
            <w:tcBorders>
              <w:top w:val="nil"/>
              <w:left w:val="single" w:sz="8" w:space="0" w:color="auto"/>
              <w:bottom w:val="single" w:sz="8" w:space="0" w:color="000000"/>
              <w:right w:val="nil"/>
            </w:tcBorders>
            <w:shd w:val="clear" w:color="auto" w:fill="auto"/>
            <w:vAlign w:val="center"/>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lastRenderedPageBreak/>
              <w:t>0-24</w:t>
            </w:r>
          </w:p>
        </w:tc>
        <w:tc>
          <w:tcPr>
            <w:tcW w:w="729" w:type="dxa"/>
            <w:tcBorders>
              <w:top w:val="single" w:sz="8" w:space="0" w:color="auto"/>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w:t>
            </w:r>
          </w:p>
        </w:tc>
        <w:tc>
          <w:tcPr>
            <w:tcW w:w="709" w:type="dxa"/>
            <w:tcBorders>
              <w:top w:val="single" w:sz="8" w:space="0" w:color="auto"/>
              <w:left w:val="nil"/>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708" w:type="dxa"/>
            <w:tcBorders>
              <w:top w:val="single" w:sz="8" w:space="0" w:color="auto"/>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696" w:type="dxa"/>
            <w:tcBorders>
              <w:top w:val="single" w:sz="8" w:space="0" w:color="auto"/>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696" w:type="dxa"/>
            <w:tcBorders>
              <w:top w:val="single" w:sz="8" w:space="0" w:color="auto"/>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696" w:type="dxa"/>
            <w:tcBorders>
              <w:top w:val="single" w:sz="8" w:space="0" w:color="auto"/>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696" w:type="dxa"/>
            <w:tcBorders>
              <w:top w:val="single" w:sz="8" w:space="0" w:color="auto"/>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696" w:type="dxa"/>
            <w:tcBorders>
              <w:top w:val="single" w:sz="8" w:space="0" w:color="auto"/>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696" w:type="dxa"/>
            <w:tcBorders>
              <w:top w:val="single" w:sz="8" w:space="0" w:color="auto"/>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696" w:type="dxa"/>
            <w:tcBorders>
              <w:top w:val="single" w:sz="8" w:space="0" w:color="auto"/>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696" w:type="dxa"/>
            <w:tcBorders>
              <w:top w:val="single" w:sz="8" w:space="0" w:color="auto"/>
              <w:left w:val="nil"/>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r>
      <w:tr w:rsidR="00A75A8D">
        <w:trPr>
          <w:trHeight w:val="315"/>
        </w:trPr>
        <w:tc>
          <w:tcPr>
            <w:tcW w:w="1909" w:type="dxa"/>
            <w:vMerge/>
            <w:tcBorders>
              <w:top w:val="nil"/>
              <w:left w:val="single" w:sz="8" w:space="0" w:color="auto"/>
              <w:bottom w:val="single" w:sz="8" w:space="0" w:color="000000"/>
              <w:right w:val="nil"/>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c>
          <w:tcPr>
            <w:tcW w:w="729"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Ж</w:t>
            </w:r>
          </w:p>
        </w:tc>
        <w:tc>
          <w:tcPr>
            <w:tcW w:w="709" w:type="dxa"/>
            <w:tcBorders>
              <w:top w:val="nil"/>
              <w:left w:val="nil"/>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708"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696"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696"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696"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696" w:type="dxa"/>
            <w:tcBorders>
              <w:top w:val="nil"/>
              <w:left w:val="nil"/>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r>
      <w:tr w:rsidR="00A75A8D">
        <w:trPr>
          <w:trHeight w:val="300"/>
        </w:trPr>
        <w:tc>
          <w:tcPr>
            <w:tcW w:w="1909" w:type="dxa"/>
            <w:vMerge w:val="restart"/>
            <w:tcBorders>
              <w:top w:val="nil"/>
              <w:left w:val="single" w:sz="8" w:space="0" w:color="auto"/>
              <w:bottom w:val="single" w:sz="8" w:space="0" w:color="000000"/>
              <w:right w:val="nil"/>
            </w:tcBorders>
            <w:shd w:val="clear" w:color="auto" w:fill="auto"/>
            <w:vAlign w:val="center"/>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25-29</w:t>
            </w:r>
          </w:p>
        </w:tc>
        <w:tc>
          <w:tcPr>
            <w:tcW w:w="729"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w:t>
            </w:r>
          </w:p>
        </w:tc>
        <w:tc>
          <w:tcPr>
            <w:tcW w:w="709" w:type="dxa"/>
            <w:tcBorders>
              <w:top w:val="nil"/>
              <w:left w:val="nil"/>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708" w:type="dxa"/>
            <w:tcBorders>
              <w:top w:val="nil"/>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696"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696" w:type="dxa"/>
            <w:tcBorders>
              <w:top w:val="nil"/>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696"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696" w:type="dxa"/>
            <w:tcBorders>
              <w:top w:val="nil"/>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696"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696" w:type="dxa"/>
            <w:tcBorders>
              <w:top w:val="nil"/>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c>
          <w:tcPr>
            <w:tcW w:w="696"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696" w:type="dxa"/>
            <w:tcBorders>
              <w:top w:val="nil"/>
              <w:left w:val="nil"/>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r>
      <w:tr w:rsidR="00A75A8D">
        <w:trPr>
          <w:trHeight w:val="315"/>
        </w:trPr>
        <w:tc>
          <w:tcPr>
            <w:tcW w:w="1909" w:type="dxa"/>
            <w:vMerge/>
            <w:tcBorders>
              <w:top w:val="nil"/>
              <w:left w:val="single" w:sz="8" w:space="0" w:color="auto"/>
              <w:bottom w:val="single" w:sz="8" w:space="0" w:color="000000"/>
              <w:right w:val="nil"/>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c>
          <w:tcPr>
            <w:tcW w:w="729"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Ж</w:t>
            </w:r>
          </w:p>
        </w:tc>
        <w:tc>
          <w:tcPr>
            <w:tcW w:w="709" w:type="dxa"/>
            <w:tcBorders>
              <w:top w:val="nil"/>
              <w:left w:val="nil"/>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708"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696"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696"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696"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696" w:type="dxa"/>
            <w:tcBorders>
              <w:top w:val="nil"/>
              <w:left w:val="nil"/>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r>
      <w:tr w:rsidR="00A75A8D">
        <w:trPr>
          <w:trHeight w:val="300"/>
        </w:trPr>
        <w:tc>
          <w:tcPr>
            <w:tcW w:w="1909" w:type="dxa"/>
            <w:vMerge w:val="restart"/>
            <w:tcBorders>
              <w:top w:val="nil"/>
              <w:left w:val="single" w:sz="8" w:space="0" w:color="auto"/>
              <w:bottom w:val="single" w:sz="8" w:space="0" w:color="000000"/>
              <w:right w:val="nil"/>
            </w:tcBorders>
            <w:shd w:val="clear" w:color="auto" w:fill="auto"/>
            <w:vAlign w:val="center"/>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30-34</w:t>
            </w:r>
          </w:p>
        </w:tc>
        <w:tc>
          <w:tcPr>
            <w:tcW w:w="729"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w:t>
            </w:r>
          </w:p>
        </w:tc>
        <w:tc>
          <w:tcPr>
            <w:tcW w:w="709" w:type="dxa"/>
            <w:tcBorders>
              <w:top w:val="nil"/>
              <w:left w:val="nil"/>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708" w:type="dxa"/>
            <w:tcBorders>
              <w:top w:val="nil"/>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696"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696" w:type="dxa"/>
            <w:tcBorders>
              <w:top w:val="nil"/>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696"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696" w:type="dxa"/>
            <w:tcBorders>
              <w:top w:val="nil"/>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c>
          <w:tcPr>
            <w:tcW w:w="696"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696" w:type="dxa"/>
            <w:tcBorders>
              <w:top w:val="nil"/>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696"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c>
          <w:tcPr>
            <w:tcW w:w="696" w:type="dxa"/>
            <w:tcBorders>
              <w:top w:val="nil"/>
              <w:left w:val="nil"/>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r>
      <w:tr w:rsidR="00A75A8D">
        <w:trPr>
          <w:trHeight w:val="315"/>
        </w:trPr>
        <w:tc>
          <w:tcPr>
            <w:tcW w:w="1909" w:type="dxa"/>
            <w:vMerge/>
            <w:tcBorders>
              <w:top w:val="nil"/>
              <w:left w:val="single" w:sz="8" w:space="0" w:color="auto"/>
              <w:bottom w:val="single" w:sz="8" w:space="0" w:color="000000"/>
              <w:right w:val="nil"/>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c>
          <w:tcPr>
            <w:tcW w:w="729"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Ж</w:t>
            </w:r>
          </w:p>
        </w:tc>
        <w:tc>
          <w:tcPr>
            <w:tcW w:w="709" w:type="dxa"/>
            <w:tcBorders>
              <w:top w:val="nil"/>
              <w:left w:val="nil"/>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708"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696"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696"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696"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696" w:type="dxa"/>
            <w:tcBorders>
              <w:top w:val="nil"/>
              <w:left w:val="nil"/>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r>
      <w:tr w:rsidR="00A75A8D">
        <w:trPr>
          <w:trHeight w:val="300"/>
        </w:trPr>
        <w:tc>
          <w:tcPr>
            <w:tcW w:w="1909" w:type="dxa"/>
            <w:vMerge w:val="restart"/>
            <w:tcBorders>
              <w:top w:val="nil"/>
              <w:left w:val="single" w:sz="8" w:space="0" w:color="auto"/>
              <w:bottom w:val="single" w:sz="8" w:space="0" w:color="000000"/>
              <w:right w:val="nil"/>
            </w:tcBorders>
            <w:shd w:val="clear" w:color="auto" w:fill="auto"/>
            <w:vAlign w:val="center"/>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35-39</w:t>
            </w:r>
          </w:p>
        </w:tc>
        <w:tc>
          <w:tcPr>
            <w:tcW w:w="729"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w:t>
            </w:r>
          </w:p>
        </w:tc>
        <w:tc>
          <w:tcPr>
            <w:tcW w:w="709" w:type="dxa"/>
            <w:tcBorders>
              <w:top w:val="nil"/>
              <w:left w:val="nil"/>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w:t>
            </w:r>
          </w:p>
        </w:tc>
        <w:tc>
          <w:tcPr>
            <w:tcW w:w="708" w:type="dxa"/>
            <w:tcBorders>
              <w:top w:val="nil"/>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696"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696" w:type="dxa"/>
            <w:tcBorders>
              <w:top w:val="nil"/>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w:t>
            </w:r>
          </w:p>
        </w:tc>
        <w:tc>
          <w:tcPr>
            <w:tcW w:w="696"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w:t>
            </w:r>
          </w:p>
        </w:tc>
        <w:tc>
          <w:tcPr>
            <w:tcW w:w="696" w:type="dxa"/>
            <w:tcBorders>
              <w:top w:val="nil"/>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696"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696" w:type="dxa"/>
            <w:tcBorders>
              <w:top w:val="nil"/>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696"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w:t>
            </w:r>
          </w:p>
        </w:tc>
        <w:tc>
          <w:tcPr>
            <w:tcW w:w="696" w:type="dxa"/>
            <w:tcBorders>
              <w:top w:val="nil"/>
              <w:left w:val="nil"/>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r>
      <w:tr w:rsidR="00A75A8D">
        <w:trPr>
          <w:trHeight w:val="315"/>
        </w:trPr>
        <w:tc>
          <w:tcPr>
            <w:tcW w:w="1909" w:type="dxa"/>
            <w:vMerge/>
            <w:tcBorders>
              <w:top w:val="nil"/>
              <w:left w:val="single" w:sz="8" w:space="0" w:color="auto"/>
              <w:bottom w:val="single" w:sz="8" w:space="0" w:color="000000"/>
              <w:right w:val="nil"/>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c>
          <w:tcPr>
            <w:tcW w:w="729"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Ж</w:t>
            </w:r>
          </w:p>
        </w:tc>
        <w:tc>
          <w:tcPr>
            <w:tcW w:w="709" w:type="dxa"/>
            <w:tcBorders>
              <w:top w:val="nil"/>
              <w:left w:val="nil"/>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w:t>
            </w:r>
          </w:p>
        </w:tc>
        <w:tc>
          <w:tcPr>
            <w:tcW w:w="708"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696"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696"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w:t>
            </w:r>
          </w:p>
        </w:tc>
        <w:tc>
          <w:tcPr>
            <w:tcW w:w="696"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w:t>
            </w:r>
          </w:p>
        </w:tc>
        <w:tc>
          <w:tcPr>
            <w:tcW w:w="696" w:type="dxa"/>
            <w:tcBorders>
              <w:top w:val="nil"/>
              <w:left w:val="nil"/>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r>
      <w:tr w:rsidR="00A75A8D">
        <w:trPr>
          <w:trHeight w:val="300"/>
        </w:trPr>
        <w:tc>
          <w:tcPr>
            <w:tcW w:w="1909" w:type="dxa"/>
            <w:vMerge w:val="restart"/>
            <w:tcBorders>
              <w:top w:val="nil"/>
              <w:left w:val="single" w:sz="8" w:space="0" w:color="auto"/>
              <w:bottom w:val="single" w:sz="8" w:space="0" w:color="000000"/>
              <w:right w:val="nil"/>
            </w:tcBorders>
            <w:shd w:val="clear" w:color="auto" w:fill="auto"/>
            <w:vAlign w:val="center"/>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40-44</w:t>
            </w:r>
          </w:p>
        </w:tc>
        <w:tc>
          <w:tcPr>
            <w:tcW w:w="729"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w:t>
            </w:r>
          </w:p>
        </w:tc>
        <w:tc>
          <w:tcPr>
            <w:tcW w:w="709" w:type="dxa"/>
            <w:tcBorders>
              <w:top w:val="nil"/>
              <w:left w:val="nil"/>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47</w:t>
            </w:r>
          </w:p>
        </w:tc>
        <w:tc>
          <w:tcPr>
            <w:tcW w:w="708" w:type="dxa"/>
            <w:tcBorders>
              <w:top w:val="nil"/>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36</w:t>
            </w:r>
          </w:p>
        </w:tc>
        <w:tc>
          <w:tcPr>
            <w:tcW w:w="696"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42</w:t>
            </w:r>
          </w:p>
        </w:tc>
        <w:tc>
          <w:tcPr>
            <w:tcW w:w="696" w:type="dxa"/>
            <w:tcBorders>
              <w:top w:val="nil"/>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29</w:t>
            </w:r>
          </w:p>
        </w:tc>
        <w:tc>
          <w:tcPr>
            <w:tcW w:w="696"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43</w:t>
            </w:r>
          </w:p>
        </w:tc>
        <w:tc>
          <w:tcPr>
            <w:tcW w:w="696" w:type="dxa"/>
            <w:tcBorders>
              <w:top w:val="nil"/>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33</w:t>
            </w:r>
          </w:p>
        </w:tc>
        <w:tc>
          <w:tcPr>
            <w:tcW w:w="696"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w:t>
            </w:r>
          </w:p>
        </w:tc>
        <w:tc>
          <w:tcPr>
            <w:tcW w:w="696" w:type="dxa"/>
            <w:tcBorders>
              <w:top w:val="nil"/>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38</w:t>
            </w:r>
          </w:p>
        </w:tc>
        <w:tc>
          <w:tcPr>
            <w:tcW w:w="696"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28</w:t>
            </w:r>
          </w:p>
        </w:tc>
        <w:tc>
          <w:tcPr>
            <w:tcW w:w="696" w:type="dxa"/>
            <w:tcBorders>
              <w:top w:val="nil"/>
              <w:left w:val="nil"/>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r>
      <w:tr w:rsidR="00A75A8D">
        <w:trPr>
          <w:trHeight w:val="315"/>
        </w:trPr>
        <w:tc>
          <w:tcPr>
            <w:tcW w:w="1909" w:type="dxa"/>
            <w:vMerge/>
            <w:tcBorders>
              <w:top w:val="nil"/>
              <w:left w:val="single" w:sz="8" w:space="0" w:color="auto"/>
              <w:bottom w:val="single" w:sz="8" w:space="0" w:color="000000"/>
              <w:right w:val="nil"/>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c>
          <w:tcPr>
            <w:tcW w:w="729"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Ж</w:t>
            </w:r>
          </w:p>
        </w:tc>
        <w:tc>
          <w:tcPr>
            <w:tcW w:w="709" w:type="dxa"/>
            <w:tcBorders>
              <w:top w:val="nil"/>
              <w:left w:val="nil"/>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w:t>
            </w:r>
          </w:p>
        </w:tc>
        <w:tc>
          <w:tcPr>
            <w:tcW w:w="708"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w:t>
            </w:r>
          </w:p>
        </w:tc>
        <w:tc>
          <w:tcPr>
            <w:tcW w:w="696"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w:t>
            </w:r>
          </w:p>
        </w:tc>
        <w:tc>
          <w:tcPr>
            <w:tcW w:w="696"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w:t>
            </w:r>
          </w:p>
        </w:tc>
        <w:tc>
          <w:tcPr>
            <w:tcW w:w="696"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w:t>
            </w:r>
          </w:p>
        </w:tc>
        <w:tc>
          <w:tcPr>
            <w:tcW w:w="696" w:type="dxa"/>
            <w:tcBorders>
              <w:top w:val="nil"/>
              <w:left w:val="nil"/>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w:t>
            </w:r>
          </w:p>
        </w:tc>
      </w:tr>
      <w:tr w:rsidR="00A75A8D">
        <w:trPr>
          <w:trHeight w:val="300"/>
        </w:trPr>
        <w:tc>
          <w:tcPr>
            <w:tcW w:w="1909" w:type="dxa"/>
            <w:vMerge w:val="restart"/>
            <w:tcBorders>
              <w:top w:val="nil"/>
              <w:left w:val="single" w:sz="8" w:space="0" w:color="auto"/>
              <w:bottom w:val="single" w:sz="8" w:space="0" w:color="000000"/>
              <w:right w:val="nil"/>
            </w:tcBorders>
            <w:shd w:val="clear" w:color="auto" w:fill="auto"/>
            <w:vAlign w:val="center"/>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45-49</w:t>
            </w:r>
          </w:p>
        </w:tc>
        <w:tc>
          <w:tcPr>
            <w:tcW w:w="729"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w:t>
            </w:r>
          </w:p>
        </w:tc>
        <w:tc>
          <w:tcPr>
            <w:tcW w:w="709" w:type="dxa"/>
            <w:tcBorders>
              <w:top w:val="nil"/>
              <w:left w:val="nil"/>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132</w:t>
            </w:r>
          </w:p>
        </w:tc>
        <w:tc>
          <w:tcPr>
            <w:tcW w:w="708" w:type="dxa"/>
            <w:tcBorders>
              <w:top w:val="nil"/>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121</w:t>
            </w:r>
          </w:p>
        </w:tc>
        <w:tc>
          <w:tcPr>
            <w:tcW w:w="696"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106</w:t>
            </w:r>
          </w:p>
        </w:tc>
        <w:tc>
          <w:tcPr>
            <w:tcW w:w="696" w:type="dxa"/>
            <w:tcBorders>
              <w:top w:val="nil"/>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124</w:t>
            </w:r>
          </w:p>
        </w:tc>
        <w:tc>
          <w:tcPr>
            <w:tcW w:w="696"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102</w:t>
            </w:r>
          </w:p>
        </w:tc>
        <w:tc>
          <w:tcPr>
            <w:tcW w:w="696" w:type="dxa"/>
            <w:tcBorders>
              <w:top w:val="nil"/>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91</w:t>
            </w:r>
          </w:p>
        </w:tc>
        <w:tc>
          <w:tcPr>
            <w:tcW w:w="696"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83</w:t>
            </w:r>
          </w:p>
        </w:tc>
        <w:tc>
          <w:tcPr>
            <w:tcW w:w="696" w:type="dxa"/>
            <w:tcBorders>
              <w:top w:val="nil"/>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69</w:t>
            </w:r>
          </w:p>
        </w:tc>
        <w:tc>
          <w:tcPr>
            <w:tcW w:w="696"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70</w:t>
            </w:r>
          </w:p>
        </w:tc>
        <w:tc>
          <w:tcPr>
            <w:tcW w:w="696" w:type="dxa"/>
            <w:tcBorders>
              <w:top w:val="nil"/>
              <w:left w:val="nil"/>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73</w:t>
            </w:r>
          </w:p>
        </w:tc>
      </w:tr>
      <w:tr w:rsidR="00A75A8D">
        <w:trPr>
          <w:trHeight w:val="315"/>
        </w:trPr>
        <w:tc>
          <w:tcPr>
            <w:tcW w:w="1909" w:type="dxa"/>
            <w:vMerge/>
            <w:tcBorders>
              <w:top w:val="nil"/>
              <w:left w:val="single" w:sz="8" w:space="0" w:color="auto"/>
              <w:bottom w:val="single" w:sz="8" w:space="0" w:color="000000"/>
              <w:right w:val="nil"/>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c>
          <w:tcPr>
            <w:tcW w:w="729"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Ж</w:t>
            </w:r>
          </w:p>
        </w:tc>
        <w:tc>
          <w:tcPr>
            <w:tcW w:w="709" w:type="dxa"/>
            <w:tcBorders>
              <w:top w:val="nil"/>
              <w:left w:val="nil"/>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40</w:t>
            </w:r>
          </w:p>
        </w:tc>
        <w:tc>
          <w:tcPr>
            <w:tcW w:w="708"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34</w:t>
            </w:r>
          </w:p>
        </w:tc>
        <w:tc>
          <w:tcPr>
            <w:tcW w:w="696"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33</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696"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696"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w:t>
            </w:r>
          </w:p>
        </w:tc>
        <w:tc>
          <w:tcPr>
            <w:tcW w:w="696" w:type="dxa"/>
            <w:tcBorders>
              <w:top w:val="nil"/>
              <w:left w:val="nil"/>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w:t>
            </w:r>
          </w:p>
        </w:tc>
      </w:tr>
      <w:tr w:rsidR="00A75A8D">
        <w:trPr>
          <w:trHeight w:val="300"/>
        </w:trPr>
        <w:tc>
          <w:tcPr>
            <w:tcW w:w="1909" w:type="dxa"/>
            <w:vMerge w:val="restart"/>
            <w:tcBorders>
              <w:top w:val="nil"/>
              <w:left w:val="single" w:sz="8" w:space="0" w:color="auto"/>
              <w:bottom w:val="single" w:sz="8" w:space="0" w:color="000000"/>
              <w:right w:val="nil"/>
            </w:tcBorders>
            <w:shd w:val="clear" w:color="auto" w:fill="auto"/>
            <w:vAlign w:val="center"/>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50-54</w:t>
            </w:r>
          </w:p>
        </w:tc>
        <w:tc>
          <w:tcPr>
            <w:tcW w:w="729"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w:t>
            </w:r>
          </w:p>
        </w:tc>
        <w:tc>
          <w:tcPr>
            <w:tcW w:w="709" w:type="dxa"/>
            <w:tcBorders>
              <w:top w:val="nil"/>
              <w:left w:val="nil"/>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272</w:t>
            </w:r>
          </w:p>
        </w:tc>
        <w:tc>
          <w:tcPr>
            <w:tcW w:w="708" w:type="dxa"/>
            <w:tcBorders>
              <w:top w:val="nil"/>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287</w:t>
            </w:r>
          </w:p>
        </w:tc>
        <w:tc>
          <w:tcPr>
            <w:tcW w:w="696"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284</w:t>
            </w:r>
          </w:p>
        </w:tc>
        <w:tc>
          <w:tcPr>
            <w:tcW w:w="696" w:type="dxa"/>
            <w:tcBorders>
              <w:top w:val="nil"/>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271</w:t>
            </w:r>
          </w:p>
        </w:tc>
        <w:tc>
          <w:tcPr>
            <w:tcW w:w="696"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263</w:t>
            </w:r>
          </w:p>
        </w:tc>
        <w:tc>
          <w:tcPr>
            <w:tcW w:w="696" w:type="dxa"/>
            <w:tcBorders>
              <w:top w:val="nil"/>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239</w:t>
            </w:r>
          </w:p>
        </w:tc>
        <w:tc>
          <w:tcPr>
            <w:tcW w:w="696"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203</w:t>
            </w:r>
          </w:p>
        </w:tc>
        <w:tc>
          <w:tcPr>
            <w:tcW w:w="696" w:type="dxa"/>
            <w:tcBorders>
              <w:top w:val="nil"/>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184</w:t>
            </w:r>
          </w:p>
        </w:tc>
        <w:tc>
          <w:tcPr>
            <w:tcW w:w="696"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180</w:t>
            </w:r>
          </w:p>
        </w:tc>
        <w:tc>
          <w:tcPr>
            <w:tcW w:w="696" w:type="dxa"/>
            <w:tcBorders>
              <w:top w:val="nil"/>
              <w:left w:val="nil"/>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177</w:t>
            </w:r>
          </w:p>
        </w:tc>
      </w:tr>
      <w:tr w:rsidR="00A75A8D">
        <w:trPr>
          <w:trHeight w:val="315"/>
        </w:trPr>
        <w:tc>
          <w:tcPr>
            <w:tcW w:w="1909" w:type="dxa"/>
            <w:vMerge/>
            <w:tcBorders>
              <w:top w:val="nil"/>
              <w:left w:val="single" w:sz="8" w:space="0" w:color="auto"/>
              <w:bottom w:val="single" w:sz="8" w:space="0" w:color="000000"/>
              <w:right w:val="nil"/>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c>
          <w:tcPr>
            <w:tcW w:w="729"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Ж</w:t>
            </w:r>
          </w:p>
        </w:tc>
        <w:tc>
          <w:tcPr>
            <w:tcW w:w="709" w:type="dxa"/>
            <w:tcBorders>
              <w:top w:val="nil"/>
              <w:left w:val="nil"/>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46</w:t>
            </w:r>
          </w:p>
        </w:tc>
        <w:tc>
          <w:tcPr>
            <w:tcW w:w="708"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44</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38</w:t>
            </w:r>
          </w:p>
        </w:tc>
        <w:tc>
          <w:tcPr>
            <w:tcW w:w="696"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53</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38</w:t>
            </w:r>
          </w:p>
        </w:tc>
        <w:tc>
          <w:tcPr>
            <w:tcW w:w="696"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45</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49</w:t>
            </w:r>
          </w:p>
        </w:tc>
        <w:tc>
          <w:tcPr>
            <w:tcW w:w="696"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42</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28</w:t>
            </w:r>
          </w:p>
        </w:tc>
        <w:tc>
          <w:tcPr>
            <w:tcW w:w="696" w:type="dxa"/>
            <w:tcBorders>
              <w:top w:val="nil"/>
              <w:left w:val="nil"/>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39</w:t>
            </w:r>
          </w:p>
        </w:tc>
      </w:tr>
      <w:tr w:rsidR="00A75A8D">
        <w:trPr>
          <w:trHeight w:val="300"/>
        </w:trPr>
        <w:tc>
          <w:tcPr>
            <w:tcW w:w="1909" w:type="dxa"/>
            <w:vMerge w:val="restart"/>
            <w:tcBorders>
              <w:top w:val="nil"/>
              <w:left w:val="single" w:sz="8" w:space="0" w:color="auto"/>
              <w:bottom w:val="single" w:sz="8" w:space="0" w:color="000000"/>
              <w:right w:val="nil"/>
            </w:tcBorders>
            <w:shd w:val="clear" w:color="auto" w:fill="auto"/>
            <w:vAlign w:val="center"/>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55-59</w:t>
            </w:r>
          </w:p>
        </w:tc>
        <w:tc>
          <w:tcPr>
            <w:tcW w:w="729"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w:t>
            </w:r>
          </w:p>
        </w:tc>
        <w:tc>
          <w:tcPr>
            <w:tcW w:w="709" w:type="dxa"/>
            <w:tcBorders>
              <w:top w:val="nil"/>
              <w:left w:val="nil"/>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471</w:t>
            </w:r>
          </w:p>
        </w:tc>
        <w:tc>
          <w:tcPr>
            <w:tcW w:w="708" w:type="dxa"/>
            <w:tcBorders>
              <w:top w:val="nil"/>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444</w:t>
            </w:r>
          </w:p>
        </w:tc>
        <w:tc>
          <w:tcPr>
            <w:tcW w:w="696"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407</w:t>
            </w:r>
          </w:p>
        </w:tc>
        <w:tc>
          <w:tcPr>
            <w:tcW w:w="696" w:type="dxa"/>
            <w:tcBorders>
              <w:top w:val="nil"/>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410</w:t>
            </w:r>
          </w:p>
        </w:tc>
        <w:tc>
          <w:tcPr>
            <w:tcW w:w="696"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413</w:t>
            </w:r>
          </w:p>
        </w:tc>
        <w:tc>
          <w:tcPr>
            <w:tcW w:w="696" w:type="dxa"/>
            <w:tcBorders>
              <w:top w:val="nil"/>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382</w:t>
            </w:r>
          </w:p>
        </w:tc>
        <w:tc>
          <w:tcPr>
            <w:tcW w:w="696"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388</w:t>
            </w:r>
          </w:p>
        </w:tc>
        <w:tc>
          <w:tcPr>
            <w:tcW w:w="696" w:type="dxa"/>
            <w:tcBorders>
              <w:top w:val="nil"/>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336</w:t>
            </w:r>
          </w:p>
        </w:tc>
        <w:tc>
          <w:tcPr>
            <w:tcW w:w="696"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350</w:t>
            </w:r>
          </w:p>
        </w:tc>
        <w:tc>
          <w:tcPr>
            <w:tcW w:w="696" w:type="dxa"/>
            <w:tcBorders>
              <w:top w:val="nil"/>
              <w:left w:val="nil"/>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335</w:t>
            </w:r>
          </w:p>
        </w:tc>
      </w:tr>
      <w:tr w:rsidR="00A75A8D">
        <w:trPr>
          <w:trHeight w:val="315"/>
        </w:trPr>
        <w:tc>
          <w:tcPr>
            <w:tcW w:w="1909" w:type="dxa"/>
            <w:vMerge/>
            <w:tcBorders>
              <w:top w:val="nil"/>
              <w:left w:val="single" w:sz="8" w:space="0" w:color="auto"/>
              <w:bottom w:val="single" w:sz="8" w:space="0" w:color="000000"/>
              <w:right w:val="nil"/>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c>
          <w:tcPr>
            <w:tcW w:w="729"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Ж</w:t>
            </w:r>
          </w:p>
        </w:tc>
        <w:tc>
          <w:tcPr>
            <w:tcW w:w="709" w:type="dxa"/>
            <w:tcBorders>
              <w:top w:val="nil"/>
              <w:left w:val="nil"/>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74</w:t>
            </w:r>
          </w:p>
        </w:tc>
        <w:tc>
          <w:tcPr>
            <w:tcW w:w="708"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75</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69</w:t>
            </w:r>
          </w:p>
        </w:tc>
        <w:tc>
          <w:tcPr>
            <w:tcW w:w="696"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77</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73</w:t>
            </w:r>
          </w:p>
        </w:tc>
        <w:tc>
          <w:tcPr>
            <w:tcW w:w="696"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69</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66</w:t>
            </w:r>
          </w:p>
        </w:tc>
        <w:tc>
          <w:tcPr>
            <w:tcW w:w="696"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67</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54</w:t>
            </w:r>
          </w:p>
        </w:tc>
        <w:tc>
          <w:tcPr>
            <w:tcW w:w="696" w:type="dxa"/>
            <w:tcBorders>
              <w:top w:val="nil"/>
              <w:left w:val="nil"/>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54</w:t>
            </w:r>
          </w:p>
        </w:tc>
      </w:tr>
      <w:tr w:rsidR="00A75A8D">
        <w:trPr>
          <w:trHeight w:val="300"/>
        </w:trPr>
        <w:tc>
          <w:tcPr>
            <w:tcW w:w="1909" w:type="dxa"/>
            <w:vMerge w:val="restart"/>
            <w:tcBorders>
              <w:top w:val="nil"/>
              <w:left w:val="single" w:sz="8" w:space="0" w:color="auto"/>
              <w:bottom w:val="single" w:sz="8" w:space="0" w:color="000000"/>
              <w:right w:val="nil"/>
            </w:tcBorders>
            <w:shd w:val="clear" w:color="auto" w:fill="auto"/>
            <w:vAlign w:val="center"/>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60-64</w:t>
            </w:r>
          </w:p>
        </w:tc>
        <w:tc>
          <w:tcPr>
            <w:tcW w:w="729"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w:t>
            </w:r>
          </w:p>
        </w:tc>
        <w:tc>
          <w:tcPr>
            <w:tcW w:w="709" w:type="dxa"/>
            <w:tcBorders>
              <w:top w:val="nil"/>
              <w:left w:val="nil"/>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425</w:t>
            </w:r>
          </w:p>
        </w:tc>
        <w:tc>
          <w:tcPr>
            <w:tcW w:w="708" w:type="dxa"/>
            <w:tcBorders>
              <w:top w:val="nil"/>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474</w:t>
            </w:r>
          </w:p>
        </w:tc>
        <w:tc>
          <w:tcPr>
            <w:tcW w:w="696"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517</w:t>
            </w:r>
          </w:p>
        </w:tc>
        <w:tc>
          <w:tcPr>
            <w:tcW w:w="696" w:type="dxa"/>
            <w:tcBorders>
              <w:top w:val="nil"/>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557</w:t>
            </w:r>
          </w:p>
        </w:tc>
        <w:tc>
          <w:tcPr>
            <w:tcW w:w="696"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552</w:t>
            </w:r>
          </w:p>
        </w:tc>
        <w:tc>
          <w:tcPr>
            <w:tcW w:w="696" w:type="dxa"/>
            <w:tcBorders>
              <w:top w:val="nil"/>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489</w:t>
            </w:r>
          </w:p>
        </w:tc>
        <w:tc>
          <w:tcPr>
            <w:tcW w:w="696"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503</w:t>
            </w:r>
          </w:p>
        </w:tc>
        <w:tc>
          <w:tcPr>
            <w:tcW w:w="696" w:type="dxa"/>
            <w:tcBorders>
              <w:top w:val="nil"/>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486</w:t>
            </w:r>
          </w:p>
        </w:tc>
        <w:tc>
          <w:tcPr>
            <w:tcW w:w="696"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456</w:t>
            </w:r>
          </w:p>
        </w:tc>
        <w:tc>
          <w:tcPr>
            <w:tcW w:w="696" w:type="dxa"/>
            <w:tcBorders>
              <w:top w:val="nil"/>
              <w:left w:val="nil"/>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418</w:t>
            </w:r>
          </w:p>
        </w:tc>
      </w:tr>
      <w:tr w:rsidR="00A75A8D">
        <w:trPr>
          <w:trHeight w:val="315"/>
        </w:trPr>
        <w:tc>
          <w:tcPr>
            <w:tcW w:w="1909" w:type="dxa"/>
            <w:vMerge/>
            <w:tcBorders>
              <w:top w:val="nil"/>
              <w:left w:val="single" w:sz="8" w:space="0" w:color="auto"/>
              <w:bottom w:val="single" w:sz="8" w:space="0" w:color="000000"/>
              <w:right w:val="nil"/>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c>
          <w:tcPr>
            <w:tcW w:w="729"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Ж</w:t>
            </w:r>
          </w:p>
        </w:tc>
        <w:tc>
          <w:tcPr>
            <w:tcW w:w="709" w:type="dxa"/>
            <w:tcBorders>
              <w:top w:val="nil"/>
              <w:left w:val="nil"/>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89</w:t>
            </w:r>
          </w:p>
        </w:tc>
        <w:tc>
          <w:tcPr>
            <w:tcW w:w="708"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69</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85</w:t>
            </w:r>
          </w:p>
        </w:tc>
        <w:tc>
          <w:tcPr>
            <w:tcW w:w="696"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87</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85</w:t>
            </w:r>
          </w:p>
        </w:tc>
        <w:tc>
          <w:tcPr>
            <w:tcW w:w="696"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48</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87</w:t>
            </w:r>
          </w:p>
        </w:tc>
        <w:tc>
          <w:tcPr>
            <w:tcW w:w="696"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81</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75</w:t>
            </w:r>
          </w:p>
        </w:tc>
        <w:tc>
          <w:tcPr>
            <w:tcW w:w="696" w:type="dxa"/>
            <w:tcBorders>
              <w:top w:val="nil"/>
              <w:left w:val="nil"/>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78</w:t>
            </w:r>
          </w:p>
        </w:tc>
      </w:tr>
      <w:tr w:rsidR="00A75A8D">
        <w:trPr>
          <w:trHeight w:val="300"/>
        </w:trPr>
        <w:tc>
          <w:tcPr>
            <w:tcW w:w="1909" w:type="dxa"/>
            <w:vMerge w:val="restart"/>
            <w:tcBorders>
              <w:top w:val="nil"/>
              <w:left w:val="single" w:sz="8" w:space="0" w:color="auto"/>
              <w:bottom w:val="single" w:sz="8" w:space="0" w:color="000000"/>
              <w:right w:val="nil"/>
            </w:tcBorders>
            <w:shd w:val="clear" w:color="auto" w:fill="auto"/>
            <w:vAlign w:val="center"/>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65-69</w:t>
            </w:r>
          </w:p>
        </w:tc>
        <w:tc>
          <w:tcPr>
            <w:tcW w:w="729"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w:t>
            </w:r>
          </w:p>
        </w:tc>
        <w:tc>
          <w:tcPr>
            <w:tcW w:w="709" w:type="dxa"/>
            <w:tcBorders>
              <w:top w:val="nil"/>
              <w:left w:val="nil"/>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437</w:t>
            </w:r>
          </w:p>
        </w:tc>
        <w:tc>
          <w:tcPr>
            <w:tcW w:w="708" w:type="dxa"/>
            <w:tcBorders>
              <w:top w:val="nil"/>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360</w:t>
            </w:r>
          </w:p>
        </w:tc>
        <w:tc>
          <w:tcPr>
            <w:tcW w:w="696"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299</w:t>
            </w:r>
          </w:p>
        </w:tc>
        <w:tc>
          <w:tcPr>
            <w:tcW w:w="696" w:type="dxa"/>
            <w:tcBorders>
              <w:top w:val="nil"/>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337</w:t>
            </w:r>
          </w:p>
        </w:tc>
        <w:tc>
          <w:tcPr>
            <w:tcW w:w="696"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368</w:t>
            </w:r>
          </w:p>
        </w:tc>
        <w:tc>
          <w:tcPr>
            <w:tcW w:w="696" w:type="dxa"/>
            <w:tcBorders>
              <w:top w:val="nil"/>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378</w:t>
            </w:r>
          </w:p>
        </w:tc>
        <w:tc>
          <w:tcPr>
            <w:tcW w:w="696"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412</w:t>
            </w:r>
          </w:p>
        </w:tc>
        <w:tc>
          <w:tcPr>
            <w:tcW w:w="696" w:type="dxa"/>
            <w:tcBorders>
              <w:top w:val="nil"/>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446</w:t>
            </w:r>
          </w:p>
        </w:tc>
        <w:tc>
          <w:tcPr>
            <w:tcW w:w="696"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427</w:t>
            </w:r>
          </w:p>
        </w:tc>
        <w:tc>
          <w:tcPr>
            <w:tcW w:w="696" w:type="dxa"/>
            <w:tcBorders>
              <w:top w:val="nil"/>
              <w:left w:val="nil"/>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433</w:t>
            </w:r>
          </w:p>
        </w:tc>
      </w:tr>
      <w:tr w:rsidR="00A75A8D">
        <w:trPr>
          <w:trHeight w:val="315"/>
        </w:trPr>
        <w:tc>
          <w:tcPr>
            <w:tcW w:w="1909" w:type="dxa"/>
            <w:vMerge/>
            <w:tcBorders>
              <w:top w:val="nil"/>
              <w:left w:val="single" w:sz="8" w:space="0" w:color="auto"/>
              <w:bottom w:val="single" w:sz="8" w:space="0" w:color="000000"/>
              <w:right w:val="nil"/>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c>
          <w:tcPr>
            <w:tcW w:w="729"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Ж</w:t>
            </w:r>
          </w:p>
        </w:tc>
        <w:tc>
          <w:tcPr>
            <w:tcW w:w="709" w:type="dxa"/>
            <w:tcBorders>
              <w:top w:val="nil"/>
              <w:left w:val="nil"/>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95</w:t>
            </w:r>
          </w:p>
        </w:tc>
        <w:tc>
          <w:tcPr>
            <w:tcW w:w="708"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64</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53</w:t>
            </w:r>
          </w:p>
        </w:tc>
        <w:tc>
          <w:tcPr>
            <w:tcW w:w="696"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59</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57</w:t>
            </w:r>
          </w:p>
        </w:tc>
        <w:tc>
          <w:tcPr>
            <w:tcW w:w="696"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70</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75</w:t>
            </w:r>
          </w:p>
        </w:tc>
        <w:tc>
          <w:tcPr>
            <w:tcW w:w="696"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90</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68</w:t>
            </w:r>
          </w:p>
        </w:tc>
        <w:tc>
          <w:tcPr>
            <w:tcW w:w="696" w:type="dxa"/>
            <w:tcBorders>
              <w:top w:val="nil"/>
              <w:left w:val="nil"/>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66</w:t>
            </w:r>
          </w:p>
        </w:tc>
      </w:tr>
      <w:tr w:rsidR="00A75A8D">
        <w:trPr>
          <w:trHeight w:val="300"/>
        </w:trPr>
        <w:tc>
          <w:tcPr>
            <w:tcW w:w="1909" w:type="dxa"/>
            <w:vMerge w:val="restart"/>
            <w:tcBorders>
              <w:top w:val="nil"/>
              <w:left w:val="single" w:sz="8" w:space="0" w:color="auto"/>
              <w:bottom w:val="single" w:sz="8" w:space="0" w:color="000000"/>
              <w:right w:val="nil"/>
            </w:tcBorders>
            <w:shd w:val="clear" w:color="auto" w:fill="auto"/>
            <w:vAlign w:val="center"/>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70+</w:t>
            </w:r>
          </w:p>
        </w:tc>
        <w:tc>
          <w:tcPr>
            <w:tcW w:w="729"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w:t>
            </w:r>
          </w:p>
        </w:tc>
        <w:tc>
          <w:tcPr>
            <w:tcW w:w="709" w:type="dxa"/>
            <w:tcBorders>
              <w:top w:val="nil"/>
              <w:left w:val="nil"/>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811</w:t>
            </w:r>
          </w:p>
        </w:tc>
        <w:tc>
          <w:tcPr>
            <w:tcW w:w="708" w:type="dxa"/>
            <w:tcBorders>
              <w:top w:val="nil"/>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763</w:t>
            </w:r>
          </w:p>
        </w:tc>
        <w:tc>
          <w:tcPr>
            <w:tcW w:w="696"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720</w:t>
            </w:r>
          </w:p>
        </w:tc>
        <w:tc>
          <w:tcPr>
            <w:tcW w:w="696" w:type="dxa"/>
            <w:tcBorders>
              <w:top w:val="nil"/>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696</w:t>
            </w:r>
          </w:p>
        </w:tc>
        <w:tc>
          <w:tcPr>
            <w:tcW w:w="696"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719</w:t>
            </w:r>
          </w:p>
        </w:tc>
        <w:tc>
          <w:tcPr>
            <w:tcW w:w="696" w:type="dxa"/>
            <w:tcBorders>
              <w:top w:val="nil"/>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564</w:t>
            </w:r>
          </w:p>
        </w:tc>
        <w:tc>
          <w:tcPr>
            <w:tcW w:w="696"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565</w:t>
            </w:r>
          </w:p>
        </w:tc>
        <w:tc>
          <w:tcPr>
            <w:tcW w:w="696" w:type="dxa"/>
            <w:tcBorders>
              <w:top w:val="nil"/>
              <w:left w:val="nil"/>
              <w:bottom w:val="single" w:sz="4"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533</w:t>
            </w:r>
          </w:p>
        </w:tc>
        <w:tc>
          <w:tcPr>
            <w:tcW w:w="696"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477</w:t>
            </w:r>
          </w:p>
        </w:tc>
        <w:tc>
          <w:tcPr>
            <w:tcW w:w="696" w:type="dxa"/>
            <w:tcBorders>
              <w:top w:val="nil"/>
              <w:left w:val="nil"/>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480</w:t>
            </w:r>
          </w:p>
        </w:tc>
      </w:tr>
      <w:tr w:rsidR="00A75A8D">
        <w:trPr>
          <w:trHeight w:val="315"/>
        </w:trPr>
        <w:tc>
          <w:tcPr>
            <w:tcW w:w="1909" w:type="dxa"/>
            <w:vMerge/>
            <w:tcBorders>
              <w:top w:val="nil"/>
              <w:left w:val="single" w:sz="8" w:space="0" w:color="auto"/>
              <w:bottom w:val="single" w:sz="8" w:space="0" w:color="000000"/>
              <w:right w:val="nil"/>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c>
          <w:tcPr>
            <w:tcW w:w="729"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Ж</w:t>
            </w:r>
          </w:p>
        </w:tc>
        <w:tc>
          <w:tcPr>
            <w:tcW w:w="709" w:type="dxa"/>
            <w:tcBorders>
              <w:top w:val="nil"/>
              <w:left w:val="nil"/>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175</w:t>
            </w:r>
          </w:p>
        </w:tc>
        <w:tc>
          <w:tcPr>
            <w:tcW w:w="708"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207</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225</w:t>
            </w:r>
          </w:p>
        </w:tc>
        <w:tc>
          <w:tcPr>
            <w:tcW w:w="696"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210</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214</w:t>
            </w:r>
          </w:p>
        </w:tc>
        <w:tc>
          <w:tcPr>
            <w:tcW w:w="696"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227</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186</w:t>
            </w:r>
          </w:p>
        </w:tc>
        <w:tc>
          <w:tcPr>
            <w:tcW w:w="696" w:type="dxa"/>
            <w:tcBorders>
              <w:top w:val="nil"/>
              <w:left w:val="nil"/>
              <w:bottom w:val="single" w:sz="8" w:space="0" w:color="auto"/>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175</w:t>
            </w:r>
          </w:p>
        </w:tc>
        <w:tc>
          <w:tcPr>
            <w:tcW w:w="696" w:type="dxa"/>
            <w:tcBorders>
              <w:top w:val="nil"/>
              <w:left w:val="single" w:sz="8" w:space="0" w:color="auto"/>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164</w:t>
            </w:r>
          </w:p>
        </w:tc>
        <w:tc>
          <w:tcPr>
            <w:tcW w:w="696" w:type="dxa"/>
            <w:tcBorders>
              <w:top w:val="nil"/>
              <w:left w:val="nil"/>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145</w:t>
            </w:r>
          </w:p>
        </w:tc>
      </w:tr>
      <w:tr w:rsidR="00A75A8D">
        <w:trPr>
          <w:trHeight w:val="300"/>
        </w:trPr>
        <w:tc>
          <w:tcPr>
            <w:tcW w:w="1909" w:type="dxa"/>
            <w:vMerge w:val="restart"/>
            <w:tcBorders>
              <w:top w:val="nil"/>
              <w:left w:val="single" w:sz="8" w:space="0" w:color="auto"/>
              <w:bottom w:val="nil"/>
              <w:right w:val="nil"/>
            </w:tcBorders>
            <w:shd w:val="clear" w:color="auto" w:fill="auto"/>
            <w:vAlign w:val="center"/>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Всего </w:t>
            </w:r>
          </w:p>
        </w:tc>
        <w:tc>
          <w:tcPr>
            <w:tcW w:w="729" w:type="dxa"/>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w:t>
            </w:r>
          </w:p>
        </w:tc>
        <w:tc>
          <w:tcPr>
            <w:tcW w:w="709" w:type="dxa"/>
            <w:tcBorders>
              <w:top w:val="nil"/>
              <w:left w:val="nil"/>
              <w:bottom w:val="single" w:sz="4" w:space="0" w:color="auto"/>
              <w:right w:val="single" w:sz="8" w:space="0" w:color="auto"/>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2630</w:t>
            </w:r>
          </w:p>
        </w:tc>
        <w:tc>
          <w:tcPr>
            <w:tcW w:w="708" w:type="dxa"/>
            <w:tcBorders>
              <w:top w:val="nil"/>
              <w:left w:val="nil"/>
              <w:bottom w:val="single" w:sz="4" w:space="0" w:color="auto"/>
              <w:right w:val="nil"/>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2524</w:t>
            </w:r>
          </w:p>
        </w:tc>
        <w:tc>
          <w:tcPr>
            <w:tcW w:w="696" w:type="dxa"/>
            <w:tcBorders>
              <w:top w:val="nil"/>
              <w:left w:val="single" w:sz="8" w:space="0" w:color="auto"/>
              <w:bottom w:val="single" w:sz="4" w:space="0" w:color="auto"/>
              <w:right w:val="single" w:sz="8" w:space="0" w:color="auto"/>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2399</w:t>
            </w:r>
          </w:p>
        </w:tc>
        <w:tc>
          <w:tcPr>
            <w:tcW w:w="696" w:type="dxa"/>
            <w:tcBorders>
              <w:top w:val="nil"/>
              <w:left w:val="nil"/>
              <w:bottom w:val="single" w:sz="4" w:space="0" w:color="auto"/>
              <w:right w:val="nil"/>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2451</w:t>
            </w:r>
          </w:p>
        </w:tc>
        <w:tc>
          <w:tcPr>
            <w:tcW w:w="696" w:type="dxa"/>
            <w:tcBorders>
              <w:top w:val="nil"/>
              <w:left w:val="single" w:sz="8" w:space="0" w:color="auto"/>
              <w:bottom w:val="single" w:sz="4" w:space="0" w:color="auto"/>
              <w:right w:val="single" w:sz="8" w:space="0" w:color="auto"/>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2496</w:t>
            </w:r>
          </w:p>
        </w:tc>
        <w:tc>
          <w:tcPr>
            <w:tcW w:w="696" w:type="dxa"/>
            <w:tcBorders>
              <w:top w:val="nil"/>
              <w:left w:val="nil"/>
              <w:bottom w:val="single" w:sz="4" w:space="0" w:color="auto"/>
              <w:right w:val="nil"/>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2203</w:t>
            </w:r>
          </w:p>
        </w:tc>
        <w:tc>
          <w:tcPr>
            <w:tcW w:w="696" w:type="dxa"/>
            <w:tcBorders>
              <w:top w:val="nil"/>
              <w:left w:val="single" w:sz="8" w:space="0" w:color="auto"/>
              <w:bottom w:val="single" w:sz="4" w:space="0" w:color="auto"/>
              <w:right w:val="single" w:sz="8" w:space="0" w:color="auto"/>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2202</w:t>
            </w:r>
          </w:p>
        </w:tc>
        <w:tc>
          <w:tcPr>
            <w:tcW w:w="696" w:type="dxa"/>
            <w:tcBorders>
              <w:top w:val="nil"/>
              <w:left w:val="nil"/>
              <w:bottom w:val="single" w:sz="4" w:space="0" w:color="auto"/>
              <w:right w:val="nil"/>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2117</w:t>
            </w:r>
          </w:p>
        </w:tc>
        <w:tc>
          <w:tcPr>
            <w:tcW w:w="696" w:type="dxa"/>
            <w:tcBorders>
              <w:top w:val="nil"/>
              <w:left w:val="single" w:sz="8" w:space="0" w:color="auto"/>
              <w:bottom w:val="single" w:sz="4" w:space="0" w:color="auto"/>
              <w:right w:val="single" w:sz="8" w:space="0" w:color="auto"/>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2011</w:t>
            </w:r>
          </w:p>
        </w:tc>
        <w:tc>
          <w:tcPr>
            <w:tcW w:w="696" w:type="dxa"/>
            <w:tcBorders>
              <w:top w:val="nil"/>
              <w:left w:val="nil"/>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1954</w:t>
            </w:r>
          </w:p>
        </w:tc>
      </w:tr>
      <w:tr w:rsidR="00A75A8D">
        <w:trPr>
          <w:trHeight w:val="315"/>
        </w:trPr>
        <w:tc>
          <w:tcPr>
            <w:tcW w:w="1909" w:type="dxa"/>
            <w:vMerge/>
            <w:tcBorders>
              <w:top w:val="nil"/>
              <w:left w:val="single" w:sz="8" w:space="0" w:color="auto"/>
              <w:bottom w:val="nil"/>
              <w:right w:val="nil"/>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c>
          <w:tcPr>
            <w:tcW w:w="729" w:type="dxa"/>
            <w:tcBorders>
              <w:top w:val="nil"/>
              <w:left w:val="single" w:sz="8" w:space="0" w:color="auto"/>
              <w:bottom w:val="nil"/>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Ж</w:t>
            </w:r>
          </w:p>
        </w:tc>
        <w:tc>
          <w:tcPr>
            <w:tcW w:w="709" w:type="dxa"/>
            <w:tcBorders>
              <w:top w:val="nil"/>
              <w:left w:val="nil"/>
              <w:bottom w:val="nil"/>
              <w:right w:val="single" w:sz="8" w:space="0" w:color="auto"/>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566</w:t>
            </w:r>
          </w:p>
        </w:tc>
        <w:tc>
          <w:tcPr>
            <w:tcW w:w="708" w:type="dxa"/>
            <w:tcBorders>
              <w:top w:val="nil"/>
              <w:left w:val="nil"/>
              <w:bottom w:val="nil"/>
              <w:right w:val="nil"/>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516</w:t>
            </w:r>
          </w:p>
        </w:tc>
        <w:tc>
          <w:tcPr>
            <w:tcW w:w="696" w:type="dxa"/>
            <w:tcBorders>
              <w:top w:val="nil"/>
              <w:left w:val="single" w:sz="8" w:space="0" w:color="auto"/>
              <w:bottom w:val="nil"/>
              <w:right w:val="single" w:sz="8" w:space="0" w:color="auto"/>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540</w:t>
            </w:r>
          </w:p>
        </w:tc>
        <w:tc>
          <w:tcPr>
            <w:tcW w:w="696" w:type="dxa"/>
            <w:tcBorders>
              <w:top w:val="nil"/>
              <w:left w:val="nil"/>
              <w:bottom w:val="nil"/>
              <w:right w:val="nil"/>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553</w:t>
            </w:r>
          </w:p>
        </w:tc>
        <w:tc>
          <w:tcPr>
            <w:tcW w:w="696" w:type="dxa"/>
            <w:tcBorders>
              <w:top w:val="nil"/>
              <w:left w:val="single" w:sz="8" w:space="0" w:color="auto"/>
              <w:bottom w:val="nil"/>
              <w:right w:val="single" w:sz="8" w:space="0" w:color="auto"/>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521</w:t>
            </w:r>
          </w:p>
        </w:tc>
        <w:tc>
          <w:tcPr>
            <w:tcW w:w="696" w:type="dxa"/>
            <w:tcBorders>
              <w:top w:val="nil"/>
              <w:left w:val="nil"/>
              <w:bottom w:val="nil"/>
              <w:right w:val="nil"/>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521</w:t>
            </w:r>
          </w:p>
        </w:tc>
        <w:tc>
          <w:tcPr>
            <w:tcW w:w="696" w:type="dxa"/>
            <w:tcBorders>
              <w:top w:val="nil"/>
              <w:left w:val="single" w:sz="8" w:space="0" w:color="auto"/>
              <w:bottom w:val="nil"/>
              <w:right w:val="single" w:sz="8" w:space="0" w:color="auto"/>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515</w:t>
            </w:r>
          </w:p>
        </w:tc>
        <w:tc>
          <w:tcPr>
            <w:tcW w:w="696" w:type="dxa"/>
            <w:tcBorders>
              <w:top w:val="nil"/>
              <w:left w:val="nil"/>
              <w:bottom w:val="nil"/>
              <w:right w:val="nil"/>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498</w:t>
            </w:r>
          </w:p>
        </w:tc>
        <w:tc>
          <w:tcPr>
            <w:tcW w:w="696" w:type="dxa"/>
            <w:tcBorders>
              <w:top w:val="nil"/>
              <w:left w:val="single" w:sz="8" w:space="0" w:color="auto"/>
              <w:bottom w:val="nil"/>
              <w:right w:val="single" w:sz="8" w:space="0" w:color="auto"/>
            </w:tcBorders>
            <w:shd w:val="clear" w:color="auto" w:fill="auto"/>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437</w:t>
            </w:r>
          </w:p>
        </w:tc>
        <w:tc>
          <w:tcPr>
            <w:tcW w:w="696" w:type="dxa"/>
            <w:tcBorders>
              <w:top w:val="nil"/>
              <w:left w:val="nil"/>
              <w:bottom w:val="nil"/>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423</w:t>
            </w:r>
          </w:p>
        </w:tc>
      </w:tr>
      <w:tr w:rsidR="00A75A8D">
        <w:trPr>
          <w:trHeight w:val="315"/>
        </w:trPr>
        <w:tc>
          <w:tcPr>
            <w:tcW w:w="2638" w:type="dxa"/>
            <w:gridSpan w:val="2"/>
            <w:tcBorders>
              <w:top w:val="single" w:sz="8" w:space="0" w:color="auto"/>
              <w:left w:val="single" w:sz="8" w:space="0" w:color="auto"/>
              <w:bottom w:val="single" w:sz="8" w:space="0" w:color="auto"/>
              <w:right w:val="single" w:sz="4" w:space="0" w:color="000000"/>
            </w:tcBorders>
            <w:shd w:val="clear" w:color="auto" w:fill="auto"/>
            <w:noWrap/>
            <w:vAlign w:val="center"/>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Всего </w:t>
            </w:r>
          </w:p>
        </w:tc>
        <w:tc>
          <w:tcPr>
            <w:tcW w:w="709" w:type="dxa"/>
            <w:tcBorders>
              <w:top w:val="single" w:sz="8" w:space="0" w:color="auto"/>
              <w:left w:val="nil"/>
              <w:bottom w:val="single" w:sz="8"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3196</w:t>
            </w:r>
          </w:p>
        </w:tc>
        <w:tc>
          <w:tcPr>
            <w:tcW w:w="708" w:type="dxa"/>
            <w:tcBorders>
              <w:top w:val="single" w:sz="8" w:space="0" w:color="auto"/>
              <w:left w:val="nil"/>
              <w:bottom w:val="single" w:sz="8"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3040</w:t>
            </w:r>
          </w:p>
        </w:tc>
        <w:tc>
          <w:tcPr>
            <w:tcW w:w="696" w:type="dxa"/>
            <w:tcBorders>
              <w:top w:val="single" w:sz="8" w:space="0" w:color="auto"/>
              <w:left w:val="nil"/>
              <w:bottom w:val="single" w:sz="8"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2939</w:t>
            </w:r>
          </w:p>
        </w:tc>
        <w:tc>
          <w:tcPr>
            <w:tcW w:w="696" w:type="dxa"/>
            <w:tcBorders>
              <w:top w:val="single" w:sz="8" w:space="0" w:color="auto"/>
              <w:left w:val="nil"/>
              <w:bottom w:val="single" w:sz="8"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3004</w:t>
            </w:r>
          </w:p>
        </w:tc>
        <w:tc>
          <w:tcPr>
            <w:tcW w:w="696" w:type="dxa"/>
            <w:tcBorders>
              <w:top w:val="single" w:sz="8" w:space="0" w:color="auto"/>
              <w:left w:val="nil"/>
              <w:bottom w:val="single" w:sz="8"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3017</w:t>
            </w:r>
          </w:p>
        </w:tc>
        <w:tc>
          <w:tcPr>
            <w:tcW w:w="696" w:type="dxa"/>
            <w:tcBorders>
              <w:top w:val="single" w:sz="8" w:space="0" w:color="auto"/>
              <w:left w:val="nil"/>
              <w:bottom w:val="single" w:sz="8"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2724</w:t>
            </w:r>
          </w:p>
        </w:tc>
        <w:tc>
          <w:tcPr>
            <w:tcW w:w="696" w:type="dxa"/>
            <w:tcBorders>
              <w:top w:val="single" w:sz="8" w:space="0" w:color="auto"/>
              <w:left w:val="nil"/>
              <w:bottom w:val="single" w:sz="8"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2717</w:t>
            </w:r>
          </w:p>
        </w:tc>
        <w:tc>
          <w:tcPr>
            <w:tcW w:w="696" w:type="dxa"/>
            <w:tcBorders>
              <w:top w:val="single" w:sz="8" w:space="0" w:color="auto"/>
              <w:left w:val="nil"/>
              <w:bottom w:val="single" w:sz="8"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2615</w:t>
            </w:r>
          </w:p>
        </w:tc>
        <w:tc>
          <w:tcPr>
            <w:tcW w:w="696" w:type="dxa"/>
            <w:tcBorders>
              <w:top w:val="single" w:sz="8" w:space="0" w:color="auto"/>
              <w:left w:val="nil"/>
              <w:bottom w:val="single" w:sz="8"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2448</w:t>
            </w:r>
          </w:p>
        </w:tc>
        <w:tc>
          <w:tcPr>
            <w:tcW w:w="696" w:type="dxa"/>
            <w:tcBorders>
              <w:top w:val="single" w:sz="8" w:space="0" w:color="auto"/>
              <w:left w:val="nil"/>
              <w:bottom w:val="single" w:sz="8" w:space="0" w:color="auto"/>
              <w:right w:val="single" w:sz="8"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2377</w:t>
            </w:r>
          </w:p>
        </w:tc>
      </w:tr>
    </w:tbl>
    <w:p w:rsidR="00A75A8D" w:rsidRDefault="00A75A8D">
      <w:pPr>
        <w:spacing w:after="0"/>
        <w:ind w:firstLine="709"/>
        <w:jc w:val="both"/>
        <w:rPr>
          <w:rFonts w:ascii="Times New Roman" w:hAnsi="Times New Roman" w:cs="Times New Roman"/>
          <w:sz w:val="28"/>
          <w:szCs w:val="28"/>
        </w:rPr>
      </w:pP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Согласно данным </w:t>
      </w:r>
      <w:r>
        <w:rPr>
          <w:rFonts w:ascii="Times New Roman" w:hAnsi="Times New Roman" w:cs="Times New Roman"/>
          <w:color w:val="000000" w:themeColor="text1"/>
          <w:sz w:val="28"/>
          <w:szCs w:val="28"/>
        </w:rPr>
        <w:t xml:space="preserve">из </w:t>
      </w:r>
      <w:r>
        <w:rPr>
          <w:rFonts w:ascii="Times New Roman" w:hAnsi="Times New Roman" w:cs="Times New Roman"/>
          <w:sz w:val="28"/>
          <w:szCs w:val="28"/>
        </w:rPr>
        <w:t>таблицы 6, при анализе смертности от рака легкого отмечался</w:t>
      </w:r>
      <w:r>
        <w:rPr>
          <w:rFonts w:ascii="Times New Roman" w:hAnsi="Times New Roman" w:cs="Times New Roman"/>
          <w:color w:val="FF0000"/>
          <w:sz w:val="28"/>
          <w:szCs w:val="28"/>
        </w:rPr>
        <w:t xml:space="preserve"> </w:t>
      </w:r>
      <w:r>
        <w:rPr>
          <w:rFonts w:ascii="Times New Roman" w:hAnsi="Times New Roman" w:cs="Times New Roman"/>
          <w:sz w:val="28"/>
          <w:szCs w:val="28"/>
        </w:rPr>
        <w:t xml:space="preserve">рост показателя с увеличением возраста. При </w:t>
      </w:r>
      <w:r>
        <w:rPr>
          <w:rFonts w:ascii="Times New Roman" w:hAnsi="Times New Roman" w:cs="Times New Roman"/>
          <w:color w:val="000000" w:themeColor="text1"/>
          <w:sz w:val="28"/>
          <w:szCs w:val="28"/>
        </w:rPr>
        <w:t>более</w:t>
      </w:r>
      <w:r>
        <w:rPr>
          <w:rFonts w:ascii="Times New Roman" w:hAnsi="Times New Roman" w:cs="Times New Roman"/>
          <w:color w:val="FF0000"/>
          <w:sz w:val="28"/>
          <w:szCs w:val="28"/>
        </w:rPr>
        <w:t xml:space="preserve"> </w:t>
      </w:r>
      <w:r>
        <w:rPr>
          <w:rFonts w:ascii="Times New Roman" w:hAnsi="Times New Roman" w:cs="Times New Roman"/>
          <w:sz w:val="28"/>
          <w:szCs w:val="28"/>
        </w:rPr>
        <w:t xml:space="preserve">детальном анализе, за весь исследуемый период, начиная с возрастной категории 40-44 года, отмечается более значительный темп увеличения </w:t>
      </w:r>
      <w:r>
        <w:rPr>
          <w:rFonts w:ascii="Times New Roman" w:hAnsi="Times New Roman" w:cs="Times New Roman"/>
          <w:color w:val="000000" w:themeColor="text1"/>
          <w:sz w:val="28"/>
          <w:szCs w:val="28"/>
        </w:rPr>
        <w:t xml:space="preserve">количества летальных случаев. Так, в данной возрастной категории зарегистрировано 497 летальных случаев, что превысило </w:t>
      </w:r>
      <w:r>
        <w:rPr>
          <w:rFonts w:ascii="Times New Roman" w:hAnsi="Times New Roman" w:cs="Times New Roman"/>
          <w:sz w:val="28"/>
          <w:szCs w:val="28"/>
        </w:rPr>
        <w:t>к</w:t>
      </w:r>
      <w:r>
        <w:rPr>
          <w:rFonts w:ascii="Times New Roman" w:hAnsi="Times New Roman" w:cs="Times New Roman"/>
          <w:sz w:val="28"/>
          <w:szCs w:val="28"/>
        </w:rPr>
        <w:t>оличество в</w:t>
      </w:r>
      <w:r>
        <w:rPr>
          <w:rFonts w:ascii="Times New Roman" w:hAnsi="Times New Roman" w:cs="Times New Roman"/>
          <w:color w:val="000000" w:themeColor="text1"/>
          <w:sz w:val="28"/>
          <w:szCs w:val="28"/>
        </w:rPr>
        <w:t xml:space="preserve">сех случаев в более ранних возрастных группах от 0 до 39 лет, что составило 431 случаев. Наибольшая </w:t>
      </w:r>
      <w:r>
        <w:rPr>
          <w:rFonts w:ascii="Times New Roman" w:hAnsi="Times New Roman" w:cs="Times New Roman"/>
          <w:sz w:val="28"/>
          <w:szCs w:val="28"/>
        </w:rPr>
        <w:t xml:space="preserve">доля умерших от рака легкого приходится на возрастные группы 55-59 лет - </w:t>
      </w:r>
      <w:r>
        <w:rPr>
          <w:rFonts w:ascii="Times New Roman" w:hAnsi="Times New Roman" w:cs="Times New Roman"/>
          <w:color w:val="000000" w:themeColor="text1"/>
          <w:sz w:val="28"/>
          <w:szCs w:val="28"/>
        </w:rPr>
        <w:t xml:space="preserve">16,4%, (4 614/28 077) случаев, 60-64 года - 20,1% (5 661/28 077), 65-69 </w:t>
      </w:r>
      <w:r>
        <w:rPr>
          <w:rFonts w:ascii="Times New Roman" w:hAnsi="Times New Roman" w:cs="Times New Roman"/>
          <w:color w:val="000000" w:themeColor="text1"/>
          <w:sz w:val="28"/>
          <w:szCs w:val="28"/>
        </w:rPr>
        <w:t xml:space="preserve">лет - 16,3% (4 594/28 077), </w:t>
      </w:r>
      <w:r>
        <w:rPr>
          <w:rFonts w:ascii="Times New Roman" w:hAnsi="Times New Roman" w:cs="Times New Roman"/>
          <w:sz w:val="28"/>
          <w:szCs w:val="28"/>
        </w:rPr>
        <w:t xml:space="preserve">и старше 70 лет - 29,4% (8 256/28 077), что составляет 82,3% от всех летальных случаев от рака легкого. </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Максимально высокое количество </w:t>
      </w:r>
      <w:r>
        <w:rPr>
          <w:rFonts w:ascii="Times New Roman" w:hAnsi="Times New Roman" w:cs="Times New Roman"/>
          <w:color w:val="000000" w:themeColor="text1"/>
          <w:sz w:val="28"/>
          <w:szCs w:val="28"/>
        </w:rPr>
        <w:t xml:space="preserve">летальных исходов у </w:t>
      </w:r>
      <w:r>
        <w:rPr>
          <w:rFonts w:ascii="Times New Roman" w:hAnsi="Times New Roman" w:cs="Times New Roman"/>
          <w:sz w:val="28"/>
          <w:szCs w:val="28"/>
        </w:rPr>
        <w:t xml:space="preserve">мужчин отмечено в возрастной категории 70 лет и старше в 2009 году (811 </w:t>
      </w:r>
      <w:r>
        <w:rPr>
          <w:rFonts w:ascii="Times New Roman" w:hAnsi="Times New Roman" w:cs="Times New Roman"/>
          <w:sz w:val="28"/>
          <w:szCs w:val="28"/>
        </w:rPr>
        <w:t xml:space="preserve">случаев), а в женской популяции в 2014 году в этой же возрастной категории (227 случаев). </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динамике, с 2009 по 2018 год, </w:t>
      </w:r>
      <w:r>
        <w:rPr>
          <w:rFonts w:ascii="Times New Roman" w:hAnsi="Times New Roman" w:cs="Times New Roman"/>
          <w:color w:val="000000" w:themeColor="text1"/>
          <w:sz w:val="28"/>
          <w:szCs w:val="28"/>
        </w:rPr>
        <w:t xml:space="preserve">наблюдалось </w:t>
      </w:r>
      <w:r>
        <w:rPr>
          <w:rFonts w:ascii="Times New Roman" w:hAnsi="Times New Roman" w:cs="Times New Roman"/>
          <w:sz w:val="28"/>
          <w:szCs w:val="28"/>
        </w:rPr>
        <w:t xml:space="preserve">уменьшение количества ежегодно регистрируемых </w:t>
      </w:r>
      <w:r>
        <w:rPr>
          <w:rFonts w:ascii="Times New Roman" w:hAnsi="Times New Roman" w:cs="Times New Roman"/>
          <w:color w:val="000000" w:themeColor="text1"/>
          <w:sz w:val="28"/>
          <w:szCs w:val="28"/>
        </w:rPr>
        <w:t xml:space="preserve">летальных случаев </w:t>
      </w:r>
      <w:r>
        <w:rPr>
          <w:rFonts w:ascii="Times New Roman" w:hAnsi="Times New Roman" w:cs="Times New Roman"/>
          <w:sz w:val="28"/>
          <w:szCs w:val="28"/>
        </w:rPr>
        <w:t xml:space="preserve">с 3 196 до 2 377, исключение составили 2012 и 2013 года, </w:t>
      </w:r>
      <w:r>
        <w:rPr>
          <w:rFonts w:ascii="Times New Roman" w:hAnsi="Times New Roman" w:cs="Times New Roman"/>
          <w:sz w:val="28"/>
          <w:szCs w:val="28"/>
        </w:rPr>
        <w:t xml:space="preserve">когда был зарегистрирован рост количества </w:t>
      </w:r>
      <w:r>
        <w:rPr>
          <w:rFonts w:ascii="Times New Roman" w:hAnsi="Times New Roman" w:cs="Times New Roman"/>
          <w:color w:val="000000" w:themeColor="text1"/>
          <w:sz w:val="28"/>
          <w:szCs w:val="28"/>
        </w:rPr>
        <w:lastRenderedPageBreak/>
        <w:t>летальных исходов</w:t>
      </w:r>
      <w:r>
        <w:rPr>
          <w:rFonts w:ascii="Times New Roman" w:hAnsi="Times New Roman" w:cs="Times New Roman"/>
          <w:sz w:val="28"/>
          <w:szCs w:val="28"/>
        </w:rPr>
        <w:t>. В целом за анализируемый период в структуре</w:t>
      </w:r>
      <w:r>
        <w:rPr>
          <w:rFonts w:ascii="Times New Roman" w:hAnsi="Times New Roman" w:cs="Times New Roman"/>
          <w:color w:val="FF0000"/>
          <w:sz w:val="28"/>
          <w:szCs w:val="28"/>
        </w:rPr>
        <w:t xml:space="preserve"> </w:t>
      </w:r>
      <w:r>
        <w:rPr>
          <w:rFonts w:ascii="Times New Roman" w:hAnsi="Times New Roman" w:cs="Times New Roman"/>
          <w:color w:val="000000" w:themeColor="text1"/>
          <w:sz w:val="28"/>
          <w:szCs w:val="28"/>
        </w:rPr>
        <w:t xml:space="preserve">летальных случаев </w:t>
      </w:r>
      <w:r>
        <w:rPr>
          <w:rFonts w:ascii="Times New Roman" w:hAnsi="Times New Roman" w:cs="Times New Roman"/>
          <w:sz w:val="28"/>
          <w:szCs w:val="28"/>
        </w:rPr>
        <w:t>от рака легкого, мужчины всех возрастов составляли 81%, женщины – 19%.</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При анализе смертности от рака легкого можно отметить значител</w:t>
      </w:r>
      <w:r>
        <w:rPr>
          <w:rFonts w:ascii="Times New Roman" w:hAnsi="Times New Roman" w:cs="Times New Roman"/>
          <w:sz w:val="28"/>
          <w:szCs w:val="28"/>
        </w:rPr>
        <w:t xml:space="preserve">ьный рост удельного веса </w:t>
      </w:r>
      <w:r>
        <w:rPr>
          <w:rFonts w:ascii="Times New Roman" w:hAnsi="Times New Roman" w:cs="Times New Roman"/>
          <w:color w:val="000000" w:themeColor="text1"/>
          <w:sz w:val="28"/>
          <w:szCs w:val="28"/>
        </w:rPr>
        <w:t>летальных случаев,</w:t>
      </w:r>
      <w:r>
        <w:rPr>
          <w:rFonts w:ascii="Times New Roman" w:hAnsi="Times New Roman" w:cs="Times New Roman"/>
          <w:sz w:val="28"/>
          <w:szCs w:val="28"/>
        </w:rPr>
        <w:t xml:space="preserve"> начиная с возрастной категории 40-44 лет, при этом удельный вес женщин в этой и последующей категории (45-49 лет) превышает </w:t>
      </w:r>
      <w:r>
        <w:rPr>
          <w:rFonts w:ascii="Times New Roman" w:hAnsi="Times New Roman" w:cs="Times New Roman"/>
          <w:color w:val="000000" w:themeColor="text1"/>
          <w:sz w:val="28"/>
          <w:szCs w:val="28"/>
        </w:rPr>
        <w:t>доли м</w:t>
      </w:r>
      <w:r>
        <w:rPr>
          <w:rFonts w:ascii="Times New Roman" w:hAnsi="Times New Roman" w:cs="Times New Roman"/>
          <w:sz w:val="28"/>
          <w:szCs w:val="28"/>
        </w:rPr>
        <w:t>ужчин в данных возрастах.</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Как и при анализе структуры заболевших раком легкого по полу и возрасту, в структуре </w:t>
      </w:r>
      <w:r>
        <w:rPr>
          <w:rFonts w:ascii="Times New Roman" w:hAnsi="Times New Roman" w:cs="Times New Roman"/>
          <w:color w:val="000000" w:themeColor="text1"/>
          <w:sz w:val="28"/>
          <w:szCs w:val="28"/>
        </w:rPr>
        <w:t xml:space="preserve">летальных случаев </w:t>
      </w:r>
      <w:r>
        <w:rPr>
          <w:rFonts w:ascii="Times New Roman" w:hAnsi="Times New Roman" w:cs="Times New Roman"/>
          <w:sz w:val="28"/>
          <w:szCs w:val="28"/>
        </w:rPr>
        <w:t xml:space="preserve">от этой локализации рака следует отметить, что если в возрастных категориях от 0 до 49 и в возрасте 70 лет и старше лет </w:t>
      </w:r>
      <w:r>
        <w:rPr>
          <w:rFonts w:ascii="Times New Roman" w:hAnsi="Times New Roman" w:cs="Times New Roman"/>
          <w:color w:val="000000" w:themeColor="text1"/>
          <w:sz w:val="28"/>
          <w:szCs w:val="28"/>
        </w:rPr>
        <w:t>доля женщин превышала долю</w:t>
      </w:r>
      <w:r>
        <w:rPr>
          <w:rFonts w:ascii="Times New Roman" w:hAnsi="Times New Roman" w:cs="Times New Roman"/>
          <w:sz w:val="28"/>
          <w:szCs w:val="28"/>
        </w:rPr>
        <w:t xml:space="preserve"> мужчин</w:t>
      </w:r>
      <w:r>
        <w:rPr>
          <w:rFonts w:ascii="Times New Roman" w:hAnsi="Times New Roman" w:cs="Times New Roman"/>
          <w:sz w:val="28"/>
          <w:szCs w:val="28"/>
        </w:rPr>
        <w:t xml:space="preserve">, то в категориях от 50 до 69 лет практически все годы доля </w:t>
      </w:r>
      <w:r>
        <w:rPr>
          <w:rFonts w:ascii="Times New Roman" w:hAnsi="Times New Roman" w:cs="Times New Roman"/>
          <w:color w:val="000000" w:themeColor="text1"/>
          <w:sz w:val="28"/>
          <w:szCs w:val="28"/>
        </w:rPr>
        <w:t xml:space="preserve">летальных случаев </w:t>
      </w:r>
      <w:r>
        <w:rPr>
          <w:rFonts w:ascii="Times New Roman" w:hAnsi="Times New Roman" w:cs="Times New Roman"/>
          <w:sz w:val="28"/>
          <w:szCs w:val="28"/>
        </w:rPr>
        <w:t>мужчин превышала долю женщин.</w:t>
      </w: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Так как радон является важным фактором риска развития рака легкого мы изучили зависимость показателей заболеваемости и смертности от его уровня загр</w:t>
      </w:r>
      <w:r>
        <w:rPr>
          <w:rFonts w:ascii="Times New Roman" w:hAnsi="Times New Roman" w:cs="Times New Roman"/>
          <w:sz w:val="28"/>
          <w:szCs w:val="28"/>
        </w:rPr>
        <w:t xml:space="preserve">язнения в воздухе помещений и питьевой воде по регионам РК (рисунок 14). </w:t>
      </w:r>
    </w:p>
    <w:p w:rsidR="00A75A8D" w:rsidRDefault="00A75A8D">
      <w:pPr>
        <w:spacing w:after="0" w:line="240" w:lineRule="auto"/>
        <w:ind w:firstLine="567"/>
        <w:jc w:val="both"/>
        <w:rPr>
          <w:rFonts w:ascii="Times New Roman" w:hAnsi="Times New Roman" w:cs="Times New Roman"/>
          <w:sz w:val="28"/>
          <w:szCs w:val="28"/>
        </w:rPr>
      </w:pPr>
    </w:p>
    <w:p w:rsidR="00A75A8D" w:rsidRDefault="008A6A51">
      <w:pPr>
        <w:spacing w:after="0" w:line="240" w:lineRule="auto"/>
        <w:ind w:hanging="142"/>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313170" cy="3362325"/>
            <wp:effectExtent l="0" t="0" r="0" b="0"/>
            <wp:docPr id="31" name="Замещающее содержимое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1" name="Замещающее содержимое 2"/>
                    <pic:cNvPicPr>
                      <a:picLocks noGrp="1" noChangeAspect="1"/>
                    </pic:cNvPicPr>
                  </pic:nvPicPr>
                  <pic:blipFill>
                    <a:blip r:embed="rId23"/>
                    <a:stretch>
                      <a:fillRect/>
                    </a:stretch>
                  </pic:blipFill>
                  <pic:spPr>
                    <a:xfrm>
                      <a:off x="0" y="0"/>
                      <a:ext cx="6316584" cy="3364022"/>
                    </a:xfrm>
                    <a:prstGeom prst="rect">
                      <a:avLst/>
                    </a:prstGeom>
                  </pic:spPr>
                </pic:pic>
              </a:graphicData>
            </a:graphic>
          </wp:inline>
        </w:drawing>
      </w:r>
    </w:p>
    <w:p w:rsidR="00A75A8D" w:rsidRDefault="00A75A8D">
      <w:pPr>
        <w:spacing w:after="0" w:line="240" w:lineRule="auto"/>
        <w:ind w:firstLine="567"/>
        <w:jc w:val="both"/>
        <w:rPr>
          <w:rFonts w:ascii="Times New Roman" w:hAnsi="Times New Roman" w:cs="Times New Roman"/>
          <w:sz w:val="28"/>
          <w:szCs w:val="28"/>
        </w:rPr>
      </w:pPr>
    </w:p>
    <w:p w:rsidR="00A75A8D" w:rsidRDefault="008A6A5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14</w:t>
      </w:r>
      <w:r>
        <w:rPr>
          <w:rFonts w:ascii="Times New Roman" w:hAnsi="Times New Roman" w:cs="Times New Roman"/>
          <w:color w:val="FF0000"/>
          <w:sz w:val="28"/>
          <w:szCs w:val="28"/>
        </w:rPr>
        <w:t xml:space="preserve"> </w:t>
      </w:r>
      <w:r>
        <w:rPr>
          <w:rFonts w:ascii="Times New Roman" w:hAnsi="Times New Roman" w:cs="Times New Roman"/>
          <w:sz w:val="28"/>
          <w:szCs w:val="28"/>
        </w:rPr>
        <w:t>– Показатели превышения норм радона в водоисточниках и воздухе помещений по регионам РК</w:t>
      </w:r>
    </w:p>
    <w:p w:rsidR="00A75A8D" w:rsidRDefault="00A75A8D">
      <w:pPr>
        <w:spacing w:after="0" w:line="240" w:lineRule="auto"/>
        <w:jc w:val="both"/>
        <w:rPr>
          <w:rFonts w:ascii="Times New Roman" w:hAnsi="Times New Roman" w:cs="Times New Roman"/>
          <w:sz w:val="28"/>
          <w:szCs w:val="28"/>
        </w:rPr>
      </w:pP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Согласно данным рисунка 14 значительное превышение норм радона как в водоисточ</w:t>
      </w:r>
      <w:r>
        <w:rPr>
          <w:rFonts w:ascii="Times New Roman" w:hAnsi="Times New Roman" w:cs="Times New Roman"/>
          <w:sz w:val="28"/>
          <w:szCs w:val="28"/>
        </w:rPr>
        <w:t xml:space="preserve">никах, так и в воздухе помещений наблюдается в шести регионах РК: Акмолинская, Костанайская, Северо-Казахстанская, Карагандинская, Павлодарская и Восточно-Казахстанская с максимальным превышением в 66,7%. </w:t>
      </w:r>
    </w:p>
    <w:p w:rsidR="00A75A8D" w:rsidRDefault="008A6A51">
      <w:pPr>
        <w:spacing w:after="0" w:line="240" w:lineRule="auto"/>
        <w:ind w:right="-2" w:firstLine="567"/>
        <w:jc w:val="both"/>
        <w:rPr>
          <w:rFonts w:ascii="Times New Roman" w:hAnsi="Times New Roman" w:cs="Times New Roman"/>
          <w:sz w:val="28"/>
          <w:szCs w:val="28"/>
        </w:rPr>
      </w:pPr>
      <w:r>
        <w:rPr>
          <w:rFonts w:ascii="Times New Roman" w:hAnsi="Times New Roman" w:cs="Times New Roman"/>
          <w:sz w:val="28"/>
          <w:szCs w:val="28"/>
        </w:rPr>
        <w:t>Мы провели корреляционный анализ показателей забол</w:t>
      </w:r>
      <w:r>
        <w:rPr>
          <w:rFonts w:ascii="Times New Roman" w:hAnsi="Times New Roman" w:cs="Times New Roman"/>
          <w:sz w:val="28"/>
          <w:szCs w:val="28"/>
        </w:rPr>
        <w:t>еваемости и смертности от рака легкого с показателями радонового загрязнения по регионам РК (таблицы 7 и 8).</w:t>
      </w:r>
    </w:p>
    <w:p w:rsidR="00A75A8D" w:rsidRDefault="00A75A8D">
      <w:pPr>
        <w:spacing w:after="0" w:line="240" w:lineRule="auto"/>
        <w:ind w:firstLine="567"/>
        <w:jc w:val="both"/>
        <w:rPr>
          <w:rFonts w:ascii="Times New Roman" w:hAnsi="Times New Roman" w:cs="Times New Roman"/>
          <w:sz w:val="28"/>
          <w:szCs w:val="28"/>
        </w:rPr>
      </w:pPr>
    </w:p>
    <w:p w:rsidR="00A75A8D" w:rsidRDefault="008A6A51">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Таблица 7</w:t>
      </w:r>
      <w:r>
        <w:rPr>
          <w:rFonts w:ascii="Times New Roman" w:hAnsi="Times New Roman" w:cs="Times New Roman"/>
          <w:color w:val="FF0000"/>
          <w:sz w:val="28"/>
          <w:szCs w:val="28"/>
        </w:rPr>
        <w:t xml:space="preserve"> </w:t>
      </w:r>
      <w:r>
        <w:rPr>
          <w:rFonts w:ascii="Times New Roman" w:hAnsi="Times New Roman" w:cs="Times New Roman"/>
          <w:sz w:val="28"/>
          <w:szCs w:val="28"/>
        </w:rPr>
        <w:t xml:space="preserve">– Показатели заболеваемости и смертности от рака легкого в зависимости от радонового загрязнения в </w:t>
      </w:r>
      <w:r>
        <w:rPr>
          <w:rFonts w:ascii="Times New Roman" w:hAnsi="Times New Roman" w:cs="Times New Roman"/>
          <w:bCs/>
          <w:sz w:val="28"/>
          <w:szCs w:val="28"/>
        </w:rPr>
        <w:t>воздухе помещений</w:t>
      </w:r>
      <w:r>
        <w:rPr>
          <w:rFonts w:ascii="Times New Roman" w:hAnsi="Times New Roman" w:cs="Times New Roman"/>
          <w:sz w:val="28"/>
          <w:szCs w:val="28"/>
        </w:rPr>
        <w:t xml:space="preserve"> по регионам РК</w:t>
      </w:r>
    </w:p>
    <w:p w:rsidR="00A75A8D" w:rsidRDefault="00A75A8D">
      <w:pPr>
        <w:spacing w:after="0" w:line="240" w:lineRule="auto"/>
        <w:ind w:firstLine="567"/>
        <w:jc w:val="both"/>
        <w:rPr>
          <w:rFonts w:ascii="Times New Roman" w:hAnsi="Times New Roman" w:cs="Times New Roman"/>
          <w:sz w:val="28"/>
          <w:szCs w:val="28"/>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80"/>
        <w:gridCol w:w="1343"/>
        <w:gridCol w:w="1417"/>
        <w:gridCol w:w="567"/>
        <w:gridCol w:w="1134"/>
        <w:gridCol w:w="1134"/>
        <w:gridCol w:w="567"/>
        <w:gridCol w:w="1134"/>
      </w:tblGrid>
      <w:tr w:rsidR="00A75A8D">
        <w:trPr>
          <w:trHeight w:val="750"/>
        </w:trPr>
        <w:tc>
          <w:tcPr>
            <w:tcW w:w="2480" w:type="dxa"/>
            <w:shd w:val="clear" w:color="auto" w:fill="auto"/>
            <w:noWrap/>
            <w:vAlign w:val="center"/>
          </w:tcPr>
          <w:p w:rsidR="00A75A8D" w:rsidRDefault="008A6A51">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Регион/Показатель</w:t>
            </w:r>
          </w:p>
        </w:tc>
        <w:tc>
          <w:tcPr>
            <w:tcW w:w="1343" w:type="dxa"/>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Загрязнение в воздухе (%)</w:t>
            </w:r>
          </w:p>
        </w:tc>
        <w:tc>
          <w:tcPr>
            <w:tcW w:w="1417"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Заболе-ваемость (%)</w:t>
            </w:r>
          </w:p>
        </w:tc>
        <w:tc>
          <w:tcPr>
            <w:tcW w:w="567" w:type="dxa"/>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val="en-US" w:eastAsia="ru-RU"/>
              </w:rPr>
              <w:t>R</w:t>
            </w:r>
          </w:p>
        </w:tc>
        <w:tc>
          <w:tcPr>
            <w:tcW w:w="1134"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 </w:t>
            </w:r>
          </w:p>
          <w:p w:rsidR="00A75A8D" w:rsidRDefault="008A6A51">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value</w:t>
            </w:r>
          </w:p>
        </w:tc>
        <w:tc>
          <w:tcPr>
            <w:tcW w:w="1134"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Смерт</w:t>
            </w:r>
            <w:r>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eastAsia="ru-RU"/>
              </w:rPr>
              <w:t>ность (%)</w:t>
            </w:r>
          </w:p>
        </w:tc>
        <w:tc>
          <w:tcPr>
            <w:tcW w:w="567" w:type="dxa"/>
            <w:shd w:val="clear" w:color="auto" w:fill="auto"/>
            <w:vAlign w:val="center"/>
          </w:tcPr>
          <w:p w:rsidR="00A75A8D" w:rsidRDefault="008A6A51">
            <w:pPr>
              <w:spacing w:after="0" w:line="24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R</w:t>
            </w:r>
          </w:p>
        </w:tc>
        <w:tc>
          <w:tcPr>
            <w:tcW w:w="1134"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 value</w:t>
            </w:r>
          </w:p>
        </w:tc>
      </w:tr>
      <w:tr w:rsidR="00A75A8D">
        <w:trPr>
          <w:trHeight w:val="375"/>
        </w:trPr>
        <w:tc>
          <w:tcPr>
            <w:tcW w:w="2480" w:type="dxa"/>
            <w:shd w:val="clear" w:color="auto" w:fill="auto"/>
            <w:noWrap/>
            <w:vAlign w:val="center"/>
          </w:tcPr>
          <w:p w:rsidR="00A75A8D" w:rsidRDefault="008A6A51">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Акмолинская</w:t>
            </w:r>
          </w:p>
        </w:tc>
        <w:tc>
          <w:tcPr>
            <w:tcW w:w="1343"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66,7</w:t>
            </w:r>
          </w:p>
        </w:tc>
        <w:tc>
          <w:tcPr>
            <w:tcW w:w="1417"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34,9</w:t>
            </w:r>
          </w:p>
        </w:tc>
        <w:tc>
          <w:tcPr>
            <w:tcW w:w="567" w:type="dxa"/>
            <w:vMerge w:val="restart"/>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0,8</w:t>
            </w:r>
          </w:p>
        </w:tc>
        <w:tc>
          <w:tcPr>
            <w:tcW w:w="1134" w:type="dxa"/>
            <w:vMerge w:val="restart"/>
            <w:shd w:val="clear" w:color="auto" w:fill="auto"/>
            <w:noWrap/>
            <w:vAlign w:val="center"/>
          </w:tcPr>
          <w:p w:rsidR="00A75A8D" w:rsidRDefault="008A6A51">
            <w:pPr>
              <w:spacing w:after="0" w:line="240" w:lineRule="auto"/>
              <w:ind w:left="-112"/>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р&lt;0,001</w:t>
            </w:r>
          </w:p>
        </w:tc>
        <w:tc>
          <w:tcPr>
            <w:tcW w:w="1134"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19,6</w:t>
            </w:r>
          </w:p>
        </w:tc>
        <w:tc>
          <w:tcPr>
            <w:tcW w:w="567" w:type="dxa"/>
            <w:vMerge w:val="restart"/>
            <w:shd w:val="clear" w:color="auto" w:fill="auto"/>
            <w:noWrap/>
            <w:vAlign w:val="center"/>
          </w:tcPr>
          <w:p w:rsidR="00A75A8D" w:rsidRDefault="008A6A51">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0,7</w:t>
            </w:r>
          </w:p>
        </w:tc>
        <w:tc>
          <w:tcPr>
            <w:tcW w:w="1134" w:type="dxa"/>
            <w:vMerge w:val="restart"/>
            <w:shd w:val="clear" w:color="auto" w:fill="auto"/>
            <w:noWrap/>
            <w:vAlign w:val="center"/>
          </w:tcPr>
          <w:p w:rsidR="00A75A8D" w:rsidRDefault="008A6A51">
            <w:pPr>
              <w:spacing w:after="0" w:line="240" w:lineRule="auto"/>
              <w:ind w:left="-112" w:right="30"/>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p=0,004</w:t>
            </w:r>
          </w:p>
        </w:tc>
      </w:tr>
      <w:tr w:rsidR="00A75A8D">
        <w:trPr>
          <w:trHeight w:val="375"/>
        </w:trPr>
        <w:tc>
          <w:tcPr>
            <w:tcW w:w="2480" w:type="dxa"/>
            <w:shd w:val="clear" w:color="auto" w:fill="auto"/>
            <w:noWrap/>
            <w:vAlign w:val="center"/>
          </w:tcPr>
          <w:p w:rsidR="00A75A8D" w:rsidRDefault="008A6A51">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Костанайская</w:t>
            </w:r>
          </w:p>
        </w:tc>
        <w:tc>
          <w:tcPr>
            <w:tcW w:w="1343"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47,6</w:t>
            </w:r>
          </w:p>
        </w:tc>
        <w:tc>
          <w:tcPr>
            <w:tcW w:w="1417"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34,9</w:t>
            </w:r>
          </w:p>
        </w:tc>
        <w:tc>
          <w:tcPr>
            <w:tcW w:w="567"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1134"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c>
          <w:tcPr>
            <w:tcW w:w="1134"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15,4</w:t>
            </w:r>
          </w:p>
        </w:tc>
        <w:tc>
          <w:tcPr>
            <w:tcW w:w="567"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1134"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r>
      <w:tr w:rsidR="00A75A8D">
        <w:trPr>
          <w:trHeight w:val="375"/>
        </w:trPr>
        <w:tc>
          <w:tcPr>
            <w:tcW w:w="2480" w:type="dxa"/>
            <w:shd w:val="clear" w:color="auto" w:fill="auto"/>
            <w:noWrap/>
            <w:vAlign w:val="center"/>
          </w:tcPr>
          <w:p w:rsidR="00A75A8D" w:rsidRDefault="008A6A51">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СКО</w:t>
            </w:r>
          </w:p>
        </w:tc>
        <w:tc>
          <w:tcPr>
            <w:tcW w:w="1343"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43</w:t>
            </w:r>
          </w:p>
        </w:tc>
        <w:tc>
          <w:tcPr>
            <w:tcW w:w="1417"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39</w:t>
            </w:r>
          </w:p>
        </w:tc>
        <w:tc>
          <w:tcPr>
            <w:tcW w:w="567"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1134"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c>
          <w:tcPr>
            <w:tcW w:w="1134"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20,7</w:t>
            </w:r>
          </w:p>
        </w:tc>
        <w:tc>
          <w:tcPr>
            <w:tcW w:w="567"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1134"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r>
      <w:tr w:rsidR="00A75A8D">
        <w:trPr>
          <w:trHeight w:val="375"/>
        </w:trPr>
        <w:tc>
          <w:tcPr>
            <w:tcW w:w="2480" w:type="dxa"/>
            <w:shd w:val="clear" w:color="auto" w:fill="auto"/>
            <w:noWrap/>
            <w:vAlign w:val="center"/>
          </w:tcPr>
          <w:p w:rsidR="00A75A8D" w:rsidRDefault="008A6A51">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Карагандинская</w:t>
            </w:r>
          </w:p>
        </w:tc>
        <w:tc>
          <w:tcPr>
            <w:tcW w:w="1343"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36,9</w:t>
            </w:r>
          </w:p>
        </w:tc>
        <w:tc>
          <w:tcPr>
            <w:tcW w:w="1417"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29,2</w:t>
            </w:r>
          </w:p>
        </w:tc>
        <w:tc>
          <w:tcPr>
            <w:tcW w:w="567"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1134"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c>
          <w:tcPr>
            <w:tcW w:w="1134"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16,9</w:t>
            </w:r>
          </w:p>
        </w:tc>
        <w:tc>
          <w:tcPr>
            <w:tcW w:w="567"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1134"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r>
      <w:tr w:rsidR="00A75A8D">
        <w:trPr>
          <w:trHeight w:val="375"/>
        </w:trPr>
        <w:tc>
          <w:tcPr>
            <w:tcW w:w="2480" w:type="dxa"/>
            <w:shd w:val="clear" w:color="auto" w:fill="auto"/>
            <w:noWrap/>
            <w:vAlign w:val="center"/>
          </w:tcPr>
          <w:p w:rsidR="00A75A8D" w:rsidRDefault="008A6A51">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Павлодарская</w:t>
            </w:r>
          </w:p>
        </w:tc>
        <w:tc>
          <w:tcPr>
            <w:tcW w:w="1343"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33,8</w:t>
            </w:r>
          </w:p>
        </w:tc>
        <w:tc>
          <w:tcPr>
            <w:tcW w:w="1417"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36,6</w:t>
            </w:r>
          </w:p>
        </w:tc>
        <w:tc>
          <w:tcPr>
            <w:tcW w:w="567"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1134"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c>
          <w:tcPr>
            <w:tcW w:w="1134"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22</w:t>
            </w:r>
          </w:p>
        </w:tc>
        <w:tc>
          <w:tcPr>
            <w:tcW w:w="567"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1134"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r>
      <w:tr w:rsidR="00A75A8D">
        <w:trPr>
          <w:trHeight w:val="375"/>
        </w:trPr>
        <w:tc>
          <w:tcPr>
            <w:tcW w:w="2480" w:type="dxa"/>
            <w:shd w:val="clear" w:color="auto" w:fill="auto"/>
            <w:noWrap/>
            <w:vAlign w:val="center"/>
          </w:tcPr>
          <w:p w:rsidR="00A75A8D" w:rsidRDefault="008A6A51">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ВКО</w:t>
            </w:r>
          </w:p>
        </w:tc>
        <w:tc>
          <w:tcPr>
            <w:tcW w:w="1343"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29,1</w:t>
            </w:r>
          </w:p>
        </w:tc>
        <w:tc>
          <w:tcPr>
            <w:tcW w:w="1417"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30,2</w:t>
            </w:r>
          </w:p>
        </w:tc>
        <w:tc>
          <w:tcPr>
            <w:tcW w:w="567"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1134"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c>
          <w:tcPr>
            <w:tcW w:w="1134"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25</w:t>
            </w:r>
          </w:p>
        </w:tc>
        <w:tc>
          <w:tcPr>
            <w:tcW w:w="567"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1134"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r>
      <w:tr w:rsidR="00A75A8D">
        <w:trPr>
          <w:trHeight w:val="375"/>
        </w:trPr>
        <w:tc>
          <w:tcPr>
            <w:tcW w:w="2480" w:type="dxa"/>
            <w:shd w:val="clear" w:color="auto" w:fill="auto"/>
            <w:noWrap/>
            <w:vAlign w:val="center"/>
          </w:tcPr>
          <w:p w:rsidR="00A75A8D" w:rsidRDefault="008A6A51">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ЗКО</w:t>
            </w:r>
          </w:p>
        </w:tc>
        <w:tc>
          <w:tcPr>
            <w:tcW w:w="1343"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15,4</w:t>
            </w:r>
          </w:p>
        </w:tc>
        <w:tc>
          <w:tcPr>
            <w:tcW w:w="1417"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22,7</w:t>
            </w:r>
          </w:p>
        </w:tc>
        <w:tc>
          <w:tcPr>
            <w:tcW w:w="567"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1134"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c>
          <w:tcPr>
            <w:tcW w:w="1134"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14,6</w:t>
            </w:r>
          </w:p>
        </w:tc>
        <w:tc>
          <w:tcPr>
            <w:tcW w:w="567"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1134"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r>
      <w:tr w:rsidR="00A75A8D">
        <w:trPr>
          <w:trHeight w:val="375"/>
        </w:trPr>
        <w:tc>
          <w:tcPr>
            <w:tcW w:w="2480" w:type="dxa"/>
            <w:shd w:val="clear" w:color="auto" w:fill="auto"/>
            <w:noWrap/>
            <w:vAlign w:val="center"/>
          </w:tcPr>
          <w:p w:rsidR="00A75A8D" w:rsidRDefault="008A6A51">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Жамбылская</w:t>
            </w:r>
          </w:p>
        </w:tc>
        <w:tc>
          <w:tcPr>
            <w:tcW w:w="1343"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14,9</w:t>
            </w:r>
          </w:p>
        </w:tc>
        <w:tc>
          <w:tcPr>
            <w:tcW w:w="1417"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16,2</w:t>
            </w:r>
          </w:p>
        </w:tc>
        <w:tc>
          <w:tcPr>
            <w:tcW w:w="567"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1134"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c>
          <w:tcPr>
            <w:tcW w:w="1134"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12,3</w:t>
            </w:r>
          </w:p>
        </w:tc>
        <w:tc>
          <w:tcPr>
            <w:tcW w:w="567"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1134"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r>
      <w:tr w:rsidR="00A75A8D">
        <w:trPr>
          <w:trHeight w:val="375"/>
        </w:trPr>
        <w:tc>
          <w:tcPr>
            <w:tcW w:w="2480" w:type="dxa"/>
            <w:shd w:val="clear" w:color="auto" w:fill="auto"/>
            <w:noWrap/>
            <w:vAlign w:val="center"/>
          </w:tcPr>
          <w:p w:rsidR="00A75A8D" w:rsidRDefault="008A6A51">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ЮКО</w:t>
            </w:r>
          </w:p>
        </w:tc>
        <w:tc>
          <w:tcPr>
            <w:tcW w:w="1343"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12,8</w:t>
            </w:r>
          </w:p>
        </w:tc>
        <w:tc>
          <w:tcPr>
            <w:tcW w:w="1417"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8,9</w:t>
            </w:r>
          </w:p>
        </w:tc>
        <w:tc>
          <w:tcPr>
            <w:tcW w:w="567"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1134"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c>
          <w:tcPr>
            <w:tcW w:w="1134"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6,8</w:t>
            </w:r>
          </w:p>
        </w:tc>
        <w:tc>
          <w:tcPr>
            <w:tcW w:w="567"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1134"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r>
      <w:tr w:rsidR="00A75A8D">
        <w:trPr>
          <w:trHeight w:val="375"/>
        </w:trPr>
        <w:tc>
          <w:tcPr>
            <w:tcW w:w="2480" w:type="dxa"/>
            <w:shd w:val="clear" w:color="auto" w:fill="auto"/>
            <w:noWrap/>
            <w:vAlign w:val="center"/>
          </w:tcPr>
          <w:p w:rsidR="00A75A8D" w:rsidRDefault="008A6A51">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Алматы</w:t>
            </w:r>
          </w:p>
        </w:tc>
        <w:tc>
          <w:tcPr>
            <w:tcW w:w="1343"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12,8</w:t>
            </w:r>
          </w:p>
        </w:tc>
        <w:tc>
          <w:tcPr>
            <w:tcW w:w="1417"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18,2</w:t>
            </w:r>
          </w:p>
        </w:tc>
        <w:tc>
          <w:tcPr>
            <w:tcW w:w="567"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1134"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c>
          <w:tcPr>
            <w:tcW w:w="1134"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12,6</w:t>
            </w:r>
          </w:p>
        </w:tc>
        <w:tc>
          <w:tcPr>
            <w:tcW w:w="567"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1134"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r>
      <w:tr w:rsidR="00A75A8D">
        <w:trPr>
          <w:trHeight w:val="375"/>
        </w:trPr>
        <w:tc>
          <w:tcPr>
            <w:tcW w:w="2480" w:type="dxa"/>
            <w:shd w:val="clear" w:color="auto" w:fill="auto"/>
            <w:noWrap/>
            <w:vAlign w:val="center"/>
          </w:tcPr>
          <w:p w:rsidR="00A75A8D" w:rsidRDefault="008A6A51">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Актюбинская</w:t>
            </w:r>
          </w:p>
        </w:tc>
        <w:tc>
          <w:tcPr>
            <w:tcW w:w="1343"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7,1</w:t>
            </w:r>
          </w:p>
        </w:tc>
        <w:tc>
          <w:tcPr>
            <w:tcW w:w="1417"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w:t>
            </w:r>
          </w:p>
        </w:tc>
        <w:tc>
          <w:tcPr>
            <w:tcW w:w="567"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1134"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c>
          <w:tcPr>
            <w:tcW w:w="1134"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10,8</w:t>
            </w:r>
          </w:p>
        </w:tc>
        <w:tc>
          <w:tcPr>
            <w:tcW w:w="567"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1134"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r>
      <w:tr w:rsidR="00A75A8D">
        <w:trPr>
          <w:trHeight w:val="375"/>
        </w:trPr>
        <w:tc>
          <w:tcPr>
            <w:tcW w:w="2480" w:type="dxa"/>
            <w:shd w:val="clear" w:color="auto" w:fill="auto"/>
            <w:noWrap/>
            <w:vAlign w:val="center"/>
          </w:tcPr>
          <w:p w:rsidR="00A75A8D" w:rsidRDefault="008A6A51">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Кызылординская</w:t>
            </w:r>
          </w:p>
        </w:tc>
        <w:tc>
          <w:tcPr>
            <w:tcW w:w="1343"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6,2</w:t>
            </w:r>
          </w:p>
        </w:tc>
        <w:tc>
          <w:tcPr>
            <w:tcW w:w="1417"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15,9</w:t>
            </w:r>
          </w:p>
        </w:tc>
        <w:tc>
          <w:tcPr>
            <w:tcW w:w="567"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1134"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c>
          <w:tcPr>
            <w:tcW w:w="1134"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9,3</w:t>
            </w:r>
          </w:p>
        </w:tc>
        <w:tc>
          <w:tcPr>
            <w:tcW w:w="567"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1134"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r>
      <w:tr w:rsidR="00A75A8D">
        <w:trPr>
          <w:trHeight w:val="375"/>
        </w:trPr>
        <w:tc>
          <w:tcPr>
            <w:tcW w:w="2480" w:type="dxa"/>
            <w:shd w:val="clear" w:color="auto" w:fill="auto"/>
            <w:noWrap/>
            <w:vAlign w:val="center"/>
          </w:tcPr>
          <w:p w:rsidR="00A75A8D" w:rsidRDefault="008A6A51">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Мангистауская</w:t>
            </w:r>
          </w:p>
        </w:tc>
        <w:tc>
          <w:tcPr>
            <w:tcW w:w="1343"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5,5</w:t>
            </w:r>
          </w:p>
        </w:tc>
        <w:tc>
          <w:tcPr>
            <w:tcW w:w="1417"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13,3</w:t>
            </w:r>
          </w:p>
        </w:tc>
        <w:tc>
          <w:tcPr>
            <w:tcW w:w="567"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1134"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c>
          <w:tcPr>
            <w:tcW w:w="1134"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5,9</w:t>
            </w:r>
          </w:p>
        </w:tc>
        <w:tc>
          <w:tcPr>
            <w:tcW w:w="567"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1134"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r>
      <w:tr w:rsidR="00A75A8D">
        <w:trPr>
          <w:trHeight w:val="375"/>
        </w:trPr>
        <w:tc>
          <w:tcPr>
            <w:tcW w:w="2480" w:type="dxa"/>
            <w:shd w:val="clear" w:color="auto" w:fill="auto"/>
            <w:noWrap/>
            <w:vAlign w:val="center"/>
          </w:tcPr>
          <w:p w:rsidR="00A75A8D" w:rsidRDefault="008A6A51">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Атырауская</w:t>
            </w:r>
          </w:p>
        </w:tc>
        <w:tc>
          <w:tcPr>
            <w:tcW w:w="1343"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w:t>
            </w:r>
          </w:p>
        </w:tc>
        <w:tc>
          <w:tcPr>
            <w:tcW w:w="1417"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19,4</w:t>
            </w:r>
          </w:p>
        </w:tc>
        <w:tc>
          <w:tcPr>
            <w:tcW w:w="567"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1134"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c>
          <w:tcPr>
            <w:tcW w:w="1134"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10,9</w:t>
            </w:r>
          </w:p>
        </w:tc>
        <w:tc>
          <w:tcPr>
            <w:tcW w:w="567"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1134"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r>
    </w:tbl>
    <w:p w:rsidR="00A75A8D" w:rsidRDefault="008A6A51">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1312" behindDoc="0" locked="0" layoutInCell="1" allowOverlap="1">
            <wp:simplePos x="0" y="0"/>
            <wp:positionH relativeFrom="column">
              <wp:posOffset>7340600</wp:posOffset>
            </wp:positionH>
            <wp:positionV relativeFrom="paragraph">
              <wp:posOffset>60960</wp:posOffset>
            </wp:positionV>
            <wp:extent cx="3886200" cy="4526280"/>
            <wp:effectExtent l="0" t="0" r="635" b="0"/>
            <wp:wrapNone/>
            <wp:docPr id="36"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able"/>
                    <pic:cNvPicPr>
                      <a:picLocks noChangeAspect="1"/>
                    </pic:cNvPicPr>
                  </pic:nvPicPr>
                  <pic:blipFill>
                    <a:blip r:embed="rId24"/>
                    <a:stretch>
                      <a:fillRect/>
                    </a:stretch>
                  </pic:blipFill>
                  <pic:spPr>
                    <a:xfrm>
                      <a:off x="0" y="0"/>
                      <a:ext cx="3886199" cy="4526092"/>
                    </a:xfrm>
                    <a:prstGeom prst="rect">
                      <a:avLst/>
                    </a:prstGeom>
                  </pic:spPr>
                </pic:pic>
              </a:graphicData>
            </a:graphic>
          </wp:anchor>
        </w:drawing>
      </w:r>
      <w:r>
        <w:rPr>
          <w:rFonts w:ascii="Times New Roman" w:hAnsi="Times New Roman" w:cs="Times New Roman"/>
          <w:sz w:val="28"/>
          <w:szCs w:val="28"/>
        </w:rPr>
        <w:tab/>
      </w:r>
    </w:p>
    <w:p w:rsidR="00A75A8D" w:rsidRDefault="008A6A51">
      <w:pPr>
        <w:tabs>
          <w:tab w:val="left" w:pos="56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t>Результаты проведенного анализа показывают статистически достоверную прямую корреляционную связь между уровнем загрязнения радоном воздуха помещений и показателей заболеваемости и смертности от рака легкого по регионам РК с коэффициентом</w:t>
      </w:r>
      <w:r>
        <w:rPr>
          <w:rFonts w:ascii="Times New Roman" w:hAnsi="Times New Roman" w:cs="Times New Roman"/>
          <w:sz w:val="28"/>
          <w:szCs w:val="28"/>
        </w:rPr>
        <w:t xml:space="preserve"> корреляции 0,8 и 0,7 соответственно.</w:t>
      </w:r>
    </w:p>
    <w:p w:rsidR="00A75A8D" w:rsidRDefault="00A75A8D">
      <w:pPr>
        <w:spacing w:after="0" w:line="240" w:lineRule="auto"/>
        <w:jc w:val="both"/>
        <w:rPr>
          <w:rFonts w:ascii="Times New Roman" w:hAnsi="Times New Roman" w:cs="Times New Roman"/>
          <w:sz w:val="28"/>
          <w:szCs w:val="28"/>
        </w:rPr>
      </w:pPr>
    </w:p>
    <w:p w:rsidR="00A75A8D" w:rsidRDefault="008A6A51">
      <w:pPr>
        <w:tabs>
          <w:tab w:val="left" w:pos="142"/>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8 – Показатели заболеваемости и смертности от рака легкого в зависимости от радонового загрязнения в </w:t>
      </w:r>
      <w:r>
        <w:rPr>
          <w:rFonts w:ascii="Times New Roman" w:hAnsi="Times New Roman" w:cs="Times New Roman"/>
          <w:bCs/>
          <w:sz w:val="28"/>
          <w:szCs w:val="28"/>
        </w:rPr>
        <w:t>водоисточниках</w:t>
      </w:r>
      <w:r>
        <w:rPr>
          <w:rFonts w:ascii="Times New Roman" w:hAnsi="Times New Roman" w:cs="Times New Roman"/>
          <w:sz w:val="28"/>
          <w:szCs w:val="28"/>
        </w:rPr>
        <w:t xml:space="preserve"> по регионам РК</w:t>
      </w:r>
    </w:p>
    <w:p w:rsidR="00A75A8D" w:rsidRDefault="00A75A8D">
      <w:pPr>
        <w:spacing w:after="0" w:line="240" w:lineRule="auto"/>
        <w:jc w:val="both"/>
        <w:rPr>
          <w:rFonts w:ascii="Times New Roman" w:hAnsi="Times New Roman" w:cs="Times New Roman"/>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0"/>
        <w:gridCol w:w="1343"/>
        <w:gridCol w:w="1417"/>
        <w:gridCol w:w="566"/>
        <w:gridCol w:w="1135"/>
        <w:gridCol w:w="1134"/>
        <w:gridCol w:w="567"/>
        <w:gridCol w:w="1004"/>
      </w:tblGrid>
      <w:tr w:rsidR="00A75A8D">
        <w:trPr>
          <w:trHeight w:val="1500"/>
        </w:trPr>
        <w:tc>
          <w:tcPr>
            <w:tcW w:w="2480" w:type="dxa"/>
            <w:shd w:val="clear" w:color="auto" w:fill="auto"/>
            <w:noWrap/>
            <w:vAlign w:val="center"/>
          </w:tcPr>
          <w:p w:rsidR="00A75A8D" w:rsidRDefault="008A6A51">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Регион/Показатель</w:t>
            </w:r>
          </w:p>
        </w:tc>
        <w:tc>
          <w:tcPr>
            <w:tcW w:w="1343" w:type="dxa"/>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Загрязне-ние в питьевой воде (%)</w:t>
            </w:r>
          </w:p>
        </w:tc>
        <w:tc>
          <w:tcPr>
            <w:tcW w:w="1417"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Заболе-ваемость (%)</w:t>
            </w:r>
          </w:p>
        </w:tc>
        <w:tc>
          <w:tcPr>
            <w:tcW w:w="566" w:type="dxa"/>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val="en-US" w:eastAsia="ru-RU"/>
              </w:rPr>
              <w:t>R</w:t>
            </w:r>
          </w:p>
        </w:tc>
        <w:tc>
          <w:tcPr>
            <w:tcW w:w="1135"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Р </w:t>
            </w:r>
          </w:p>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value</w:t>
            </w:r>
          </w:p>
        </w:tc>
        <w:tc>
          <w:tcPr>
            <w:tcW w:w="1134"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Смерт</w:t>
            </w:r>
            <w:r>
              <w:rPr>
                <w:rFonts w:ascii="Times New Roman" w:eastAsia="Times New Roman" w:hAnsi="Times New Roman" w:cs="Times New Roman"/>
                <w:color w:val="000000"/>
                <w:sz w:val="28"/>
                <w:szCs w:val="28"/>
                <w:lang w:val="en-US" w:eastAsia="ru-RU"/>
              </w:rPr>
              <w:t>-</w:t>
            </w:r>
            <w:r>
              <w:rPr>
                <w:rFonts w:ascii="Times New Roman" w:eastAsia="Times New Roman" w:hAnsi="Times New Roman" w:cs="Times New Roman"/>
                <w:color w:val="000000"/>
                <w:sz w:val="28"/>
                <w:szCs w:val="28"/>
                <w:lang w:eastAsia="ru-RU"/>
              </w:rPr>
              <w:t>ность (%)</w:t>
            </w:r>
          </w:p>
        </w:tc>
        <w:tc>
          <w:tcPr>
            <w:tcW w:w="567" w:type="dxa"/>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val="en-US" w:eastAsia="ru-RU"/>
              </w:rPr>
              <w:t>R</w:t>
            </w:r>
          </w:p>
        </w:tc>
        <w:tc>
          <w:tcPr>
            <w:tcW w:w="992"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 value</w:t>
            </w:r>
          </w:p>
        </w:tc>
      </w:tr>
      <w:tr w:rsidR="00A75A8D">
        <w:trPr>
          <w:trHeight w:val="375"/>
        </w:trPr>
        <w:tc>
          <w:tcPr>
            <w:tcW w:w="2480" w:type="dxa"/>
            <w:shd w:val="clear" w:color="auto" w:fill="auto"/>
            <w:noWrap/>
            <w:vAlign w:val="center"/>
          </w:tcPr>
          <w:p w:rsidR="00A75A8D" w:rsidRDefault="008A6A51">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Акмолинская</w:t>
            </w:r>
          </w:p>
        </w:tc>
        <w:tc>
          <w:tcPr>
            <w:tcW w:w="1343"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32,1</w:t>
            </w:r>
          </w:p>
        </w:tc>
        <w:tc>
          <w:tcPr>
            <w:tcW w:w="1417"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34,9</w:t>
            </w:r>
          </w:p>
        </w:tc>
        <w:tc>
          <w:tcPr>
            <w:tcW w:w="566" w:type="dxa"/>
            <w:vMerge w:val="restart"/>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w:t>
            </w:r>
          </w:p>
        </w:tc>
        <w:tc>
          <w:tcPr>
            <w:tcW w:w="1135" w:type="dxa"/>
            <w:vMerge w:val="restart"/>
            <w:shd w:val="clear" w:color="auto" w:fill="auto"/>
            <w:noWrap/>
            <w:vAlign w:val="center"/>
          </w:tcPr>
          <w:p w:rsidR="00A75A8D" w:rsidRDefault="008A6A51">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p=0,01</w:t>
            </w:r>
          </w:p>
        </w:tc>
        <w:tc>
          <w:tcPr>
            <w:tcW w:w="1134"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19,6</w:t>
            </w:r>
          </w:p>
        </w:tc>
        <w:tc>
          <w:tcPr>
            <w:tcW w:w="567" w:type="dxa"/>
            <w:vMerge w:val="restart"/>
            <w:shd w:val="clear" w:color="auto" w:fill="auto"/>
            <w:noWrap/>
            <w:vAlign w:val="center"/>
          </w:tcPr>
          <w:p w:rsidR="00A75A8D" w:rsidRDefault="008A6A51">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0,6</w:t>
            </w:r>
          </w:p>
        </w:tc>
        <w:tc>
          <w:tcPr>
            <w:tcW w:w="992" w:type="dxa"/>
            <w:vMerge w:val="restart"/>
            <w:shd w:val="clear" w:color="auto" w:fill="auto"/>
            <w:noWrap/>
            <w:vAlign w:val="center"/>
          </w:tcPr>
          <w:p w:rsidR="00A75A8D" w:rsidRDefault="008A6A51">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p=0,02</w:t>
            </w:r>
          </w:p>
        </w:tc>
      </w:tr>
      <w:tr w:rsidR="00A75A8D">
        <w:trPr>
          <w:trHeight w:val="375"/>
        </w:trPr>
        <w:tc>
          <w:tcPr>
            <w:tcW w:w="2480" w:type="dxa"/>
            <w:shd w:val="clear" w:color="auto" w:fill="auto"/>
            <w:noWrap/>
            <w:vAlign w:val="center"/>
          </w:tcPr>
          <w:p w:rsidR="00A75A8D" w:rsidRDefault="008A6A51">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Костанайская</w:t>
            </w:r>
          </w:p>
        </w:tc>
        <w:tc>
          <w:tcPr>
            <w:tcW w:w="1343"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2,4</w:t>
            </w:r>
          </w:p>
        </w:tc>
        <w:tc>
          <w:tcPr>
            <w:tcW w:w="1417"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34,9</w:t>
            </w:r>
          </w:p>
        </w:tc>
        <w:tc>
          <w:tcPr>
            <w:tcW w:w="566"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1135"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c>
          <w:tcPr>
            <w:tcW w:w="1134"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15,4</w:t>
            </w:r>
          </w:p>
        </w:tc>
        <w:tc>
          <w:tcPr>
            <w:tcW w:w="567"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992"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r>
      <w:tr w:rsidR="00A75A8D">
        <w:trPr>
          <w:trHeight w:val="375"/>
        </w:trPr>
        <w:tc>
          <w:tcPr>
            <w:tcW w:w="2480" w:type="dxa"/>
            <w:shd w:val="clear" w:color="auto" w:fill="auto"/>
            <w:noWrap/>
            <w:vAlign w:val="center"/>
          </w:tcPr>
          <w:p w:rsidR="00A75A8D" w:rsidRDefault="008A6A51">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СКО</w:t>
            </w:r>
          </w:p>
        </w:tc>
        <w:tc>
          <w:tcPr>
            <w:tcW w:w="1343"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w:t>
            </w:r>
          </w:p>
        </w:tc>
        <w:tc>
          <w:tcPr>
            <w:tcW w:w="1417"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39</w:t>
            </w:r>
          </w:p>
        </w:tc>
        <w:tc>
          <w:tcPr>
            <w:tcW w:w="566"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1135"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c>
          <w:tcPr>
            <w:tcW w:w="1134"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20,7</w:t>
            </w:r>
          </w:p>
        </w:tc>
        <w:tc>
          <w:tcPr>
            <w:tcW w:w="567"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992"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r>
      <w:tr w:rsidR="00A75A8D">
        <w:trPr>
          <w:trHeight w:val="375"/>
        </w:trPr>
        <w:tc>
          <w:tcPr>
            <w:tcW w:w="2480" w:type="dxa"/>
            <w:shd w:val="clear" w:color="auto" w:fill="auto"/>
            <w:noWrap/>
            <w:vAlign w:val="center"/>
          </w:tcPr>
          <w:p w:rsidR="00A75A8D" w:rsidRDefault="008A6A51">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Карагандинская</w:t>
            </w:r>
          </w:p>
        </w:tc>
        <w:tc>
          <w:tcPr>
            <w:tcW w:w="1343"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11,5</w:t>
            </w:r>
          </w:p>
        </w:tc>
        <w:tc>
          <w:tcPr>
            <w:tcW w:w="1417"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29,2</w:t>
            </w:r>
          </w:p>
        </w:tc>
        <w:tc>
          <w:tcPr>
            <w:tcW w:w="566"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1135"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c>
          <w:tcPr>
            <w:tcW w:w="1134"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16,9</w:t>
            </w:r>
          </w:p>
        </w:tc>
        <w:tc>
          <w:tcPr>
            <w:tcW w:w="567"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992"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r>
      <w:tr w:rsidR="00A75A8D">
        <w:trPr>
          <w:trHeight w:val="375"/>
        </w:trPr>
        <w:tc>
          <w:tcPr>
            <w:tcW w:w="2480" w:type="dxa"/>
            <w:shd w:val="clear" w:color="auto" w:fill="auto"/>
            <w:noWrap/>
            <w:vAlign w:val="center"/>
          </w:tcPr>
          <w:p w:rsidR="00A75A8D" w:rsidRDefault="008A6A51">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Павлодарская</w:t>
            </w:r>
          </w:p>
        </w:tc>
        <w:tc>
          <w:tcPr>
            <w:tcW w:w="1343"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9,7</w:t>
            </w:r>
          </w:p>
        </w:tc>
        <w:tc>
          <w:tcPr>
            <w:tcW w:w="1417"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36,6</w:t>
            </w:r>
          </w:p>
        </w:tc>
        <w:tc>
          <w:tcPr>
            <w:tcW w:w="566"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1135"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c>
          <w:tcPr>
            <w:tcW w:w="1134"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22</w:t>
            </w:r>
          </w:p>
        </w:tc>
        <w:tc>
          <w:tcPr>
            <w:tcW w:w="567"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992"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r>
      <w:tr w:rsidR="00A75A8D">
        <w:trPr>
          <w:trHeight w:val="375"/>
        </w:trPr>
        <w:tc>
          <w:tcPr>
            <w:tcW w:w="2480" w:type="dxa"/>
            <w:shd w:val="clear" w:color="auto" w:fill="auto"/>
            <w:noWrap/>
            <w:vAlign w:val="center"/>
          </w:tcPr>
          <w:p w:rsidR="00A75A8D" w:rsidRDefault="008A6A51">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ВКО</w:t>
            </w:r>
          </w:p>
        </w:tc>
        <w:tc>
          <w:tcPr>
            <w:tcW w:w="1343"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6,9</w:t>
            </w:r>
          </w:p>
        </w:tc>
        <w:tc>
          <w:tcPr>
            <w:tcW w:w="1417"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30,2</w:t>
            </w:r>
          </w:p>
        </w:tc>
        <w:tc>
          <w:tcPr>
            <w:tcW w:w="566"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1135"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c>
          <w:tcPr>
            <w:tcW w:w="1134"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25</w:t>
            </w:r>
          </w:p>
        </w:tc>
        <w:tc>
          <w:tcPr>
            <w:tcW w:w="567"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992"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r>
      <w:tr w:rsidR="00A75A8D">
        <w:trPr>
          <w:trHeight w:val="375"/>
        </w:trPr>
        <w:tc>
          <w:tcPr>
            <w:tcW w:w="2480" w:type="dxa"/>
            <w:shd w:val="clear" w:color="auto" w:fill="auto"/>
            <w:noWrap/>
            <w:vAlign w:val="center"/>
          </w:tcPr>
          <w:p w:rsidR="00A75A8D" w:rsidRDefault="008A6A51">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ЗКО</w:t>
            </w:r>
          </w:p>
        </w:tc>
        <w:tc>
          <w:tcPr>
            <w:tcW w:w="1343"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w:t>
            </w:r>
          </w:p>
        </w:tc>
        <w:tc>
          <w:tcPr>
            <w:tcW w:w="1417"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22,7</w:t>
            </w:r>
          </w:p>
        </w:tc>
        <w:tc>
          <w:tcPr>
            <w:tcW w:w="566"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1135"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c>
          <w:tcPr>
            <w:tcW w:w="1134"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14,6</w:t>
            </w:r>
          </w:p>
        </w:tc>
        <w:tc>
          <w:tcPr>
            <w:tcW w:w="567"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992"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r>
      <w:tr w:rsidR="00A75A8D">
        <w:trPr>
          <w:trHeight w:val="375"/>
        </w:trPr>
        <w:tc>
          <w:tcPr>
            <w:tcW w:w="2480" w:type="dxa"/>
            <w:shd w:val="clear" w:color="auto" w:fill="auto"/>
            <w:noWrap/>
            <w:vAlign w:val="center"/>
          </w:tcPr>
          <w:p w:rsidR="00A75A8D" w:rsidRDefault="008A6A51">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Жамбылская</w:t>
            </w:r>
          </w:p>
        </w:tc>
        <w:tc>
          <w:tcPr>
            <w:tcW w:w="1343"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w:t>
            </w:r>
          </w:p>
        </w:tc>
        <w:tc>
          <w:tcPr>
            <w:tcW w:w="1417"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16,2</w:t>
            </w:r>
          </w:p>
        </w:tc>
        <w:tc>
          <w:tcPr>
            <w:tcW w:w="566"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1135"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c>
          <w:tcPr>
            <w:tcW w:w="1134"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12,3</w:t>
            </w:r>
          </w:p>
        </w:tc>
        <w:tc>
          <w:tcPr>
            <w:tcW w:w="567"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992"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r>
      <w:tr w:rsidR="00A75A8D">
        <w:trPr>
          <w:trHeight w:val="375"/>
        </w:trPr>
        <w:tc>
          <w:tcPr>
            <w:tcW w:w="2480" w:type="dxa"/>
            <w:shd w:val="clear" w:color="auto" w:fill="auto"/>
            <w:noWrap/>
            <w:vAlign w:val="center"/>
          </w:tcPr>
          <w:p w:rsidR="00A75A8D" w:rsidRDefault="008A6A51">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ЮКО</w:t>
            </w:r>
          </w:p>
        </w:tc>
        <w:tc>
          <w:tcPr>
            <w:tcW w:w="1343"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w:t>
            </w:r>
          </w:p>
        </w:tc>
        <w:tc>
          <w:tcPr>
            <w:tcW w:w="1417"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8,9</w:t>
            </w:r>
          </w:p>
        </w:tc>
        <w:tc>
          <w:tcPr>
            <w:tcW w:w="566"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1135"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c>
          <w:tcPr>
            <w:tcW w:w="1134"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6,8</w:t>
            </w:r>
          </w:p>
        </w:tc>
        <w:tc>
          <w:tcPr>
            <w:tcW w:w="567"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992"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r>
      <w:tr w:rsidR="00A75A8D">
        <w:trPr>
          <w:trHeight w:val="375"/>
        </w:trPr>
        <w:tc>
          <w:tcPr>
            <w:tcW w:w="2480" w:type="dxa"/>
            <w:shd w:val="clear" w:color="auto" w:fill="auto"/>
            <w:noWrap/>
            <w:vAlign w:val="center"/>
          </w:tcPr>
          <w:p w:rsidR="00A75A8D" w:rsidRDefault="008A6A51">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Алматы</w:t>
            </w:r>
          </w:p>
        </w:tc>
        <w:tc>
          <w:tcPr>
            <w:tcW w:w="1343"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0,6</w:t>
            </w:r>
          </w:p>
        </w:tc>
        <w:tc>
          <w:tcPr>
            <w:tcW w:w="1417"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18,2</w:t>
            </w:r>
          </w:p>
        </w:tc>
        <w:tc>
          <w:tcPr>
            <w:tcW w:w="566"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1135"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c>
          <w:tcPr>
            <w:tcW w:w="1134"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12,6</w:t>
            </w:r>
          </w:p>
        </w:tc>
        <w:tc>
          <w:tcPr>
            <w:tcW w:w="567"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992"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r>
      <w:tr w:rsidR="00A75A8D">
        <w:trPr>
          <w:trHeight w:val="375"/>
        </w:trPr>
        <w:tc>
          <w:tcPr>
            <w:tcW w:w="2480" w:type="dxa"/>
            <w:shd w:val="clear" w:color="auto" w:fill="auto"/>
            <w:noWrap/>
            <w:vAlign w:val="center"/>
          </w:tcPr>
          <w:p w:rsidR="00A75A8D" w:rsidRDefault="008A6A51">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Актюбинская</w:t>
            </w:r>
          </w:p>
        </w:tc>
        <w:tc>
          <w:tcPr>
            <w:tcW w:w="1343"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w:t>
            </w:r>
          </w:p>
        </w:tc>
        <w:tc>
          <w:tcPr>
            <w:tcW w:w="1417"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w:t>
            </w:r>
          </w:p>
        </w:tc>
        <w:tc>
          <w:tcPr>
            <w:tcW w:w="566"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1135"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c>
          <w:tcPr>
            <w:tcW w:w="1134"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10,8</w:t>
            </w:r>
          </w:p>
        </w:tc>
        <w:tc>
          <w:tcPr>
            <w:tcW w:w="567"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992"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r>
      <w:tr w:rsidR="00A75A8D">
        <w:trPr>
          <w:trHeight w:val="375"/>
        </w:trPr>
        <w:tc>
          <w:tcPr>
            <w:tcW w:w="2480" w:type="dxa"/>
            <w:shd w:val="clear" w:color="auto" w:fill="auto"/>
            <w:noWrap/>
            <w:vAlign w:val="center"/>
          </w:tcPr>
          <w:p w:rsidR="00A75A8D" w:rsidRDefault="008A6A51">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Кызылординская</w:t>
            </w:r>
          </w:p>
        </w:tc>
        <w:tc>
          <w:tcPr>
            <w:tcW w:w="1343"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w:t>
            </w:r>
          </w:p>
        </w:tc>
        <w:tc>
          <w:tcPr>
            <w:tcW w:w="1417"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15,9</w:t>
            </w:r>
          </w:p>
        </w:tc>
        <w:tc>
          <w:tcPr>
            <w:tcW w:w="566"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1135"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c>
          <w:tcPr>
            <w:tcW w:w="1134"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9,3</w:t>
            </w:r>
          </w:p>
        </w:tc>
        <w:tc>
          <w:tcPr>
            <w:tcW w:w="567"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992"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r>
      <w:tr w:rsidR="00A75A8D">
        <w:trPr>
          <w:trHeight w:val="375"/>
        </w:trPr>
        <w:tc>
          <w:tcPr>
            <w:tcW w:w="2480" w:type="dxa"/>
            <w:shd w:val="clear" w:color="auto" w:fill="auto"/>
            <w:noWrap/>
            <w:vAlign w:val="center"/>
          </w:tcPr>
          <w:p w:rsidR="00A75A8D" w:rsidRDefault="008A6A51">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Мангистауская</w:t>
            </w:r>
          </w:p>
        </w:tc>
        <w:tc>
          <w:tcPr>
            <w:tcW w:w="1343"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0,2</w:t>
            </w:r>
          </w:p>
        </w:tc>
        <w:tc>
          <w:tcPr>
            <w:tcW w:w="1417"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13,3</w:t>
            </w:r>
          </w:p>
        </w:tc>
        <w:tc>
          <w:tcPr>
            <w:tcW w:w="566"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1135"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c>
          <w:tcPr>
            <w:tcW w:w="1134"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5,9</w:t>
            </w:r>
          </w:p>
        </w:tc>
        <w:tc>
          <w:tcPr>
            <w:tcW w:w="567"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992"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r>
      <w:tr w:rsidR="00A75A8D">
        <w:trPr>
          <w:trHeight w:val="375"/>
        </w:trPr>
        <w:tc>
          <w:tcPr>
            <w:tcW w:w="2480" w:type="dxa"/>
            <w:shd w:val="clear" w:color="auto" w:fill="auto"/>
            <w:noWrap/>
            <w:vAlign w:val="center"/>
          </w:tcPr>
          <w:p w:rsidR="00A75A8D" w:rsidRDefault="008A6A51">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Атырауская</w:t>
            </w:r>
          </w:p>
        </w:tc>
        <w:tc>
          <w:tcPr>
            <w:tcW w:w="1343"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0,1</w:t>
            </w:r>
          </w:p>
        </w:tc>
        <w:tc>
          <w:tcPr>
            <w:tcW w:w="1417"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19,4</w:t>
            </w:r>
          </w:p>
        </w:tc>
        <w:tc>
          <w:tcPr>
            <w:tcW w:w="566"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1135"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c>
          <w:tcPr>
            <w:tcW w:w="1134" w:type="dxa"/>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10,9</w:t>
            </w:r>
          </w:p>
        </w:tc>
        <w:tc>
          <w:tcPr>
            <w:tcW w:w="567" w:type="dxa"/>
            <w:vMerge/>
            <w:vAlign w:val="center"/>
          </w:tcPr>
          <w:p w:rsidR="00A75A8D" w:rsidRDefault="00A75A8D">
            <w:pPr>
              <w:spacing w:after="0" w:line="240" w:lineRule="auto"/>
              <w:rPr>
                <w:rFonts w:ascii="Times New Roman" w:eastAsia="Times New Roman" w:hAnsi="Times New Roman" w:cs="Times New Roman"/>
                <w:color w:val="000000"/>
                <w:sz w:val="28"/>
                <w:szCs w:val="28"/>
                <w:lang w:eastAsia="ru-RU"/>
              </w:rPr>
            </w:pPr>
          </w:p>
        </w:tc>
        <w:tc>
          <w:tcPr>
            <w:tcW w:w="992" w:type="dxa"/>
            <w:vMerge/>
            <w:vAlign w:val="center"/>
          </w:tcPr>
          <w:p w:rsidR="00A75A8D" w:rsidRDefault="00A75A8D">
            <w:pPr>
              <w:spacing w:after="0" w:line="240" w:lineRule="auto"/>
              <w:rPr>
                <w:rFonts w:ascii="Times New Roman" w:eastAsia="Times New Roman" w:hAnsi="Times New Roman" w:cs="Times New Roman"/>
                <w:color w:val="123456"/>
                <w:sz w:val="28"/>
                <w:szCs w:val="28"/>
                <w:lang w:eastAsia="ru-RU"/>
              </w:rPr>
            </w:pPr>
          </w:p>
        </w:tc>
      </w:tr>
    </w:tbl>
    <w:p w:rsidR="00A75A8D" w:rsidRDefault="00A75A8D">
      <w:pPr>
        <w:spacing w:after="0" w:line="240" w:lineRule="auto"/>
        <w:jc w:val="both"/>
        <w:rPr>
          <w:rFonts w:ascii="Times New Roman" w:hAnsi="Times New Roman" w:cs="Times New Roman"/>
          <w:sz w:val="28"/>
          <w:szCs w:val="28"/>
        </w:rPr>
      </w:pPr>
    </w:p>
    <w:p w:rsidR="00A75A8D" w:rsidRDefault="008A6A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Данные из таблицы 8 показывают прямую, статистически достоверную,</w:t>
      </w:r>
      <w:r>
        <w:rPr>
          <w:rFonts w:ascii="Times New Roman" w:hAnsi="Times New Roman" w:cs="Times New Roman"/>
          <w:sz w:val="28"/>
          <w:szCs w:val="28"/>
        </w:rPr>
        <w:t xml:space="preserve"> корреляционную связь между уровнем загрязнения радоном водоисточников и показателей заболеваемости и смертности от рака легкого по регионам РК с коэффициентом корреляции 0,6.</w:t>
      </w:r>
    </w:p>
    <w:p w:rsidR="00A75A8D" w:rsidRDefault="008A6A51">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sz w:val="28"/>
          <w:szCs w:val="28"/>
        </w:rPr>
        <w:t>Таким образом, изучение трендов эпидемиологических показателей, а также географи</w:t>
      </w:r>
      <w:r>
        <w:rPr>
          <w:rFonts w:ascii="Times New Roman" w:hAnsi="Times New Roman" w:cs="Times New Roman"/>
          <w:sz w:val="28"/>
          <w:szCs w:val="28"/>
        </w:rPr>
        <w:t>ческих и половозрастных особенностей позволили нам определить регионы с высокими показателями заболеваемости и смертности от рака легкого и определить группы риска, которые наиболее подвержены данному заболеванию. Несмотря на общий тренд снижения уровня см</w:t>
      </w:r>
      <w:r>
        <w:rPr>
          <w:rFonts w:ascii="Times New Roman" w:hAnsi="Times New Roman" w:cs="Times New Roman"/>
          <w:sz w:val="28"/>
          <w:szCs w:val="28"/>
        </w:rPr>
        <w:t>ертности и заболеваемости в целом по стране, сохраняются регионы со стабильно высокими показателями, превышающим общереспубликанский: Восточно-Казахстанская, Северно-Казахстанская, Западно-Казахстанская,</w:t>
      </w:r>
      <w:r>
        <w:rPr>
          <w:rFonts w:ascii="Times New Roman" w:hAnsi="Times New Roman" w:cs="Times New Roman"/>
          <w:color w:val="1F497D" w:themeColor="text2"/>
          <w:sz w:val="28"/>
          <w:szCs w:val="28"/>
        </w:rPr>
        <w:t xml:space="preserve"> </w:t>
      </w:r>
      <w:r>
        <w:rPr>
          <w:rFonts w:ascii="Times New Roman" w:hAnsi="Times New Roman" w:cs="Times New Roman"/>
          <w:sz w:val="28"/>
          <w:szCs w:val="28"/>
        </w:rPr>
        <w:t>Павлодарская, Акмолинская, Костанайская и Карагандин</w:t>
      </w:r>
      <w:r>
        <w:rPr>
          <w:rFonts w:ascii="Times New Roman" w:hAnsi="Times New Roman" w:cs="Times New Roman"/>
          <w:sz w:val="28"/>
          <w:szCs w:val="28"/>
        </w:rPr>
        <w:t xml:space="preserve">ская области. В связи с чем, в данных регионах имеется необходимость в ранней диагностике рака легкого. Однако, из вышеуказанных проблемных регионов, только Восточно-Казахстанская, Павлодарская и </w:t>
      </w:r>
      <w:r>
        <w:rPr>
          <w:rFonts w:ascii="Times New Roman" w:hAnsi="Times New Roman" w:cs="Times New Roman"/>
          <w:color w:val="000000" w:themeColor="text1"/>
          <w:sz w:val="28"/>
          <w:szCs w:val="28"/>
        </w:rPr>
        <w:t xml:space="preserve">Костанайская области </w:t>
      </w:r>
      <w:r>
        <w:rPr>
          <w:rFonts w:ascii="Times New Roman" w:hAnsi="Times New Roman" w:cs="Times New Roman"/>
          <w:sz w:val="28"/>
          <w:szCs w:val="28"/>
        </w:rPr>
        <w:t>обладали необходимой технической оснаще</w:t>
      </w:r>
      <w:r>
        <w:rPr>
          <w:rFonts w:ascii="Times New Roman" w:hAnsi="Times New Roman" w:cs="Times New Roman"/>
          <w:sz w:val="28"/>
          <w:szCs w:val="28"/>
        </w:rPr>
        <w:t xml:space="preserve">нностью для проведения низкодозной компьютерной томографии. </w:t>
      </w:r>
    </w:p>
    <w:p w:rsidR="00A75A8D" w:rsidRDefault="00A75A8D">
      <w:pPr>
        <w:spacing w:after="0" w:line="240" w:lineRule="auto"/>
        <w:ind w:firstLine="567"/>
        <w:jc w:val="both"/>
        <w:rPr>
          <w:rFonts w:ascii="Times New Roman" w:hAnsi="Times New Roman" w:cs="Times New Roman"/>
          <w:color w:val="000000" w:themeColor="text1"/>
          <w:sz w:val="28"/>
          <w:szCs w:val="28"/>
        </w:rPr>
      </w:pPr>
    </w:p>
    <w:p w:rsidR="00A75A8D" w:rsidRDefault="008A6A51">
      <w:pPr>
        <w:pStyle w:val="af4"/>
        <w:spacing w:after="0" w:line="240" w:lineRule="auto"/>
        <w:ind w:firstLine="567"/>
        <w:jc w:val="both"/>
        <w:rPr>
          <w:rFonts w:ascii="Times New Roman" w:hAnsi="Times New Roman"/>
          <w:b/>
          <w:sz w:val="28"/>
        </w:rPr>
      </w:pPr>
      <w:bookmarkStart w:id="21" w:name="_Toc186925740"/>
      <w:r>
        <w:rPr>
          <w:rFonts w:ascii="Times New Roman" w:hAnsi="Times New Roman"/>
          <w:b/>
          <w:sz w:val="28"/>
        </w:rPr>
        <w:t>3.2 Общая характеристика выявленных легочных узлов при проведении низкодозной компьютерной томографии легких с определением диагностической эффективности метода</w:t>
      </w:r>
      <w:bookmarkEnd w:id="21"/>
    </w:p>
    <w:p w:rsidR="00A75A8D" w:rsidRDefault="00A75A8D">
      <w:pPr>
        <w:spacing w:after="0" w:line="240" w:lineRule="auto"/>
      </w:pPr>
    </w:p>
    <w:p w:rsidR="00A75A8D" w:rsidRDefault="008A6A51">
      <w:pPr>
        <w:pStyle w:val="af3"/>
        <w:rPr>
          <w:color w:val="FF0000"/>
        </w:rPr>
      </w:pPr>
      <w:r>
        <w:t xml:space="preserve">Проведенная низкодозная компьютерная томография позволила выявить легочные узлы у 1153 участников, что составило 31,4%. Выявленные изменения классифицированы в соответствии с международной классификацией </w:t>
      </w:r>
      <w:r>
        <w:rPr>
          <w:lang w:val="en-US"/>
        </w:rPr>
        <w:t>Lung</w:t>
      </w:r>
      <w:r>
        <w:t>-</w:t>
      </w:r>
      <w:r>
        <w:rPr>
          <w:lang w:val="en-US"/>
        </w:rPr>
        <w:t>RADS</w:t>
      </w:r>
      <w:r>
        <w:t xml:space="preserve"> (таблица 9). </w:t>
      </w:r>
    </w:p>
    <w:p w:rsidR="00A75A8D" w:rsidRDefault="00A75A8D">
      <w:pPr>
        <w:pStyle w:val="af3"/>
      </w:pPr>
    </w:p>
    <w:p w:rsidR="00A75A8D" w:rsidRDefault="008A6A51">
      <w:pPr>
        <w:pStyle w:val="af3"/>
        <w:ind w:hanging="34"/>
      </w:pPr>
      <w:r>
        <w:t>Таблица 9 - Распределение в</w:t>
      </w:r>
      <w:r>
        <w:t>ыявленных изменений в легких при низкодозной компьютерной томографии в соответствии с классификацией Lung-RADS (</w:t>
      </w:r>
      <w:r>
        <w:rPr>
          <w:lang w:val="en-US"/>
        </w:rPr>
        <w:t>n</w:t>
      </w:r>
      <w:r>
        <w:t>=3671)</w:t>
      </w:r>
    </w:p>
    <w:p w:rsidR="00A75A8D" w:rsidRDefault="00A75A8D">
      <w:pPr>
        <w:pStyle w:val="af3"/>
      </w:pPr>
    </w:p>
    <w:tbl>
      <w:tblPr>
        <w:tblW w:w="4940" w:type="pct"/>
        <w:tblInd w:w="84" w:type="dxa"/>
        <w:tblLook w:val="04A0" w:firstRow="1" w:lastRow="0" w:firstColumn="1" w:lastColumn="0" w:noHBand="0" w:noVBand="1"/>
      </w:tblPr>
      <w:tblGrid>
        <w:gridCol w:w="1133"/>
        <w:gridCol w:w="1041"/>
        <w:gridCol w:w="933"/>
        <w:gridCol w:w="1042"/>
        <w:gridCol w:w="933"/>
        <w:gridCol w:w="1042"/>
        <w:gridCol w:w="920"/>
        <w:gridCol w:w="836"/>
        <w:gridCol w:w="920"/>
        <w:gridCol w:w="744"/>
      </w:tblGrid>
      <w:tr w:rsidR="00A75A8D">
        <w:trPr>
          <w:trHeight w:val="300"/>
        </w:trPr>
        <w:tc>
          <w:tcPr>
            <w:tcW w:w="5000" w:type="pct"/>
            <w:gridSpan w:val="10"/>
            <w:tcBorders>
              <w:top w:val="single" w:sz="8" w:space="0" w:color="000000"/>
              <w:left w:val="single" w:sz="8" w:space="0" w:color="000000"/>
              <w:bottom w:val="single" w:sz="2" w:space="0" w:color="000000"/>
              <w:right w:val="single" w:sz="8" w:space="0" w:color="000000"/>
            </w:tcBorders>
            <w:shd w:val="clear" w:color="auto" w:fill="auto"/>
            <w:noWrap/>
            <w:vAlign w:val="bottom"/>
          </w:tcPr>
          <w:p w:rsidR="00A75A8D" w:rsidRDefault="008A6A51">
            <w:pPr>
              <w:spacing w:after="0" w:line="240" w:lineRule="auto"/>
              <w:jc w:val="center"/>
              <w:textAlignment w:val="bottom"/>
              <w:rPr>
                <w:rFonts w:ascii="Arial" w:hAnsi="Arial" w:cs="Arial"/>
                <w:b/>
                <w:bCs/>
                <w:color w:val="000000"/>
              </w:rPr>
            </w:pPr>
            <w:r>
              <w:rPr>
                <w:rFonts w:ascii="Times New Roman" w:eastAsia="SimSun" w:hAnsi="Times New Roman" w:cs="Times New Roman"/>
                <w:color w:val="000000"/>
                <w:sz w:val="28"/>
                <w:szCs w:val="28"/>
                <w:lang w:eastAsia="zh-CN" w:bidi="ar"/>
              </w:rPr>
              <w:t xml:space="preserve">Категория </w:t>
            </w:r>
            <w:r>
              <w:rPr>
                <w:rFonts w:ascii="Times New Roman" w:eastAsia="SimSun" w:hAnsi="Times New Roman" w:cs="Times New Roman"/>
                <w:color w:val="000000"/>
                <w:sz w:val="28"/>
                <w:szCs w:val="28"/>
                <w:lang w:val="en-US" w:eastAsia="zh-CN" w:bidi="ar"/>
              </w:rPr>
              <w:t>Lung</w:t>
            </w:r>
            <w:r>
              <w:rPr>
                <w:rFonts w:ascii="Times New Roman" w:eastAsia="SimSun" w:hAnsi="Times New Roman" w:cs="Times New Roman"/>
                <w:color w:val="000000"/>
                <w:sz w:val="28"/>
                <w:szCs w:val="28"/>
                <w:lang w:eastAsia="zh-CN" w:bidi="ar"/>
              </w:rPr>
              <w:t>-</w:t>
            </w:r>
            <w:r>
              <w:rPr>
                <w:rFonts w:ascii="Times New Roman" w:eastAsia="SimSun" w:hAnsi="Times New Roman" w:cs="Times New Roman"/>
                <w:color w:val="000000"/>
                <w:sz w:val="28"/>
                <w:szCs w:val="28"/>
                <w:lang w:val="en-US" w:eastAsia="zh-CN" w:bidi="ar"/>
              </w:rPr>
              <w:t>RADS</w:t>
            </w:r>
          </w:p>
        </w:tc>
      </w:tr>
      <w:tr w:rsidR="00A75A8D">
        <w:trPr>
          <w:trHeight w:val="280"/>
        </w:trPr>
        <w:tc>
          <w:tcPr>
            <w:tcW w:w="1138" w:type="pct"/>
            <w:gridSpan w:val="2"/>
            <w:tcBorders>
              <w:top w:val="single" w:sz="2" w:space="0" w:color="000000"/>
              <w:left w:val="single" w:sz="8"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bottom"/>
              <w:rPr>
                <w:rFonts w:ascii="Times New Roman" w:eastAsia="SimSun" w:hAnsi="Times New Roman" w:cs="Times New Roman"/>
                <w:color w:val="000000"/>
                <w:sz w:val="28"/>
                <w:szCs w:val="28"/>
                <w:lang w:eastAsia="zh-CN" w:bidi="ar"/>
              </w:rPr>
            </w:pPr>
            <w:r>
              <w:rPr>
                <w:rFonts w:ascii="Times New Roman" w:eastAsia="SimSun" w:hAnsi="Times New Roman" w:cs="Times New Roman"/>
                <w:color w:val="000000"/>
                <w:sz w:val="28"/>
                <w:szCs w:val="28"/>
                <w:lang w:eastAsia="zh-CN" w:bidi="ar"/>
              </w:rPr>
              <w:lastRenderedPageBreak/>
              <w:t>1</w:t>
            </w:r>
          </w:p>
        </w:tc>
        <w:tc>
          <w:tcPr>
            <w:tcW w:w="1035" w:type="pct"/>
            <w:gridSpan w:val="2"/>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bottom"/>
              <w:rPr>
                <w:rFonts w:ascii="Times New Roman" w:eastAsia="SimSun" w:hAnsi="Times New Roman" w:cs="Times New Roman"/>
                <w:color w:val="000000"/>
                <w:sz w:val="28"/>
                <w:szCs w:val="28"/>
                <w:lang w:eastAsia="zh-CN" w:bidi="ar"/>
              </w:rPr>
            </w:pPr>
            <w:r>
              <w:rPr>
                <w:rFonts w:ascii="Times New Roman" w:eastAsia="SimSun" w:hAnsi="Times New Roman" w:cs="Times New Roman"/>
                <w:color w:val="000000"/>
                <w:sz w:val="28"/>
                <w:szCs w:val="28"/>
                <w:lang w:eastAsia="zh-CN" w:bidi="ar"/>
              </w:rPr>
              <w:t>2</w:t>
            </w:r>
          </w:p>
        </w:tc>
        <w:tc>
          <w:tcPr>
            <w:tcW w:w="1035" w:type="pct"/>
            <w:gridSpan w:val="2"/>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bottom"/>
              <w:rPr>
                <w:rFonts w:ascii="Times New Roman" w:hAnsi="Times New Roman" w:cs="Times New Roman"/>
                <w:color w:val="000000"/>
                <w:sz w:val="28"/>
                <w:szCs w:val="28"/>
              </w:rPr>
            </w:pPr>
            <w:r>
              <w:rPr>
                <w:rFonts w:ascii="Times New Roman" w:eastAsia="SimSun" w:hAnsi="Times New Roman" w:cs="Times New Roman"/>
                <w:color w:val="000000"/>
                <w:sz w:val="28"/>
                <w:szCs w:val="28"/>
                <w:lang w:eastAsia="zh-CN" w:bidi="ar"/>
              </w:rPr>
              <w:t>3</w:t>
            </w:r>
          </w:p>
        </w:tc>
        <w:tc>
          <w:tcPr>
            <w:tcW w:w="920" w:type="pct"/>
            <w:gridSpan w:val="2"/>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bottom"/>
              <w:rPr>
                <w:rFonts w:ascii="Times New Roman" w:hAnsi="Times New Roman" w:cs="Times New Roman"/>
                <w:color w:val="000000"/>
                <w:sz w:val="28"/>
                <w:szCs w:val="28"/>
              </w:rPr>
            </w:pPr>
            <w:r>
              <w:rPr>
                <w:rFonts w:ascii="Times New Roman" w:eastAsia="SimSun" w:hAnsi="Times New Roman" w:cs="Times New Roman"/>
                <w:color w:val="000000"/>
                <w:sz w:val="28"/>
                <w:szCs w:val="28"/>
                <w:lang w:eastAsia="zh-CN" w:bidi="ar"/>
              </w:rPr>
              <w:t>4А</w:t>
            </w:r>
          </w:p>
        </w:tc>
        <w:tc>
          <w:tcPr>
            <w:tcW w:w="871" w:type="pct"/>
            <w:gridSpan w:val="2"/>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bottom"/>
              <w:rPr>
                <w:rFonts w:ascii="Times New Roman" w:hAnsi="Times New Roman" w:cs="Times New Roman"/>
                <w:color w:val="000000"/>
                <w:sz w:val="28"/>
                <w:szCs w:val="28"/>
              </w:rPr>
            </w:pPr>
            <w:r>
              <w:rPr>
                <w:rFonts w:ascii="Times New Roman" w:eastAsia="SimSun" w:hAnsi="Times New Roman" w:cs="Times New Roman"/>
                <w:color w:val="000000"/>
                <w:sz w:val="28"/>
                <w:szCs w:val="28"/>
                <w:lang w:eastAsia="zh-CN" w:bidi="ar"/>
              </w:rPr>
              <w:t>4В</w:t>
            </w:r>
          </w:p>
        </w:tc>
      </w:tr>
      <w:tr w:rsidR="00A75A8D">
        <w:trPr>
          <w:trHeight w:val="300"/>
        </w:trPr>
        <w:tc>
          <w:tcPr>
            <w:tcW w:w="593" w:type="pct"/>
            <w:tcBorders>
              <w:top w:val="single" w:sz="2" w:space="0" w:color="000000"/>
              <w:left w:val="single" w:sz="8" w:space="0" w:color="000000"/>
              <w:bottom w:val="single" w:sz="2" w:space="0" w:color="000000"/>
              <w:right w:val="single" w:sz="2" w:space="0" w:color="000000"/>
            </w:tcBorders>
            <w:shd w:val="clear" w:color="auto" w:fill="auto"/>
            <w:noWrap/>
            <w:vAlign w:val="bottom"/>
          </w:tcPr>
          <w:p w:rsidR="00A75A8D" w:rsidRDefault="008A6A51">
            <w:pPr>
              <w:spacing w:after="0" w:line="240" w:lineRule="auto"/>
              <w:jc w:val="center"/>
              <w:textAlignment w:val="bottom"/>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абс</w:t>
            </w:r>
          </w:p>
        </w:tc>
        <w:tc>
          <w:tcPr>
            <w:tcW w:w="545" w:type="pct"/>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8A6A51">
            <w:pPr>
              <w:spacing w:after="0" w:line="240" w:lineRule="auto"/>
              <w:jc w:val="center"/>
              <w:textAlignment w:val="bottom"/>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w:t>
            </w:r>
          </w:p>
        </w:tc>
        <w:tc>
          <w:tcPr>
            <w:tcW w:w="489"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bottom"/>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абс</w:t>
            </w:r>
          </w:p>
        </w:tc>
        <w:tc>
          <w:tcPr>
            <w:tcW w:w="546"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bottom"/>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w:t>
            </w:r>
          </w:p>
        </w:tc>
        <w:tc>
          <w:tcPr>
            <w:tcW w:w="489"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bottom"/>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абс</w:t>
            </w:r>
          </w:p>
        </w:tc>
        <w:tc>
          <w:tcPr>
            <w:tcW w:w="546"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bottom"/>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w:t>
            </w:r>
          </w:p>
        </w:tc>
        <w:tc>
          <w:tcPr>
            <w:tcW w:w="482"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bottom"/>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абс</w:t>
            </w:r>
          </w:p>
        </w:tc>
        <w:tc>
          <w:tcPr>
            <w:tcW w:w="438"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bottom"/>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w:t>
            </w:r>
          </w:p>
        </w:tc>
        <w:tc>
          <w:tcPr>
            <w:tcW w:w="482" w:type="pct"/>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after="0" w:line="240" w:lineRule="auto"/>
              <w:jc w:val="center"/>
              <w:textAlignment w:val="bottom"/>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абс</w:t>
            </w:r>
          </w:p>
        </w:tc>
        <w:tc>
          <w:tcPr>
            <w:tcW w:w="389" w:type="pct"/>
            <w:tcBorders>
              <w:top w:val="single" w:sz="2" w:space="0" w:color="000000"/>
              <w:left w:val="single" w:sz="2" w:space="0" w:color="000000"/>
              <w:bottom w:val="single" w:sz="2" w:space="0" w:color="000000"/>
              <w:right w:val="single" w:sz="8" w:space="0" w:color="000000"/>
            </w:tcBorders>
            <w:shd w:val="clear" w:color="auto" w:fill="auto"/>
            <w:noWrap/>
            <w:vAlign w:val="center"/>
          </w:tcPr>
          <w:p w:rsidR="00A75A8D" w:rsidRDefault="008A6A51">
            <w:pPr>
              <w:spacing w:after="0" w:line="240" w:lineRule="auto"/>
              <w:jc w:val="center"/>
              <w:textAlignment w:val="bottom"/>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w:t>
            </w:r>
          </w:p>
        </w:tc>
      </w:tr>
      <w:tr w:rsidR="00A75A8D">
        <w:trPr>
          <w:trHeight w:val="300"/>
        </w:trPr>
        <w:tc>
          <w:tcPr>
            <w:tcW w:w="593" w:type="pct"/>
            <w:tcBorders>
              <w:top w:val="single" w:sz="2" w:space="0" w:color="000000"/>
              <w:left w:val="single" w:sz="8" w:space="0" w:color="000000"/>
              <w:bottom w:val="single" w:sz="8" w:space="0" w:color="000000"/>
              <w:right w:val="single" w:sz="2" w:space="0" w:color="000000"/>
            </w:tcBorders>
            <w:shd w:val="clear" w:color="auto" w:fill="auto"/>
            <w:noWrap/>
            <w:vAlign w:val="bottom"/>
          </w:tcPr>
          <w:p w:rsidR="00A75A8D" w:rsidRDefault="008A6A51">
            <w:pPr>
              <w:spacing w:after="0" w:line="240" w:lineRule="auto"/>
              <w:jc w:val="center"/>
              <w:textAlignment w:val="bottom"/>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2518</w:t>
            </w:r>
          </w:p>
        </w:tc>
        <w:tc>
          <w:tcPr>
            <w:tcW w:w="545" w:type="pct"/>
            <w:tcBorders>
              <w:top w:val="single" w:sz="2" w:space="0" w:color="000000"/>
              <w:left w:val="single" w:sz="2" w:space="0" w:color="000000"/>
              <w:bottom w:val="single" w:sz="8" w:space="0" w:color="000000"/>
              <w:right w:val="single" w:sz="2" w:space="0" w:color="000000"/>
            </w:tcBorders>
            <w:shd w:val="clear" w:color="auto" w:fill="auto"/>
            <w:noWrap/>
            <w:vAlign w:val="bottom"/>
          </w:tcPr>
          <w:p w:rsidR="00A75A8D" w:rsidRDefault="008A6A51">
            <w:pPr>
              <w:spacing w:after="0" w:line="240" w:lineRule="auto"/>
              <w:jc w:val="center"/>
              <w:textAlignment w:val="bottom"/>
              <w:rPr>
                <w:rFonts w:ascii="Times New Roman" w:eastAsia="SimSun" w:hAnsi="Times New Roman" w:cs="Times New Roman"/>
                <w:color w:val="000000"/>
                <w:sz w:val="28"/>
                <w:szCs w:val="28"/>
                <w:lang w:val="en-US" w:eastAsia="zh-CN" w:bidi="ar"/>
              </w:rPr>
            </w:pPr>
            <w:r>
              <w:rPr>
                <w:rFonts w:ascii="Times New Roman" w:eastAsia="SimSun" w:hAnsi="Times New Roman" w:cs="Times New Roman"/>
                <w:color w:val="000000"/>
                <w:sz w:val="28"/>
                <w:szCs w:val="28"/>
                <w:lang w:val="en-US" w:eastAsia="zh-CN" w:bidi="ar"/>
              </w:rPr>
              <w:t>68,6</w:t>
            </w:r>
          </w:p>
        </w:tc>
        <w:tc>
          <w:tcPr>
            <w:tcW w:w="489" w:type="pct"/>
            <w:tcBorders>
              <w:top w:val="single" w:sz="2" w:space="0" w:color="000000"/>
              <w:left w:val="single" w:sz="2" w:space="0" w:color="000000"/>
              <w:bottom w:val="single" w:sz="8" w:space="0" w:color="000000"/>
              <w:right w:val="single" w:sz="2" w:space="0" w:color="000000"/>
            </w:tcBorders>
            <w:shd w:val="clear" w:color="auto" w:fill="auto"/>
            <w:noWrap/>
            <w:vAlign w:val="center"/>
          </w:tcPr>
          <w:p w:rsidR="00A75A8D" w:rsidRDefault="008A6A51">
            <w:pPr>
              <w:spacing w:after="0" w:line="240" w:lineRule="auto"/>
              <w:jc w:val="center"/>
              <w:textAlignment w:val="bottom"/>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539</w:t>
            </w:r>
          </w:p>
        </w:tc>
        <w:tc>
          <w:tcPr>
            <w:tcW w:w="546" w:type="pct"/>
            <w:tcBorders>
              <w:top w:val="single" w:sz="2" w:space="0" w:color="000000"/>
              <w:left w:val="single" w:sz="2" w:space="0" w:color="000000"/>
              <w:bottom w:val="single" w:sz="8" w:space="0" w:color="000000"/>
              <w:right w:val="single" w:sz="2" w:space="0" w:color="000000"/>
            </w:tcBorders>
            <w:shd w:val="clear" w:color="auto" w:fill="auto"/>
            <w:noWrap/>
            <w:vAlign w:val="center"/>
          </w:tcPr>
          <w:p w:rsidR="00A75A8D" w:rsidRDefault="008A6A51">
            <w:pPr>
              <w:spacing w:after="0" w:line="240" w:lineRule="auto"/>
              <w:jc w:val="center"/>
              <w:textAlignment w:val="bottom"/>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14,7</w:t>
            </w:r>
          </w:p>
        </w:tc>
        <w:tc>
          <w:tcPr>
            <w:tcW w:w="489" w:type="pct"/>
            <w:tcBorders>
              <w:top w:val="single" w:sz="2" w:space="0" w:color="000000"/>
              <w:left w:val="single" w:sz="2" w:space="0" w:color="000000"/>
              <w:bottom w:val="single" w:sz="8" w:space="0" w:color="000000"/>
              <w:right w:val="single" w:sz="2" w:space="0" w:color="000000"/>
            </w:tcBorders>
            <w:shd w:val="clear" w:color="auto" w:fill="auto"/>
            <w:noWrap/>
            <w:vAlign w:val="center"/>
          </w:tcPr>
          <w:p w:rsidR="00A75A8D" w:rsidRDefault="008A6A51">
            <w:pPr>
              <w:spacing w:after="0" w:line="240" w:lineRule="auto"/>
              <w:jc w:val="center"/>
              <w:textAlignment w:val="bottom"/>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447</w:t>
            </w:r>
          </w:p>
        </w:tc>
        <w:tc>
          <w:tcPr>
            <w:tcW w:w="546" w:type="pct"/>
            <w:tcBorders>
              <w:top w:val="single" w:sz="2" w:space="0" w:color="000000"/>
              <w:left w:val="single" w:sz="2" w:space="0" w:color="000000"/>
              <w:bottom w:val="single" w:sz="8" w:space="0" w:color="000000"/>
              <w:right w:val="single" w:sz="2" w:space="0" w:color="000000"/>
            </w:tcBorders>
            <w:shd w:val="clear" w:color="auto" w:fill="auto"/>
            <w:noWrap/>
            <w:vAlign w:val="center"/>
          </w:tcPr>
          <w:p w:rsidR="00A75A8D" w:rsidRDefault="008A6A51">
            <w:pPr>
              <w:spacing w:after="0" w:line="240" w:lineRule="auto"/>
              <w:jc w:val="center"/>
              <w:textAlignment w:val="bottom"/>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12,2</w:t>
            </w:r>
          </w:p>
        </w:tc>
        <w:tc>
          <w:tcPr>
            <w:tcW w:w="482" w:type="pct"/>
            <w:tcBorders>
              <w:top w:val="single" w:sz="2" w:space="0" w:color="000000"/>
              <w:left w:val="single" w:sz="2" w:space="0" w:color="000000"/>
              <w:bottom w:val="single" w:sz="8" w:space="0" w:color="000000"/>
              <w:right w:val="single" w:sz="2" w:space="0" w:color="000000"/>
            </w:tcBorders>
            <w:shd w:val="clear" w:color="auto" w:fill="auto"/>
            <w:noWrap/>
            <w:vAlign w:val="center"/>
          </w:tcPr>
          <w:p w:rsidR="00A75A8D" w:rsidRDefault="008A6A51">
            <w:pPr>
              <w:spacing w:after="0" w:line="240" w:lineRule="auto"/>
              <w:jc w:val="center"/>
              <w:textAlignment w:val="bottom"/>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84</w:t>
            </w:r>
          </w:p>
        </w:tc>
        <w:tc>
          <w:tcPr>
            <w:tcW w:w="438" w:type="pct"/>
            <w:tcBorders>
              <w:top w:val="single" w:sz="2" w:space="0" w:color="000000"/>
              <w:left w:val="single" w:sz="2" w:space="0" w:color="000000"/>
              <w:bottom w:val="single" w:sz="8" w:space="0" w:color="000000"/>
              <w:right w:val="single" w:sz="2" w:space="0" w:color="000000"/>
            </w:tcBorders>
            <w:shd w:val="clear" w:color="auto" w:fill="auto"/>
            <w:noWrap/>
            <w:vAlign w:val="center"/>
          </w:tcPr>
          <w:p w:rsidR="00A75A8D" w:rsidRDefault="008A6A51">
            <w:pPr>
              <w:spacing w:after="0" w:line="240" w:lineRule="auto"/>
              <w:jc w:val="center"/>
              <w:textAlignment w:val="bottom"/>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2,3</w:t>
            </w:r>
          </w:p>
        </w:tc>
        <w:tc>
          <w:tcPr>
            <w:tcW w:w="482" w:type="pct"/>
            <w:tcBorders>
              <w:top w:val="single" w:sz="2" w:space="0" w:color="000000"/>
              <w:left w:val="single" w:sz="2" w:space="0" w:color="000000"/>
              <w:bottom w:val="single" w:sz="8" w:space="0" w:color="000000"/>
              <w:right w:val="single" w:sz="2" w:space="0" w:color="000000"/>
            </w:tcBorders>
            <w:shd w:val="clear" w:color="auto" w:fill="auto"/>
            <w:noWrap/>
            <w:vAlign w:val="center"/>
          </w:tcPr>
          <w:p w:rsidR="00A75A8D" w:rsidRDefault="008A6A51">
            <w:pPr>
              <w:spacing w:after="0" w:line="240" w:lineRule="auto"/>
              <w:jc w:val="center"/>
              <w:textAlignment w:val="bottom"/>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83</w:t>
            </w:r>
          </w:p>
        </w:tc>
        <w:tc>
          <w:tcPr>
            <w:tcW w:w="389" w:type="pct"/>
            <w:tcBorders>
              <w:top w:val="single" w:sz="2" w:space="0" w:color="000000"/>
              <w:left w:val="single" w:sz="2" w:space="0" w:color="000000"/>
              <w:bottom w:val="single" w:sz="8" w:space="0" w:color="000000"/>
              <w:right w:val="single" w:sz="8" w:space="0" w:color="000000"/>
            </w:tcBorders>
            <w:shd w:val="clear" w:color="auto" w:fill="auto"/>
            <w:noWrap/>
            <w:vAlign w:val="center"/>
          </w:tcPr>
          <w:p w:rsidR="00A75A8D" w:rsidRDefault="008A6A51">
            <w:pPr>
              <w:spacing w:after="0" w:line="240" w:lineRule="auto"/>
              <w:jc w:val="center"/>
              <w:textAlignment w:val="bottom"/>
              <w:rPr>
                <w:rFonts w:ascii="Times New Roman" w:hAnsi="Times New Roman" w:cs="Times New Roman"/>
                <w:color w:val="000000"/>
                <w:sz w:val="28"/>
                <w:szCs w:val="28"/>
              </w:rPr>
            </w:pPr>
            <w:r>
              <w:rPr>
                <w:rFonts w:ascii="Times New Roman" w:eastAsia="SimSun" w:hAnsi="Times New Roman" w:cs="Times New Roman"/>
                <w:color w:val="000000"/>
                <w:sz w:val="28"/>
                <w:szCs w:val="28"/>
                <w:lang w:val="en-US" w:eastAsia="zh-CN" w:bidi="ar"/>
              </w:rPr>
              <w:t>2,2</w:t>
            </w:r>
          </w:p>
        </w:tc>
      </w:tr>
    </w:tbl>
    <w:p w:rsidR="00A75A8D" w:rsidRDefault="00A75A8D">
      <w:pPr>
        <w:pStyle w:val="af3"/>
      </w:pPr>
    </w:p>
    <w:p w:rsidR="00A75A8D" w:rsidRDefault="008A6A51">
      <w:pPr>
        <w:pStyle w:val="af3"/>
      </w:pPr>
      <w:r>
        <w:t xml:space="preserve">Как видно из таблицы 9, в 68,6% (2518/3671) случаев патологические изменения в легких не выявлены, что соответствует категории </w:t>
      </w:r>
      <w:r>
        <w:rPr>
          <w:lang w:val="en-US"/>
        </w:rPr>
        <w:t>Lung</w:t>
      </w:r>
      <w:r>
        <w:t>-</w:t>
      </w:r>
      <w:r>
        <w:rPr>
          <w:lang w:val="en-US"/>
        </w:rPr>
        <w:t>RADS</w:t>
      </w:r>
      <w:r>
        <w:t xml:space="preserve"> 1.   </w:t>
      </w:r>
    </w:p>
    <w:p w:rsidR="00A75A8D" w:rsidRDefault="008A6A51">
      <w:pPr>
        <w:pStyle w:val="af3"/>
      </w:pPr>
      <w:r>
        <w:t>В 14,7% (539/3671) случаев на низкодозных компьютерных томограммах в паренхиме легких визуализировались узлы разм</w:t>
      </w:r>
      <w:r>
        <w:t xml:space="preserve">ерами 4-6 мм, с четкими ровными контурами, что соответствует категории </w:t>
      </w:r>
      <w:r>
        <w:rPr>
          <w:lang w:val="en-US"/>
        </w:rPr>
        <w:t>Lung</w:t>
      </w:r>
      <w:r>
        <w:t>-</w:t>
      </w:r>
      <w:r>
        <w:rPr>
          <w:lang w:val="en-US"/>
        </w:rPr>
        <w:t>RADS</w:t>
      </w:r>
      <w:r>
        <w:t xml:space="preserve"> 2. </w:t>
      </w:r>
    </w:p>
    <w:p w:rsidR="00A75A8D" w:rsidRDefault="008A6A51">
      <w:pPr>
        <w:pStyle w:val="af3"/>
      </w:pPr>
      <w:r>
        <w:t xml:space="preserve">В соответствии с международной классификацией категории </w:t>
      </w:r>
      <w:r>
        <w:rPr>
          <w:lang w:val="en-US"/>
        </w:rPr>
        <w:t>Lung</w:t>
      </w:r>
      <w:r>
        <w:t>-</w:t>
      </w:r>
      <w:r>
        <w:rPr>
          <w:lang w:val="en-US"/>
        </w:rPr>
        <w:t>RADS</w:t>
      </w:r>
      <w:r>
        <w:t xml:space="preserve"> 1 и </w:t>
      </w:r>
      <w:r>
        <w:rPr>
          <w:lang w:val="en-US"/>
        </w:rPr>
        <w:t>Lung</w:t>
      </w:r>
      <w:r>
        <w:t>-</w:t>
      </w:r>
      <w:r>
        <w:rPr>
          <w:lang w:val="en-US"/>
        </w:rPr>
        <w:t>RADS</w:t>
      </w:r>
      <w:r>
        <w:t xml:space="preserve"> 2 относятся к отрицательным результатам скрининга и не требуют дальнейшего дообследования, </w:t>
      </w:r>
      <w:r>
        <w:t xml:space="preserve">а только динамическое наблюдение. </w:t>
      </w:r>
    </w:p>
    <w:p w:rsidR="00A75A8D" w:rsidRDefault="008A6A51">
      <w:pPr>
        <w:pStyle w:val="af3"/>
      </w:pPr>
      <w:r>
        <w:t xml:space="preserve">В 12,2% (447/3671) случаев патологические изменения в легких, соответствовали категории </w:t>
      </w:r>
      <w:r>
        <w:rPr>
          <w:lang w:val="en-US"/>
        </w:rPr>
        <w:t>Lung</w:t>
      </w:r>
      <w:r>
        <w:t>-</w:t>
      </w:r>
      <w:r>
        <w:rPr>
          <w:lang w:val="en-US"/>
        </w:rPr>
        <w:t>RADS</w:t>
      </w:r>
      <w:r>
        <w:t xml:space="preserve"> 3, которые характеризовались солидными узлами размером 6 мм в 31% (139/447) случаев, в 35% (156/447) случаев размером 7 мм и в 34% (152/447) размером 8 мм. Все узлы имели периферическую локализацию. В 83,7% случаев (374/447) узлы имели округлую форму, в 1</w:t>
      </w:r>
      <w:r>
        <w:t xml:space="preserve">6,3% случаев (73/447) имели овальную форму; в 91,5% случаев (409/447) имели четкие, ровные контуры, в 8,5% случаев (38/447) имели нечеткие, бугристые контуры. Диапазон плотности узлов составил от 15 до 73 </w:t>
      </w:r>
      <w:r>
        <w:rPr>
          <w:lang w:val="en-US"/>
        </w:rPr>
        <w:t>HU</w:t>
      </w:r>
      <w:r>
        <w:t xml:space="preserve"> со средним значением 44 </w:t>
      </w:r>
      <w:r>
        <w:rPr>
          <w:lang w:val="en-US"/>
        </w:rPr>
        <w:t>HU</w:t>
      </w:r>
      <w:r>
        <w:t>. Пример легочного узл</w:t>
      </w:r>
      <w:r>
        <w:t xml:space="preserve">а категории Lung-RADS 3 представлен на рисунке 15.  </w:t>
      </w:r>
    </w:p>
    <w:p w:rsidR="00A75A8D" w:rsidRDefault="008A6A51">
      <w:pPr>
        <w:pStyle w:val="af3"/>
      </w:pPr>
      <w:r>
        <w:t xml:space="preserve"> </w:t>
      </w:r>
    </w:p>
    <w:p w:rsidR="00A75A8D" w:rsidRDefault="008A6A51">
      <w:pPr>
        <w:pStyle w:val="af3"/>
      </w:pPr>
      <w:r>
        <w:rPr>
          <w:noProof/>
          <w:lang w:eastAsia="ru-RU"/>
        </w:rPr>
        <w:drawing>
          <wp:inline distT="0" distB="0" distL="114300" distR="114300">
            <wp:extent cx="5815965" cy="4416425"/>
            <wp:effectExtent l="0" t="0" r="13335" b="3175"/>
            <wp:docPr id="9" name="Изображение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 9"/>
                    <pic:cNvPicPr>
                      <a:picLocks noChangeAspect="1"/>
                    </pic:cNvPicPr>
                  </pic:nvPicPr>
                  <pic:blipFill>
                    <a:blip r:embed="rId25"/>
                    <a:stretch>
                      <a:fillRect/>
                    </a:stretch>
                  </pic:blipFill>
                  <pic:spPr>
                    <a:xfrm>
                      <a:off x="0" y="0"/>
                      <a:ext cx="5815965" cy="4416425"/>
                    </a:xfrm>
                    <a:prstGeom prst="rect">
                      <a:avLst/>
                    </a:prstGeom>
                    <a:noFill/>
                    <a:ln>
                      <a:noFill/>
                    </a:ln>
                  </pic:spPr>
                </pic:pic>
              </a:graphicData>
            </a:graphic>
          </wp:inline>
        </w:drawing>
      </w:r>
    </w:p>
    <w:p w:rsidR="00A75A8D" w:rsidRDefault="00A75A8D">
      <w:pPr>
        <w:pStyle w:val="af3"/>
      </w:pPr>
    </w:p>
    <w:p w:rsidR="00A75A8D" w:rsidRDefault="008A6A51">
      <w:pPr>
        <w:pStyle w:val="af3"/>
        <w:jc w:val="center"/>
      </w:pPr>
      <w:r>
        <w:t xml:space="preserve">Рисунок 15 – </w:t>
      </w:r>
      <w:r>
        <w:rPr>
          <w:color w:val="000000" w:themeColor="text1"/>
        </w:rPr>
        <w:t>НДКТ</w:t>
      </w:r>
      <w:r>
        <w:rPr>
          <w:color w:val="FF0000"/>
        </w:rPr>
        <w:t xml:space="preserve"> </w:t>
      </w:r>
      <w:r>
        <w:rPr>
          <w:color w:val="000000" w:themeColor="text1"/>
        </w:rPr>
        <w:t>легких</w:t>
      </w:r>
      <w:r>
        <w:rPr>
          <w:color w:val="FF0000"/>
        </w:rPr>
        <w:t xml:space="preserve"> </w:t>
      </w:r>
      <w:r>
        <w:t xml:space="preserve">(А, В – аксиальная проекция, Б, Г -   коронарная проекция) в динамике через 6 месяцев. В паренхиме </w:t>
      </w:r>
      <w:r>
        <w:rPr>
          <w:lang w:val="en-US"/>
        </w:rPr>
        <w:t>S</w:t>
      </w:r>
      <w:r>
        <w:t xml:space="preserve">8 сегмента нижней доли левого легкого определяется узел солидного типа, </w:t>
      </w:r>
      <w:r>
        <w:t>размерами 8х7 мм с четкими, ровными контурами. Категория Lung-RADS - 3</w:t>
      </w:r>
    </w:p>
    <w:p w:rsidR="00A75A8D" w:rsidRDefault="00A75A8D">
      <w:pPr>
        <w:pStyle w:val="af3"/>
      </w:pPr>
    </w:p>
    <w:p w:rsidR="00A75A8D" w:rsidRDefault="008A6A51">
      <w:pPr>
        <w:pStyle w:val="af3"/>
        <w:rPr>
          <w:color w:val="000000" w:themeColor="text1"/>
        </w:rPr>
      </w:pPr>
      <w:r>
        <w:t>Легочные узлы категория Lung-RADS 4А в нашем исследовании выявлены в 2,3% (84/3671) случаев и характеризовались в 92,8% (78/84) случаев солидной структурой и в 7,2% (6/84) случаев субс</w:t>
      </w:r>
      <w:r>
        <w:t>олидной. Распределение узлов по размерам представлено следующим образом: 14,3% (12/84) случаев</w:t>
      </w:r>
      <w:r>
        <w:rPr>
          <w:color w:val="FF0000"/>
        </w:rPr>
        <w:t xml:space="preserve"> </w:t>
      </w:r>
      <w:r>
        <w:t xml:space="preserve">9 мм, 27,4% (23/84) случаев 10 мм, 16,7% (14/84) случаев 11 мм, 8,3% (7/84) случаев 12 мм, 13,1% (11/84) случаев 13 мм, 9,5% (8/84) случаев 14 мм и 10,7% (9/84) </w:t>
      </w:r>
      <w:r>
        <w:t>случаев 15мм. Периферическая локализация (в пределах главных, долевых и сегментарных бронхов) узлов наблюдалась в 73,8% (62/84) случаев, центральная локализация узлов в 22,6% (22/84) случаев. В 41,6% (35/84) случаев форма легочных узлов была овальной, в 51</w:t>
      </w:r>
      <w:r>
        <w:t>,2% (43/84) случаев - круглой и в 7,2% (6/84) случаев - неправильной. Контуры узлов в 63,1% случаев (53/84) отмечались четкие ровные, в 29,8% (25/84) случаев четкие, бугристые контуры, в 4,7% (4/84) – нечеткие неровные контуры и в 2,4% (2/84) спикулообразн</w:t>
      </w:r>
      <w:r>
        <w:t xml:space="preserve">ые контуры. Плотность легочных узлов варьировала от 12 до 67 </w:t>
      </w:r>
      <w:r>
        <w:rPr>
          <w:lang w:val="en-US"/>
        </w:rPr>
        <w:t>HU</w:t>
      </w:r>
      <w:r>
        <w:t xml:space="preserve"> со средним значением 36 </w:t>
      </w:r>
      <w:r>
        <w:rPr>
          <w:lang w:val="en-US"/>
        </w:rPr>
        <w:t>HU</w:t>
      </w:r>
      <w:r>
        <w:t xml:space="preserve">. </w:t>
      </w:r>
      <w:r>
        <w:rPr>
          <w:color w:val="000000" w:themeColor="text1"/>
        </w:rPr>
        <w:t xml:space="preserve">Пример легочного узла категории </w:t>
      </w:r>
      <w:r>
        <w:t>Lung-RADS 4А представлен на</w:t>
      </w:r>
      <w:r>
        <w:rPr>
          <w:color w:val="000000" w:themeColor="text1"/>
        </w:rPr>
        <w:t xml:space="preserve"> р</w:t>
      </w:r>
      <w:r>
        <w:t xml:space="preserve">исунке 16. </w:t>
      </w:r>
    </w:p>
    <w:p w:rsidR="00A75A8D" w:rsidRDefault="008A6A51">
      <w:pPr>
        <w:pStyle w:val="af3"/>
        <w:ind w:hanging="34"/>
      </w:pPr>
      <w:r>
        <w:rPr>
          <w:noProof/>
          <w:lang w:eastAsia="ru-RU"/>
        </w:rPr>
        <w:drawing>
          <wp:inline distT="0" distB="0" distL="0" distR="0">
            <wp:extent cx="6109335" cy="2466975"/>
            <wp:effectExtent l="0" t="0" r="5715" b="9525"/>
            <wp:docPr id="1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6"/>
                    <pic:cNvPicPr>
                      <a:picLocks noChangeAspect="1"/>
                    </pic:cNvPicPr>
                  </pic:nvPicPr>
                  <pic:blipFill>
                    <a:blip r:embed="rId26"/>
                    <a:stretch>
                      <a:fillRect/>
                    </a:stretch>
                  </pic:blipFill>
                  <pic:spPr>
                    <a:xfrm>
                      <a:off x="0" y="0"/>
                      <a:ext cx="6109335" cy="2466975"/>
                    </a:xfrm>
                    <a:prstGeom prst="rect">
                      <a:avLst/>
                    </a:prstGeom>
                  </pic:spPr>
                </pic:pic>
              </a:graphicData>
            </a:graphic>
          </wp:inline>
        </w:drawing>
      </w:r>
    </w:p>
    <w:p w:rsidR="00A75A8D" w:rsidRDefault="00A75A8D">
      <w:pPr>
        <w:pStyle w:val="af3"/>
      </w:pPr>
    </w:p>
    <w:p w:rsidR="00A75A8D" w:rsidRDefault="008A6A51">
      <w:pPr>
        <w:pStyle w:val="af3"/>
        <w:jc w:val="center"/>
      </w:pPr>
      <w:r>
        <w:t xml:space="preserve">Рисунок 16 - </w:t>
      </w:r>
      <w:r>
        <w:rPr>
          <w:color w:val="000000" w:themeColor="text1"/>
        </w:rPr>
        <w:t xml:space="preserve">Низкодозные компьютерные томограммы легких: </w:t>
      </w:r>
      <w:r>
        <w:t>аксиальная (А) и коронарная (Б)</w:t>
      </w:r>
      <w:r>
        <w:t xml:space="preserve"> проекции. В паренхиме </w:t>
      </w:r>
      <w:r>
        <w:rPr>
          <w:lang w:val="en-US"/>
        </w:rPr>
        <w:t>S</w:t>
      </w:r>
      <w:r>
        <w:t>1+2 сегмента верхней доли левого легкого определяется солидный узел, размером 10х9 мм с четкими, бугристыми контурами.  Категория Lung-RADS – 4А</w:t>
      </w:r>
    </w:p>
    <w:p w:rsidR="00A75A8D" w:rsidRDefault="00A75A8D">
      <w:pPr>
        <w:pStyle w:val="af3"/>
      </w:pPr>
    </w:p>
    <w:p w:rsidR="00A75A8D" w:rsidRDefault="008A6A51">
      <w:pPr>
        <w:pStyle w:val="af3"/>
        <w:rPr>
          <w:color w:val="000000" w:themeColor="text1"/>
        </w:rPr>
      </w:pPr>
      <w:r>
        <w:t>Узлы, соответствующие категории Lung-RADS 4В в</w:t>
      </w:r>
      <w:r>
        <w:rPr>
          <w:lang w:eastAsia="ru-RU"/>
        </w:rPr>
        <w:t xml:space="preserve"> нашем исследовании выявлен</w:t>
      </w:r>
      <w:r>
        <w:rPr>
          <w:lang w:val="kk-KZ" w:eastAsia="ru-RU"/>
        </w:rPr>
        <w:t>ы</w:t>
      </w:r>
      <w:r>
        <w:rPr>
          <w:lang w:eastAsia="ru-RU"/>
        </w:rPr>
        <w:t xml:space="preserve"> в 2,2% (83/</w:t>
      </w:r>
      <w:r>
        <w:rPr>
          <w:lang w:eastAsia="ru-RU"/>
        </w:rPr>
        <w:t>3671) случаев и характеризовал</w:t>
      </w:r>
      <w:r>
        <w:rPr>
          <w:lang w:val="kk-KZ" w:eastAsia="ru-RU"/>
        </w:rPr>
        <w:t>и</w:t>
      </w:r>
      <w:r>
        <w:rPr>
          <w:lang w:eastAsia="ru-RU"/>
        </w:rPr>
        <w:t>сь в 88% (73/83) случаев солидной структурой и в 12% (10/83) случаев субсолидной структурой. Средний размер узлов составил 49,9 мм (16-81 мм). В 65% (54/83) случаев узлы имели периферическую локализацию, в 35% (29/83) случаев</w:t>
      </w:r>
      <w:r>
        <w:rPr>
          <w:lang w:eastAsia="ru-RU"/>
        </w:rPr>
        <w:t xml:space="preserve"> центральную локализацию. </w:t>
      </w:r>
      <w:r>
        <w:rPr>
          <w:lang w:eastAsia="ru-RU"/>
        </w:rPr>
        <w:lastRenderedPageBreak/>
        <w:t>Форма узлов в 25,3% (21/83) случаев характеризовалась правильной и в 74,7% (62/83) случаев неправильной. При анализе контуров легочных узлов в 39,7% (33/83) случаев контуры отмечались нечеткие, неровные, в 21,7% (18/83) случаев бу</w:t>
      </w:r>
      <w:r>
        <w:rPr>
          <w:lang w:eastAsia="ru-RU"/>
        </w:rPr>
        <w:t xml:space="preserve">гристые, в 35% (29/83) случаев спикулообразные и в 3,6% (3/83) случаев четкие, ровные. </w:t>
      </w:r>
      <w:r>
        <w:t xml:space="preserve">Плотность легочных узлов варьировала от 10 до 53 </w:t>
      </w:r>
      <w:r>
        <w:rPr>
          <w:lang w:val="en-US"/>
        </w:rPr>
        <w:t>HU</w:t>
      </w:r>
      <w:r>
        <w:t xml:space="preserve"> со средним значением 18,5 </w:t>
      </w:r>
      <w:r>
        <w:rPr>
          <w:lang w:val="en-US"/>
        </w:rPr>
        <w:t>HU</w:t>
      </w:r>
      <w:r>
        <w:t xml:space="preserve">. </w:t>
      </w:r>
      <w:r>
        <w:rPr>
          <w:color w:val="000000" w:themeColor="text1"/>
        </w:rPr>
        <w:t xml:space="preserve">Пример легочного узла категории </w:t>
      </w:r>
      <w:r>
        <w:t>Lung-RADS 4В представлен на</w:t>
      </w:r>
      <w:r>
        <w:rPr>
          <w:color w:val="000000" w:themeColor="text1"/>
        </w:rPr>
        <w:t xml:space="preserve"> р</w:t>
      </w:r>
      <w:r>
        <w:t>исунке 17.</w:t>
      </w:r>
    </w:p>
    <w:p w:rsidR="00A75A8D" w:rsidRDefault="008A6A51">
      <w:pPr>
        <w:pStyle w:val="af3"/>
        <w:rPr>
          <w:lang w:eastAsia="ru-RU"/>
        </w:rPr>
      </w:pPr>
      <w:r>
        <w:rPr>
          <w:lang w:eastAsia="ru-RU"/>
        </w:rPr>
        <w:t xml:space="preserve">    </w:t>
      </w:r>
    </w:p>
    <w:p w:rsidR="00A75A8D" w:rsidRDefault="008A6A51">
      <w:pPr>
        <w:pStyle w:val="af3"/>
        <w:ind w:hanging="34"/>
      </w:pPr>
      <w:r>
        <w:rPr>
          <w:noProof/>
          <w:lang w:eastAsia="ru-RU"/>
        </w:rPr>
        <w:drawing>
          <wp:inline distT="0" distB="0" distL="0" distR="0">
            <wp:extent cx="6127115" cy="2401570"/>
            <wp:effectExtent l="0" t="0" r="6985" b="17780"/>
            <wp:docPr id="1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5"/>
                    <pic:cNvPicPr>
                      <a:picLocks noChangeAspect="1"/>
                    </pic:cNvPicPr>
                  </pic:nvPicPr>
                  <pic:blipFill>
                    <a:blip r:embed="rId27"/>
                    <a:stretch>
                      <a:fillRect/>
                    </a:stretch>
                  </pic:blipFill>
                  <pic:spPr>
                    <a:xfrm>
                      <a:off x="0" y="0"/>
                      <a:ext cx="6127115" cy="2401570"/>
                    </a:xfrm>
                    <a:prstGeom prst="rect">
                      <a:avLst/>
                    </a:prstGeom>
                  </pic:spPr>
                </pic:pic>
              </a:graphicData>
            </a:graphic>
          </wp:inline>
        </w:drawing>
      </w:r>
    </w:p>
    <w:p w:rsidR="00A75A8D" w:rsidRDefault="00A75A8D">
      <w:pPr>
        <w:pStyle w:val="af3"/>
      </w:pPr>
    </w:p>
    <w:p w:rsidR="00A75A8D" w:rsidRDefault="008A6A51">
      <w:pPr>
        <w:pStyle w:val="af3"/>
        <w:jc w:val="center"/>
      </w:pPr>
      <w:r>
        <w:t>Рисунок</w:t>
      </w:r>
      <w:r>
        <w:t xml:space="preserve"> 17 - </w:t>
      </w:r>
      <w:r>
        <w:rPr>
          <w:color w:val="000000" w:themeColor="text1"/>
        </w:rPr>
        <w:t xml:space="preserve">Низкодозные компьютерные томограммы легких: </w:t>
      </w:r>
      <w:r>
        <w:t xml:space="preserve">аксиальная (А) и коронарная (Б) проекции. В паренхиме </w:t>
      </w:r>
      <w:r>
        <w:rPr>
          <w:lang w:val="en-US"/>
        </w:rPr>
        <w:t>S</w:t>
      </w:r>
      <w:r>
        <w:t>8 сегмента нижней доли правого легкого определяется узел солидного типа строения, размерами 20х19 мм со спикулообразными контурами. Категория Lung-RADS</w:t>
      </w:r>
      <w:r>
        <w:t xml:space="preserve"> – 4В</w:t>
      </w:r>
    </w:p>
    <w:p w:rsidR="00A75A8D" w:rsidRDefault="00A75A8D">
      <w:pPr>
        <w:pStyle w:val="af3"/>
      </w:pPr>
    </w:p>
    <w:p w:rsidR="00A75A8D" w:rsidRDefault="008A6A51">
      <w:pPr>
        <w:pStyle w:val="af3"/>
        <w:rPr>
          <w:lang w:eastAsia="ru-RU"/>
        </w:rPr>
      </w:pPr>
      <w:r>
        <w:rPr>
          <w:lang w:eastAsia="ru-RU"/>
        </w:rPr>
        <w:t>При проведении низкодозной компьютерной томографии органов грудной клетки, помимо узлов, выявлены изменения легких и других органов, доступных визуализаций, такие как: эмфизема (1284/35%), различные формы туберкулеза легких (9/0,2%) и метатуберкулез</w:t>
      </w:r>
      <w:r>
        <w:rPr>
          <w:lang w:eastAsia="ru-RU"/>
        </w:rPr>
        <w:t>ные изменения (868/23,5%), бронхоэктатическая болезнь (415/11,3%), коронаросклероз (1458/39,7%), аортосклероз 1176/32%, аневризма аорты (4/0,1%), грыжи пищеводного отверстия диафрагмы (193/5,3%), патологические изменения печени (65/1,8%), молочной железы (</w:t>
      </w:r>
      <w:r>
        <w:rPr>
          <w:lang w:eastAsia="ru-RU"/>
        </w:rPr>
        <w:t>4/0,1%) и щитовидной железы (27/0,7%) (рисунок 18). Данные дополнительно выявленных</w:t>
      </w:r>
      <w:r>
        <w:rPr>
          <w:color w:val="FF0000"/>
          <w:lang w:eastAsia="ru-RU"/>
        </w:rPr>
        <w:t xml:space="preserve"> </w:t>
      </w:r>
      <w:r>
        <w:rPr>
          <w:lang w:eastAsia="ru-RU"/>
        </w:rPr>
        <w:t>находок</w:t>
      </w:r>
      <w:r>
        <w:rPr>
          <w:color w:val="FF0000"/>
          <w:lang w:eastAsia="ru-RU"/>
        </w:rPr>
        <w:t xml:space="preserve"> </w:t>
      </w:r>
      <w:r>
        <w:rPr>
          <w:lang w:eastAsia="ru-RU"/>
        </w:rPr>
        <w:t>позволили рекомендовать клиницистам дальнейшее дообследование участникам исследования.</w:t>
      </w:r>
    </w:p>
    <w:p w:rsidR="00A75A8D" w:rsidRDefault="00A75A8D">
      <w:pPr>
        <w:pStyle w:val="af3"/>
        <w:rPr>
          <w:lang w:eastAsia="ru-RU"/>
        </w:rPr>
      </w:pPr>
    </w:p>
    <w:p w:rsidR="00A75A8D" w:rsidRDefault="008A6A51">
      <w:pPr>
        <w:pStyle w:val="af3"/>
        <w:ind w:hanging="34"/>
        <w:rPr>
          <w:rFonts w:eastAsia="Times New Roman"/>
          <w:kern w:val="24"/>
          <w:lang w:eastAsia="ru-RU"/>
        </w:rPr>
      </w:pPr>
      <w:r>
        <w:rPr>
          <w:noProof/>
          <w:lang w:eastAsia="ru-RU"/>
        </w:rPr>
        <w:lastRenderedPageBreak/>
        <w:drawing>
          <wp:inline distT="0" distB="0" distL="0" distR="0">
            <wp:extent cx="6111240" cy="3714750"/>
            <wp:effectExtent l="0" t="0" r="3810" b="0"/>
            <wp:docPr id="1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3"/>
                    <pic:cNvPicPr>
                      <a:picLocks noChangeAspect="1"/>
                    </pic:cNvPicPr>
                  </pic:nvPicPr>
                  <pic:blipFill>
                    <a:blip r:embed="rId28"/>
                    <a:stretch>
                      <a:fillRect/>
                    </a:stretch>
                  </pic:blipFill>
                  <pic:spPr>
                    <a:xfrm>
                      <a:off x="0" y="0"/>
                      <a:ext cx="6195775" cy="3766110"/>
                    </a:xfrm>
                    <a:prstGeom prst="rect">
                      <a:avLst/>
                    </a:prstGeom>
                  </pic:spPr>
                </pic:pic>
              </a:graphicData>
            </a:graphic>
          </wp:inline>
        </w:drawing>
      </w:r>
    </w:p>
    <w:p w:rsidR="00A75A8D" w:rsidRDefault="00A75A8D">
      <w:pPr>
        <w:pStyle w:val="af3"/>
        <w:rPr>
          <w:lang w:eastAsia="ru-RU"/>
        </w:rPr>
      </w:pPr>
    </w:p>
    <w:p w:rsidR="00A75A8D" w:rsidRDefault="008A6A51">
      <w:pPr>
        <w:pStyle w:val="af3"/>
        <w:jc w:val="center"/>
        <w:rPr>
          <w:lang w:eastAsia="ru-RU"/>
        </w:rPr>
      </w:pPr>
      <w:r>
        <w:rPr>
          <w:lang w:eastAsia="ru-RU"/>
        </w:rPr>
        <w:t xml:space="preserve">Рисунок 18 – </w:t>
      </w:r>
      <w:r>
        <w:t>НДКТ</w:t>
      </w:r>
      <w:r>
        <w:rPr>
          <w:color w:val="FF0000"/>
        </w:rPr>
        <w:t xml:space="preserve"> </w:t>
      </w:r>
      <w:r>
        <w:t>легких</w:t>
      </w:r>
      <w:r>
        <w:rPr>
          <w:color w:val="000000" w:themeColor="text1"/>
        </w:rPr>
        <w:t xml:space="preserve">: </w:t>
      </w:r>
      <w:r>
        <w:t xml:space="preserve">А </w:t>
      </w:r>
      <w:r>
        <w:rPr>
          <w:lang w:eastAsia="ru-RU"/>
        </w:rPr>
        <w:t xml:space="preserve"> - инфильтративный туберкулез в фазе обсеменения верхней доли правого легкого; Б - кальциноз коронарных артерий; В - аортосклероз; Г - грыжа пищеводного отверстия диафрагмы; Д – образование левой молочной железы; Е - образование левой доли печени</w:t>
      </w:r>
    </w:p>
    <w:p w:rsidR="00A75A8D" w:rsidRDefault="00A75A8D">
      <w:pPr>
        <w:pStyle w:val="af3"/>
      </w:pPr>
    </w:p>
    <w:p w:rsidR="00A75A8D" w:rsidRDefault="008A6A51">
      <w:pPr>
        <w:pStyle w:val="af3"/>
        <w:rPr>
          <w:color w:val="FF0000"/>
          <w:lang w:eastAsia="ru-RU"/>
        </w:rPr>
      </w:pPr>
      <w:r>
        <w:t xml:space="preserve"> </w:t>
      </w:r>
      <w:r>
        <w:rPr>
          <w:color w:val="000000" w:themeColor="text1"/>
          <w:lang w:eastAsia="ru-RU"/>
        </w:rPr>
        <w:t>Учитыва</w:t>
      </w:r>
      <w:r>
        <w:rPr>
          <w:color w:val="000000" w:themeColor="text1"/>
          <w:lang w:eastAsia="ru-RU"/>
        </w:rPr>
        <w:t xml:space="preserve">я, что важным фактором риска развития рака легкого является курение, нами проведен анализ наличия </w:t>
      </w:r>
      <w:r>
        <w:rPr>
          <w:lang w:eastAsia="ru-RU"/>
        </w:rPr>
        <w:t>связи между категориями Lung-RADS и статусом курения участников, по результатам анкетных данных (таблица 10).</w:t>
      </w:r>
    </w:p>
    <w:p w:rsidR="00A75A8D" w:rsidRDefault="00A75A8D">
      <w:pPr>
        <w:pStyle w:val="af3"/>
      </w:pPr>
    </w:p>
    <w:p w:rsidR="00A75A8D" w:rsidRDefault="008A6A51">
      <w:pPr>
        <w:pStyle w:val="af3"/>
        <w:ind w:hanging="34"/>
      </w:pPr>
      <w:r>
        <w:t>Таблица 10 - Распределение узлов по классификац</w:t>
      </w:r>
      <w:r>
        <w:t>ии Lung-RADS в зависимости от статуса курения</w:t>
      </w:r>
    </w:p>
    <w:p w:rsidR="00A75A8D" w:rsidRDefault="00A75A8D">
      <w:pPr>
        <w:pStyle w:val="af3"/>
      </w:pPr>
    </w:p>
    <w:tbl>
      <w:tblPr>
        <w:tblW w:w="4939"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99"/>
        <w:gridCol w:w="710"/>
        <w:gridCol w:w="641"/>
        <w:gridCol w:w="624"/>
        <w:gridCol w:w="636"/>
        <w:gridCol w:w="586"/>
        <w:gridCol w:w="653"/>
        <w:gridCol w:w="506"/>
        <w:gridCol w:w="527"/>
        <w:gridCol w:w="493"/>
        <w:gridCol w:w="575"/>
        <w:gridCol w:w="858"/>
        <w:gridCol w:w="1244"/>
      </w:tblGrid>
      <w:tr w:rsidR="00A75A8D">
        <w:trPr>
          <w:trHeight w:val="905"/>
        </w:trPr>
        <w:tc>
          <w:tcPr>
            <w:tcW w:w="784" w:type="pct"/>
            <w:vMerge w:val="restart"/>
            <w:shd w:val="clear" w:color="auto" w:fill="auto"/>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eastAsia="zh-CN" w:bidi="ar"/>
              </w:rPr>
              <w:t xml:space="preserve">Статус курения/ категория </w:t>
            </w:r>
            <w:r>
              <w:rPr>
                <w:rFonts w:ascii="Times New Roman" w:eastAsia="SimSun" w:hAnsi="Times New Roman" w:cs="Times New Roman"/>
                <w:sz w:val="24"/>
                <w:szCs w:val="24"/>
                <w:lang w:val="en-US" w:eastAsia="zh-CN" w:bidi="ar"/>
              </w:rPr>
              <w:t>Lung</w:t>
            </w:r>
            <w:r>
              <w:rPr>
                <w:rFonts w:ascii="Times New Roman" w:eastAsia="SimSun" w:hAnsi="Times New Roman" w:cs="Times New Roman"/>
                <w:sz w:val="24"/>
                <w:szCs w:val="24"/>
                <w:lang w:eastAsia="zh-CN" w:bidi="ar"/>
              </w:rPr>
              <w:t xml:space="preserve"> </w:t>
            </w:r>
            <w:r>
              <w:rPr>
                <w:rFonts w:ascii="Times New Roman" w:eastAsia="SimSun" w:hAnsi="Times New Roman" w:cs="Times New Roman"/>
                <w:sz w:val="24"/>
                <w:szCs w:val="24"/>
                <w:lang w:val="en-US" w:eastAsia="zh-CN" w:bidi="ar"/>
              </w:rPr>
              <w:t>RADS</w:t>
            </w:r>
          </w:p>
        </w:tc>
        <w:tc>
          <w:tcPr>
            <w:tcW w:w="706" w:type="pct"/>
            <w:gridSpan w:val="2"/>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LR 1</w:t>
            </w:r>
          </w:p>
        </w:tc>
        <w:tc>
          <w:tcPr>
            <w:tcW w:w="659" w:type="pct"/>
            <w:gridSpan w:val="2"/>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LR 2</w:t>
            </w:r>
          </w:p>
        </w:tc>
        <w:tc>
          <w:tcPr>
            <w:tcW w:w="649" w:type="pct"/>
            <w:gridSpan w:val="2"/>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LR 3</w:t>
            </w:r>
          </w:p>
        </w:tc>
        <w:tc>
          <w:tcPr>
            <w:tcW w:w="541" w:type="pct"/>
            <w:gridSpan w:val="2"/>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LR 4A</w:t>
            </w:r>
          </w:p>
        </w:tc>
        <w:tc>
          <w:tcPr>
            <w:tcW w:w="559" w:type="pct"/>
            <w:gridSpan w:val="2"/>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LR 4B</w:t>
            </w:r>
          </w:p>
        </w:tc>
        <w:tc>
          <w:tcPr>
            <w:tcW w:w="449"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eastAsia="zh-CN" w:bidi="ar"/>
              </w:rPr>
              <w:t>Всего</w:t>
            </w:r>
          </w:p>
        </w:tc>
        <w:tc>
          <w:tcPr>
            <w:tcW w:w="651" w:type="pct"/>
            <w:vMerge w:val="restart"/>
            <w:shd w:val="clear" w:color="auto" w:fill="auto"/>
            <w:noWrap/>
            <w:vAlign w:val="bottom"/>
          </w:tcPr>
          <w:p w:rsidR="00A75A8D" w:rsidRDefault="008A6A51">
            <w:pPr>
              <w:jc w:val="center"/>
              <w:textAlignment w:val="bottom"/>
              <w:rPr>
                <w:rFonts w:ascii="Times New Roman" w:eastAsia="SimSun" w:hAnsi="Times New Roman" w:cs="Times New Roman"/>
                <w:sz w:val="24"/>
                <w:szCs w:val="24"/>
                <w:lang w:val="en-US" w:eastAsia="zh-CN" w:bidi="ar"/>
              </w:rPr>
            </w:pPr>
            <w:r>
              <w:rPr>
                <w:rFonts w:ascii="Times New Roman" w:eastAsia="SimSun" w:hAnsi="Times New Roman" w:cs="Times New Roman"/>
                <w:sz w:val="24"/>
                <w:szCs w:val="24"/>
                <w:lang w:val="en-US" w:eastAsia="zh-CN" w:bidi="ar"/>
              </w:rPr>
              <w:t>Значения  χ2, df, p</w:t>
            </w:r>
          </w:p>
        </w:tc>
      </w:tr>
      <w:tr w:rsidR="00A75A8D">
        <w:trPr>
          <w:trHeight w:val="299"/>
        </w:trPr>
        <w:tc>
          <w:tcPr>
            <w:tcW w:w="784" w:type="pct"/>
            <w:vMerge/>
            <w:shd w:val="clear" w:color="auto" w:fill="auto"/>
            <w:vAlign w:val="bottom"/>
          </w:tcPr>
          <w:p w:rsidR="00A75A8D" w:rsidRDefault="00A75A8D">
            <w:pPr>
              <w:jc w:val="center"/>
              <w:rPr>
                <w:rFonts w:ascii="Times New Roman" w:hAnsi="Times New Roman" w:cs="Times New Roman"/>
                <w:sz w:val="24"/>
                <w:szCs w:val="24"/>
              </w:rPr>
            </w:pPr>
          </w:p>
        </w:tc>
        <w:tc>
          <w:tcPr>
            <w:tcW w:w="371"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n</w:t>
            </w:r>
          </w:p>
        </w:tc>
        <w:tc>
          <w:tcPr>
            <w:tcW w:w="335"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w:t>
            </w:r>
          </w:p>
        </w:tc>
        <w:tc>
          <w:tcPr>
            <w:tcW w:w="326"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n</w:t>
            </w:r>
          </w:p>
        </w:tc>
        <w:tc>
          <w:tcPr>
            <w:tcW w:w="332"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w:t>
            </w:r>
          </w:p>
        </w:tc>
        <w:tc>
          <w:tcPr>
            <w:tcW w:w="307"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n</w:t>
            </w:r>
          </w:p>
        </w:tc>
        <w:tc>
          <w:tcPr>
            <w:tcW w:w="341"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w:t>
            </w:r>
          </w:p>
        </w:tc>
        <w:tc>
          <w:tcPr>
            <w:tcW w:w="265"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n</w:t>
            </w:r>
          </w:p>
        </w:tc>
        <w:tc>
          <w:tcPr>
            <w:tcW w:w="275"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w:t>
            </w:r>
          </w:p>
        </w:tc>
        <w:tc>
          <w:tcPr>
            <w:tcW w:w="258"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n</w:t>
            </w:r>
          </w:p>
        </w:tc>
        <w:tc>
          <w:tcPr>
            <w:tcW w:w="300"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w:t>
            </w:r>
          </w:p>
        </w:tc>
        <w:tc>
          <w:tcPr>
            <w:tcW w:w="449"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n</w:t>
            </w:r>
          </w:p>
        </w:tc>
        <w:tc>
          <w:tcPr>
            <w:tcW w:w="651" w:type="pct"/>
            <w:vMerge/>
            <w:shd w:val="clear" w:color="auto" w:fill="auto"/>
            <w:noWrap/>
            <w:vAlign w:val="bottom"/>
          </w:tcPr>
          <w:p w:rsidR="00A75A8D" w:rsidRDefault="00A75A8D">
            <w:pPr>
              <w:jc w:val="center"/>
              <w:textAlignment w:val="bottom"/>
              <w:rPr>
                <w:rFonts w:ascii="Times New Roman" w:eastAsia="SimSun" w:hAnsi="Times New Roman" w:cs="Times New Roman"/>
                <w:sz w:val="24"/>
                <w:szCs w:val="24"/>
                <w:lang w:val="en-US" w:eastAsia="zh-CN" w:bidi="ar"/>
              </w:rPr>
            </w:pPr>
          </w:p>
        </w:tc>
      </w:tr>
      <w:tr w:rsidR="00A75A8D">
        <w:trPr>
          <w:trHeight w:val="320"/>
        </w:trPr>
        <w:tc>
          <w:tcPr>
            <w:tcW w:w="784" w:type="pct"/>
            <w:shd w:val="clear" w:color="auto" w:fill="auto"/>
            <w:noWrap/>
            <w:vAlign w:val="bottom"/>
          </w:tcPr>
          <w:p w:rsidR="00A75A8D" w:rsidRDefault="008A6A51">
            <w:pPr>
              <w:textAlignment w:val="bottom"/>
              <w:rPr>
                <w:rFonts w:ascii="Times New Roman" w:hAnsi="Times New Roman" w:cs="Times New Roman"/>
                <w:sz w:val="24"/>
                <w:szCs w:val="24"/>
              </w:rPr>
            </w:pPr>
            <w:r>
              <w:rPr>
                <w:rFonts w:ascii="Times New Roman" w:eastAsia="SimSun" w:hAnsi="Times New Roman" w:cs="Times New Roman"/>
                <w:sz w:val="24"/>
                <w:szCs w:val="24"/>
                <w:lang w:eastAsia="zh-CN" w:bidi="ar"/>
              </w:rPr>
              <w:t>Некурящие</w:t>
            </w:r>
          </w:p>
        </w:tc>
        <w:tc>
          <w:tcPr>
            <w:tcW w:w="371"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1536</w:t>
            </w:r>
          </w:p>
        </w:tc>
        <w:tc>
          <w:tcPr>
            <w:tcW w:w="335"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69.9</w:t>
            </w:r>
          </w:p>
        </w:tc>
        <w:tc>
          <w:tcPr>
            <w:tcW w:w="326"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328</w:t>
            </w:r>
          </w:p>
        </w:tc>
        <w:tc>
          <w:tcPr>
            <w:tcW w:w="332"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14.9</w:t>
            </w:r>
          </w:p>
        </w:tc>
        <w:tc>
          <w:tcPr>
            <w:tcW w:w="307"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275</w:t>
            </w:r>
          </w:p>
        </w:tc>
        <w:tc>
          <w:tcPr>
            <w:tcW w:w="341"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12.5</w:t>
            </w:r>
          </w:p>
        </w:tc>
        <w:tc>
          <w:tcPr>
            <w:tcW w:w="265"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26</w:t>
            </w:r>
          </w:p>
        </w:tc>
        <w:tc>
          <w:tcPr>
            <w:tcW w:w="275" w:type="pct"/>
            <w:shd w:val="clear" w:color="auto" w:fill="auto"/>
            <w:noWrap/>
            <w:vAlign w:val="bottom"/>
          </w:tcPr>
          <w:p w:rsidR="00A75A8D" w:rsidRDefault="008A6A51">
            <w:pPr>
              <w:jc w:val="center"/>
              <w:textAlignment w:val="bottom"/>
              <w:rPr>
                <w:rFonts w:ascii="Times New Roman" w:hAnsi="Times New Roman" w:cs="Times New Roman"/>
                <w:bCs/>
                <w:color w:val="000000" w:themeColor="text1"/>
                <w:sz w:val="24"/>
                <w:szCs w:val="24"/>
              </w:rPr>
            </w:pPr>
            <w:r>
              <w:rPr>
                <w:rFonts w:ascii="Times New Roman" w:eastAsia="SimSun" w:hAnsi="Times New Roman" w:cs="Times New Roman"/>
                <w:bCs/>
                <w:color w:val="000000" w:themeColor="text1"/>
                <w:sz w:val="24"/>
                <w:szCs w:val="24"/>
                <w:lang w:val="en-US" w:eastAsia="zh-CN" w:bidi="ar"/>
              </w:rPr>
              <w:t>1.2</w:t>
            </w:r>
          </w:p>
        </w:tc>
        <w:tc>
          <w:tcPr>
            <w:tcW w:w="258" w:type="pct"/>
            <w:shd w:val="clear" w:color="auto" w:fill="auto"/>
            <w:noWrap/>
            <w:vAlign w:val="bottom"/>
          </w:tcPr>
          <w:p w:rsidR="00A75A8D" w:rsidRDefault="008A6A51">
            <w:pPr>
              <w:jc w:val="center"/>
              <w:textAlignment w:val="bottom"/>
              <w:rPr>
                <w:rFonts w:ascii="Times New Roman" w:hAnsi="Times New Roman" w:cs="Times New Roman"/>
                <w:color w:val="000000" w:themeColor="text1"/>
                <w:sz w:val="24"/>
                <w:szCs w:val="24"/>
              </w:rPr>
            </w:pPr>
            <w:r>
              <w:rPr>
                <w:rFonts w:ascii="Times New Roman" w:eastAsia="SimSun" w:hAnsi="Times New Roman" w:cs="Times New Roman"/>
                <w:color w:val="000000" w:themeColor="text1"/>
                <w:sz w:val="24"/>
                <w:szCs w:val="24"/>
                <w:lang w:val="en-US" w:eastAsia="zh-CN" w:bidi="ar"/>
              </w:rPr>
              <w:t>33</w:t>
            </w:r>
          </w:p>
        </w:tc>
        <w:tc>
          <w:tcPr>
            <w:tcW w:w="300" w:type="pct"/>
            <w:shd w:val="clear" w:color="auto" w:fill="auto"/>
            <w:noWrap/>
            <w:vAlign w:val="bottom"/>
          </w:tcPr>
          <w:p w:rsidR="00A75A8D" w:rsidRDefault="008A6A51">
            <w:pPr>
              <w:jc w:val="center"/>
              <w:textAlignment w:val="bottom"/>
              <w:rPr>
                <w:rFonts w:ascii="Times New Roman" w:hAnsi="Times New Roman" w:cs="Times New Roman"/>
                <w:bCs/>
                <w:color w:val="000000" w:themeColor="text1"/>
                <w:sz w:val="24"/>
                <w:szCs w:val="24"/>
              </w:rPr>
            </w:pPr>
            <w:r>
              <w:rPr>
                <w:rFonts w:ascii="Times New Roman" w:eastAsia="SimSun" w:hAnsi="Times New Roman" w:cs="Times New Roman"/>
                <w:bCs/>
                <w:color w:val="000000" w:themeColor="text1"/>
                <w:sz w:val="24"/>
                <w:szCs w:val="24"/>
                <w:lang w:val="en-US" w:eastAsia="zh-CN" w:bidi="ar"/>
              </w:rPr>
              <w:t>1.5</w:t>
            </w:r>
          </w:p>
        </w:tc>
        <w:tc>
          <w:tcPr>
            <w:tcW w:w="449"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2198</w:t>
            </w:r>
          </w:p>
        </w:tc>
        <w:tc>
          <w:tcPr>
            <w:tcW w:w="651" w:type="pct"/>
            <w:vMerge w:val="restart"/>
            <w:shd w:val="clear" w:color="auto" w:fill="auto"/>
            <w:noWrap/>
            <w:vAlign w:val="center"/>
          </w:tcPr>
          <w:p w:rsidR="00A75A8D" w:rsidRDefault="008A6A51">
            <w:pPr>
              <w:jc w:val="center"/>
              <w:textAlignment w:val="bottom"/>
              <w:rPr>
                <w:rFonts w:ascii="Times New Roman" w:eastAsia="SimSun" w:hAnsi="Times New Roman" w:cs="Times New Roman"/>
                <w:sz w:val="24"/>
                <w:szCs w:val="24"/>
                <w:lang w:val="en-US" w:eastAsia="zh-CN" w:bidi="ar"/>
              </w:rPr>
            </w:pPr>
            <w:r>
              <w:rPr>
                <w:rFonts w:ascii="Times New Roman" w:eastAsia="SimSun" w:hAnsi="Times New Roman" w:cs="Times New Roman"/>
                <w:sz w:val="24"/>
                <w:szCs w:val="24"/>
                <w:lang w:val="en-US" w:eastAsia="zh-CN" w:bidi="ar"/>
              </w:rPr>
              <w:t xml:space="preserve">χ2=79.068          df=4          </w:t>
            </w:r>
            <w:r>
              <w:rPr>
                <w:rFonts w:ascii="Times New Roman" w:eastAsia="SimSun" w:hAnsi="Times New Roman" w:cs="Times New Roman"/>
                <w:sz w:val="24"/>
                <w:szCs w:val="24"/>
                <w:lang w:val="en-US" w:eastAsia="zh-CN" w:bidi="ar"/>
              </w:rPr>
              <w:t>p&lt;0,001</w:t>
            </w:r>
          </w:p>
        </w:tc>
      </w:tr>
      <w:tr w:rsidR="00A75A8D">
        <w:trPr>
          <w:trHeight w:val="320"/>
        </w:trPr>
        <w:tc>
          <w:tcPr>
            <w:tcW w:w="784" w:type="pct"/>
            <w:shd w:val="clear" w:color="auto" w:fill="auto"/>
            <w:noWrap/>
            <w:vAlign w:val="bottom"/>
          </w:tcPr>
          <w:p w:rsidR="00A75A8D" w:rsidRDefault="008A6A51">
            <w:pPr>
              <w:textAlignment w:val="bottom"/>
              <w:rPr>
                <w:rFonts w:ascii="Times New Roman" w:hAnsi="Times New Roman" w:cs="Times New Roman"/>
                <w:sz w:val="24"/>
                <w:szCs w:val="24"/>
              </w:rPr>
            </w:pPr>
            <w:r>
              <w:rPr>
                <w:rFonts w:ascii="Times New Roman" w:eastAsia="SimSun" w:hAnsi="Times New Roman" w:cs="Times New Roman"/>
                <w:sz w:val="24"/>
                <w:szCs w:val="24"/>
                <w:lang w:eastAsia="zh-CN" w:bidi="ar"/>
              </w:rPr>
              <w:t>Бывшие курильщики</w:t>
            </w:r>
          </w:p>
        </w:tc>
        <w:tc>
          <w:tcPr>
            <w:tcW w:w="371"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350</w:t>
            </w:r>
          </w:p>
        </w:tc>
        <w:tc>
          <w:tcPr>
            <w:tcW w:w="335"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68.1</w:t>
            </w:r>
          </w:p>
        </w:tc>
        <w:tc>
          <w:tcPr>
            <w:tcW w:w="326"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73</w:t>
            </w:r>
          </w:p>
        </w:tc>
        <w:tc>
          <w:tcPr>
            <w:tcW w:w="332"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14.2</w:t>
            </w:r>
          </w:p>
        </w:tc>
        <w:tc>
          <w:tcPr>
            <w:tcW w:w="307"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66</w:t>
            </w:r>
          </w:p>
        </w:tc>
        <w:tc>
          <w:tcPr>
            <w:tcW w:w="341"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12.8</w:t>
            </w:r>
          </w:p>
        </w:tc>
        <w:tc>
          <w:tcPr>
            <w:tcW w:w="265"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14</w:t>
            </w:r>
          </w:p>
        </w:tc>
        <w:tc>
          <w:tcPr>
            <w:tcW w:w="275" w:type="pct"/>
            <w:shd w:val="clear" w:color="auto" w:fill="auto"/>
            <w:noWrap/>
            <w:vAlign w:val="bottom"/>
          </w:tcPr>
          <w:p w:rsidR="00A75A8D" w:rsidRDefault="008A6A51">
            <w:pPr>
              <w:jc w:val="center"/>
              <w:textAlignment w:val="bottom"/>
              <w:rPr>
                <w:rFonts w:ascii="Times New Roman" w:hAnsi="Times New Roman" w:cs="Times New Roman"/>
                <w:bCs/>
                <w:color w:val="000000" w:themeColor="text1"/>
                <w:sz w:val="24"/>
                <w:szCs w:val="24"/>
              </w:rPr>
            </w:pPr>
            <w:r>
              <w:rPr>
                <w:rFonts w:ascii="Times New Roman" w:eastAsia="SimSun" w:hAnsi="Times New Roman" w:cs="Times New Roman"/>
                <w:bCs/>
                <w:color w:val="000000" w:themeColor="text1"/>
                <w:sz w:val="24"/>
                <w:szCs w:val="24"/>
                <w:lang w:val="en-US" w:eastAsia="zh-CN" w:bidi="ar"/>
              </w:rPr>
              <w:t>2.7</w:t>
            </w:r>
          </w:p>
        </w:tc>
        <w:tc>
          <w:tcPr>
            <w:tcW w:w="258" w:type="pct"/>
            <w:shd w:val="clear" w:color="auto" w:fill="auto"/>
            <w:noWrap/>
            <w:vAlign w:val="bottom"/>
          </w:tcPr>
          <w:p w:rsidR="00A75A8D" w:rsidRDefault="008A6A51">
            <w:pPr>
              <w:jc w:val="center"/>
              <w:textAlignment w:val="bottom"/>
              <w:rPr>
                <w:rFonts w:ascii="Times New Roman" w:hAnsi="Times New Roman" w:cs="Times New Roman"/>
                <w:color w:val="000000" w:themeColor="text1"/>
                <w:sz w:val="24"/>
                <w:szCs w:val="24"/>
              </w:rPr>
            </w:pPr>
            <w:r>
              <w:rPr>
                <w:rFonts w:ascii="Times New Roman" w:eastAsia="SimSun" w:hAnsi="Times New Roman" w:cs="Times New Roman"/>
                <w:color w:val="000000" w:themeColor="text1"/>
                <w:sz w:val="24"/>
                <w:szCs w:val="24"/>
                <w:lang w:val="en-US" w:eastAsia="zh-CN" w:bidi="ar"/>
              </w:rPr>
              <w:t>11</w:t>
            </w:r>
          </w:p>
        </w:tc>
        <w:tc>
          <w:tcPr>
            <w:tcW w:w="300" w:type="pct"/>
            <w:shd w:val="clear" w:color="auto" w:fill="auto"/>
            <w:noWrap/>
            <w:vAlign w:val="bottom"/>
          </w:tcPr>
          <w:p w:rsidR="00A75A8D" w:rsidRDefault="008A6A51">
            <w:pPr>
              <w:jc w:val="center"/>
              <w:textAlignment w:val="bottom"/>
              <w:rPr>
                <w:rFonts w:ascii="Times New Roman" w:hAnsi="Times New Roman" w:cs="Times New Roman"/>
                <w:bCs/>
                <w:color w:val="000000" w:themeColor="text1"/>
                <w:sz w:val="24"/>
                <w:szCs w:val="24"/>
              </w:rPr>
            </w:pPr>
            <w:r>
              <w:rPr>
                <w:rFonts w:ascii="Times New Roman" w:eastAsia="SimSun" w:hAnsi="Times New Roman" w:cs="Times New Roman"/>
                <w:bCs/>
                <w:color w:val="000000" w:themeColor="text1"/>
                <w:sz w:val="24"/>
                <w:szCs w:val="24"/>
                <w:lang w:val="en-US" w:eastAsia="zh-CN" w:bidi="ar"/>
              </w:rPr>
              <w:t>2.1</w:t>
            </w:r>
          </w:p>
        </w:tc>
        <w:tc>
          <w:tcPr>
            <w:tcW w:w="449"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514</w:t>
            </w:r>
          </w:p>
        </w:tc>
        <w:tc>
          <w:tcPr>
            <w:tcW w:w="651" w:type="pct"/>
            <w:vMerge/>
            <w:shd w:val="clear" w:color="auto" w:fill="auto"/>
            <w:noWrap/>
            <w:vAlign w:val="bottom"/>
          </w:tcPr>
          <w:p w:rsidR="00A75A8D" w:rsidRDefault="00A75A8D">
            <w:pPr>
              <w:jc w:val="center"/>
              <w:textAlignment w:val="bottom"/>
              <w:rPr>
                <w:rFonts w:ascii="Times New Roman" w:eastAsia="SimSun" w:hAnsi="Times New Roman" w:cs="Times New Roman"/>
                <w:sz w:val="24"/>
                <w:szCs w:val="24"/>
                <w:lang w:val="en-US" w:eastAsia="zh-CN" w:bidi="ar"/>
              </w:rPr>
            </w:pPr>
          </w:p>
        </w:tc>
      </w:tr>
      <w:tr w:rsidR="00A75A8D">
        <w:trPr>
          <w:trHeight w:val="320"/>
        </w:trPr>
        <w:tc>
          <w:tcPr>
            <w:tcW w:w="784" w:type="pct"/>
            <w:shd w:val="clear" w:color="auto" w:fill="auto"/>
            <w:noWrap/>
            <w:vAlign w:val="bottom"/>
          </w:tcPr>
          <w:p w:rsidR="00A75A8D" w:rsidRDefault="008A6A51">
            <w:pPr>
              <w:textAlignment w:val="bottom"/>
              <w:rPr>
                <w:rFonts w:ascii="Times New Roman" w:hAnsi="Times New Roman" w:cs="Times New Roman"/>
                <w:sz w:val="24"/>
                <w:szCs w:val="24"/>
              </w:rPr>
            </w:pPr>
            <w:r>
              <w:rPr>
                <w:rFonts w:ascii="Times New Roman" w:eastAsia="SimSun" w:hAnsi="Times New Roman" w:cs="Times New Roman"/>
                <w:sz w:val="24"/>
                <w:szCs w:val="24"/>
                <w:lang w:eastAsia="zh-CN" w:bidi="ar"/>
              </w:rPr>
              <w:t>Курящие</w:t>
            </w:r>
          </w:p>
        </w:tc>
        <w:tc>
          <w:tcPr>
            <w:tcW w:w="371"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632</w:t>
            </w:r>
          </w:p>
        </w:tc>
        <w:tc>
          <w:tcPr>
            <w:tcW w:w="335"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65.9</w:t>
            </w:r>
          </w:p>
        </w:tc>
        <w:tc>
          <w:tcPr>
            <w:tcW w:w="326"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138</w:t>
            </w:r>
          </w:p>
        </w:tc>
        <w:tc>
          <w:tcPr>
            <w:tcW w:w="332"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14.4</w:t>
            </w:r>
          </w:p>
        </w:tc>
        <w:tc>
          <w:tcPr>
            <w:tcW w:w="307"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106</w:t>
            </w:r>
          </w:p>
        </w:tc>
        <w:tc>
          <w:tcPr>
            <w:tcW w:w="341"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11.1</w:t>
            </w:r>
          </w:p>
        </w:tc>
        <w:tc>
          <w:tcPr>
            <w:tcW w:w="265"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44</w:t>
            </w:r>
          </w:p>
        </w:tc>
        <w:tc>
          <w:tcPr>
            <w:tcW w:w="275" w:type="pct"/>
            <w:shd w:val="clear" w:color="auto" w:fill="auto"/>
            <w:noWrap/>
            <w:vAlign w:val="bottom"/>
          </w:tcPr>
          <w:p w:rsidR="00A75A8D" w:rsidRDefault="008A6A51">
            <w:pPr>
              <w:jc w:val="center"/>
              <w:textAlignment w:val="bottom"/>
              <w:rPr>
                <w:rFonts w:ascii="Times New Roman" w:hAnsi="Times New Roman" w:cs="Times New Roman"/>
                <w:bCs/>
                <w:color w:val="000000" w:themeColor="text1"/>
                <w:sz w:val="24"/>
                <w:szCs w:val="24"/>
              </w:rPr>
            </w:pPr>
            <w:r>
              <w:rPr>
                <w:rFonts w:ascii="Times New Roman" w:eastAsia="SimSun" w:hAnsi="Times New Roman" w:cs="Times New Roman"/>
                <w:bCs/>
                <w:color w:val="000000" w:themeColor="text1"/>
                <w:sz w:val="24"/>
                <w:szCs w:val="24"/>
                <w:lang w:val="en-US" w:eastAsia="zh-CN" w:bidi="ar"/>
              </w:rPr>
              <w:t>4.6</w:t>
            </w:r>
          </w:p>
        </w:tc>
        <w:tc>
          <w:tcPr>
            <w:tcW w:w="258" w:type="pct"/>
            <w:shd w:val="clear" w:color="auto" w:fill="auto"/>
            <w:noWrap/>
            <w:vAlign w:val="bottom"/>
          </w:tcPr>
          <w:p w:rsidR="00A75A8D" w:rsidRDefault="008A6A51">
            <w:pPr>
              <w:jc w:val="center"/>
              <w:textAlignment w:val="bottom"/>
              <w:rPr>
                <w:rFonts w:ascii="Times New Roman" w:hAnsi="Times New Roman" w:cs="Times New Roman"/>
                <w:color w:val="000000" w:themeColor="text1"/>
                <w:sz w:val="24"/>
                <w:szCs w:val="24"/>
              </w:rPr>
            </w:pPr>
            <w:r>
              <w:rPr>
                <w:rFonts w:ascii="Times New Roman" w:eastAsia="SimSun" w:hAnsi="Times New Roman" w:cs="Times New Roman"/>
                <w:color w:val="000000" w:themeColor="text1"/>
                <w:sz w:val="24"/>
                <w:szCs w:val="24"/>
                <w:lang w:val="en-US" w:eastAsia="zh-CN" w:bidi="ar"/>
              </w:rPr>
              <w:t>39</w:t>
            </w:r>
          </w:p>
        </w:tc>
        <w:tc>
          <w:tcPr>
            <w:tcW w:w="300" w:type="pct"/>
            <w:shd w:val="clear" w:color="auto" w:fill="auto"/>
            <w:noWrap/>
            <w:vAlign w:val="bottom"/>
          </w:tcPr>
          <w:p w:rsidR="00A75A8D" w:rsidRDefault="008A6A51">
            <w:pPr>
              <w:jc w:val="center"/>
              <w:textAlignment w:val="bottom"/>
              <w:rPr>
                <w:rFonts w:ascii="Times New Roman" w:hAnsi="Times New Roman" w:cs="Times New Roman"/>
                <w:bCs/>
                <w:color w:val="000000" w:themeColor="text1"/>
                <w:sz w:val="24"/>
                <w:szCs w:val="24"/>
              </w:rPr>
            </w:pPr>
            <w:r>
              <w:rPr>
                <w:rFonts w:ascii="Times New Roman" w:eastAsia="SimSun" w:hAnsi="Times New Roman" w:cs="Times New Roman"/>
                <w:bCs/>
                <w:color w:val="000000" w:themeColor="text1"/>
                <w:sz w:val="24"/>
                <w:szCs w:val="24"/>
                <w:lang w:val="en-US" w:eastAsia="zh-CN" w:bidi="ar"/>
              </w:rPr>
              <w:t>4.1</w:t>
            </w:r>
          </w:p>
        </w:tc>
        <w:tc>
          <w:tcPr>
            <w:tcW w:w="449"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959</w:t>
            </w:r>
          </w:p>
        </w:tc>
        <w:tc>
          <w:tcPr>
            <w:tcW w:w="651" w:type="pct"/>
            <w:vMerge/>
            <w:shd w:val="clear" w:color="auto" w:fill="auto"/>
            <w:noWrap/>
            <w:vAlign w:val="bottom"/>
          </w:tcPr>
          <w:p w:rsidR="00A75A8D" w:rsidRDefault="00A75A8D">
            <w:pPr>
              <w:jc w:val="center"/>
              <w:textAlignment w:val="bottom"/>
              <w:rPr>
                <w:rFonts w:ascii="Times New Roman" w:eastAsia="SimSun" w:hAnsi="Times New Roman" w:cs="Times New Roman"/>
                <w:sz w:val="24"/>
                <w:szCs w:val="24"/>
                <w:lang w:val="en-US" w:eastAsia="zh-CN" w:bidi="ar"/>
              </w:rPr>
            </w:pPr>
          </w:p>
        </w:tc>
      </w:tr>
      <w:tr w:rsidR="00A75A8D">
        <w:trPr>
          <w:trHeight w:val="320"/>
        </w:trPr>
        <w:tc>
          <w:tcPr>
            <w:tcW w:w="784" w:type="pct"/>
            <w:shd w:val="clear" w:color="auto" w:fill="auto"/>
            <w:noWrap/>
            <w:vAlign w:val="bottom"/>
          </w:tcPr>
          <w:p w:rsidR="00A75A8D" w:rsidRDefault="008A6A51">
            <w:pPr>
              <w:textAlignment w:val="bottom"/>
              <w:rPr>
                <w:rFonts w:ascii="Times New Roman" w:hAnsi="Times New Roman" w:cs="Times New Roman"/>
                <w:sz w:val="24"/>
                <w:szCs w:val="24"/>
              </w:rPr>
            </w:pPr>
            <w:r>
              <w:rPr>
                <w:rFonts w:ascii="Times New Roman" w:eastAsia="SimSun" w:hAnsi="Times New Roman" w:cs="Times New Roman"/>
                <w:sz w:val="24"/>
                <w:szCs w:val="24"/>
                <w:lang w:eastAsia="zh-CN" w:bidi="ar"/>
              </w:rPr>
              <w:t>Всего</w:t>
            </w:r>
          </w:p>
        </w:tc>
        <w:tc>
          <w:tcPr>
            <w:tcW w:w="371"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2518</w:t>
            </w:r>
          </w:p>
        </w:tc>
        <w:tc>
          <w:tcPr>
            <w:tcW w:w="335"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68.6</w:t>
            </w:r>
          </w:p>
        </w:tc>
        <w:tc>
          <w:tcPr>
            <w:tcW w:w="326"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539</w:t>
            </w:r>
          </w:p>
        </w:tc>
        <w:tc>
          <w:tcPr>
            <w:tcW w:w="332"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14.7</w:t>
            </w:r>
          </w:p>
        </w:tc>
        <w:tc>
          <w:tcPr>
            <w:tcW w:w="307"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447</w:t>
            </w:r>
          </w:p>
        </w:tc>
        <w:tc>
          <w:tcPr>
            <w:tcW w:w="341"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12.2</w:t>
            </w:r>
          </w:p>
        </w:tc>
        <w:tc>
          <w:tcPr>
            <w:tcW w:w="265"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84</w:t>
            </w:r>
          </w:p>
        </w:tc>
        <w:tc>
          <w:tcPr>
            <w:tcW w:w="275"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2.3</w:t>
            </w:r>
          </w:p>
        </w:tc>
        <w:tc>
          <w:tcPr>
            <w:tcW w:w="258"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83</w:t>
            </w:r>
          </w:p>
        </w:tc>
        <w:tc>
          <w:tcPr>
            <w:tcW w:w="300"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2.2</w:t>
            </w:r>
          </w:p>
        </w:tc>
        <w:tc>
          <w:tcPr>
            <w:tcW w:w="449" w:type="pct"/>
            <w:shd w:val="clear" w:color="auto" w:fill="auto"/>
            <w:noWrap/>
            <w:vAlign w:val="bottom"/>
          </w:tcPr>
          <w:p w:rsidR="00A75A8D" w:rsidRDefault="008A6A51">
            <w:pPr>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3671</w:t>
            </w:r>
          </w:p>
        </w:tc>
        <w:tc>
          <w:tcPr>
            <w:tcW w:w="651" w:type="pct"/>
            <w:vMerge/>
            <w:shd w:val="clear" w:color="auto" w:fill="auto"/>
            <w:noWrap/>
            <w:vAlign w:val="bottom"/>
          </w:tcPr>
          <w:p w:rsidR="00A75A8D" w:rsidRDefault="00A75A8D">
            <w:pPr>
              <w:jc w:val="center"/>
              <w:textAlignment w:val="bottom"/>
              <w:rPr>
                <w:rFonts w:ascii="Times New Roman" w:eastAsia="SimSun" w:hAnsi="Times New Roman" w:cs="Times New Roman"/>
                <w:sz w:val="24"/>
                <w:szCs w:val="24"/>
                <w:lang w:val="en-US" w:eastAsia="zh-CN" w:bidi="ar"/>
              </w:rPr>
            </w:pPr>
          </w:p>
        </w:tc>
      </w:tr>
    </w:tbl>
    <w:p w:rsidR="00A75A8D" w:rsidRDefault="00A75A8D">
      <w:pPr>
        <w:pStyle w:val="af3"/>
      </w:pPr>
    </w:p>
    <w:p w:rsidR="00A75A8D" w:rsidRDefault="008A6A51">
      <w:pPr>
        <w:pStyle w:val="af3"/>
      </w:pPr>
      <w:r>
        <w:lastRenderedPageBreak/>
        <w:t xml:space="preserve">Анализ данных из таблицы 10 показал, что </w:t>
      </w:r>
      <w:r>
        <w:rPr>
          <w:lang w:eastAsia="zh-CN" w:bidi="ar"/>
        </w:rPr>
        <w:t xml:space="preserve">подозрительные на злокачественный процесс узлы в легких, соответствующие категориям </w:t>
      </w:r>
      <w:r>
        <w:t xml:space="preserve">Lung RADS 4А и 4В превалировали в группе курящих участников, что составило 4,6% и 4,1% соответственно, что почти в два раза больше, чем в группе бывших курильщиков (2,7% и </w:t>
      </w:r>
      <w:r>
        <w:t xml:space="preserve">2,1%) и в 3 раза больше, чем у некурящих участников (1,2% и 1,5%), что было статистически значимым. </w:t>
      </w:r>
    </w:p>
    <w:p w:rsidR="00A75A8D" w:rsidRDefault="008A6A51">
      <w:pPr>
        <w:pStyle w:val="af3"/>
      </w:pPr>
      <w:r>
        <w:t xml:space="preserve">У некурящих участников в 69,9% (1536/2198) случаев патологических изменений легких при проведении низкодозной компьютерной томографии не выявлено, что </w:t>
      </w:r>
      <w:r>
        <w:t>соответствовало категории Lung-RADS 1, в то время как среди бывших курильщиков и курящих данная категория встречалась реже - 68,1% (350/514) и 65,9% (632/959) соответственно. Доброкачественные изменения в легких, соответствующие категория Lung-RADS 2 наблю</w:t>
      </w:r>
      <w:r>
        <w:t>дались примерно с одинаковой частотой во всех трех группах и составили 14,9%, 14,2% и 14,4% у некурящих, бывших курильщиков и курящих соответственно</w:t>
      </w:r>
      <w:r>
        <w:rPr>
          <w:lang w:eastAsia="zh-CN" w:bidi="ar"/>
        </w:rPr>
        <w:t>.</w:t>
      </w:r>
    </w:p>
    <w:p w:rsidR="00A75A8D" w:rsidRDefault="008A6A51">
      <w:pPr>
        <w:pStyle w:val="af3"/>
      </w:pPr>
      <w:r>
        <w:t>Узлы, категорий Lung-RADS 1 и 2, которые составили 83,3% (3057/3671), не являются подозрительными на злока</w:t>
      </w:r>
      <w:r>
        <w:t xml:space="preserve">чественный процесс, требуют только динамического наблюдения (12 месяцев) без дополнительных методов обследования, в связи с чем узлы данной категории дальнейшему анализу не подвергались. Нами проведен подробный анализ </w:t>
      </w:r>
      <w:r>
        <w:rPr>
          <w:rFonts w:eastAsia="Times New Roman"/>
          <w:kern w:val="24"/>
          <w:lang w:val="kk-KZ" w:eastAsia="ru-RU"/>
        </w:rPr>
        <w:t xml:space="preserve">614 </w:t>
      </w:r>
      <w:r>
        <w:rPr>
          <w:rFonts w:eastAsia="Times New Roman"/>
          <w:kern w:val="24"/>
          <w:lang w:eastAsia="ru-RU"/>
        </w:rPr>
        <w:t>узлов в легких, которые относились</w:t>
      </w:r>
      <w:r>
        <w:rPr>
          <w:rFonts w:eastAsia="Times New Roman"/>
          <w:kern w:val="24"/>
          <w:lang w:eastAsia="ru-RU"/>
        </w:rPr>
        <w:t xml:space="preserve"> к категориям </w:t>
      </w:r>
      <w:r>
        <w:t>Lung-RADS 3, 4А и 4В с использованием критерия хи-квадрат</w:t>
      </w:r>
      <w:r>
        <w:rPr>
          <w:rFonts w:eastAsia="Times New Roman"/>
          <w:kern w:val="24"/>
          <w:lang w:eastAsia="ru-RU"/>
        </w:rPr>
        <w:t xml:space="preserve"> для определения зависимости</w:t>
      </w:r>
      <w:r>
        <w:t xml:space="preserve"> от пола, возраста и семейного анамнеза (таблица 11). </w:t>
      </w:r>
    </w:p>
    <w:p w:rsidR="00A75A8D" w:rsidRDefault="00A75A8D">
      <w:pPr>
        <w:pStyle w:val="af3"/>
        <w:rPr>
          <w:lang w:eastAsia="ru-RU"/>
        </w:rPr>
      </w:pPr>
    </w:p>
    <w:p w:rsidR="00A75A8D" w:rsidRDefault="008A6A51">
      <w:pPr>
        <w:pStyle w:val="af3"/>
        <w:ind w:hanging="34"/>
      </w:pPr>
      <w:r>
        <w:rPr>
          <w:rFonts w:eastAsia="Times New Roman"/>
          <w:kern w:val="24"/>
          <w:lang w:eastAsia="ru-RU"/>
        </w:rPr>
        <w:t xml:space="preserve">Таблица 11 - Распределение выявленных узлов в легких по классификации </w:t>
      </w:r>
      <w:r>
        <w:t>Lung-RADS в зависимости от поло</w:t>
      </w:r>
      <w:r>
        <w:t>-возрастных особенностей и семейного анамнеза</w:t>
      </w:r>
    </w:p>
    <w:p w:rsidR="00A75A8D" w:rsidRDefault="00A75A8D">
      <w:pPr>
        <w:pStyle w:val="af3"/>
        <w:rPr>
          <w:lang w:eastAsia="ru-RU"/>
        </w:rPr>
      </w:pPr>
    </w:p>
    <w:tbl>
      <w:tblPr>
        <w:tblW w:w="4904" w:type="pct"/>
        <w:tblInd w:w="122" w:type="dxa"/>
        <w:tblLayout w:type="fixed"/>
        <w:tblLook w:val="04A0" w:firstRow="1" w:lastRow="0" w:firstColumn="1" w:lastColumn="0" w:noHBand="0" w:noVBand="1"/>
      </w:tblPr>
      <w:tblGrid>
        <w:gridCol w:w="1428"/>
        <w:gridCol w:w="1271"/>
        <w:gridCol w:w="709"/>
        <w:gridCol w:w="709"/>
        <w:gridCol w:w="567"/>
        <w:gridCol w:w="711"/>
        <w:gridCol w:w="567"/>
        <w:gridCol w:w="709"/>
        <w:gridCol w:w="709"/>
        <w:gridCol w:w="714"/>
        <w:gridCol w:w="1381"/>
      </w:tblGrid>
      <w:tr w:rsidR="00A75A8D">
        <w:trPr>
          <w:trHeight w:val="330"/>
        </w:trPr>
        <w:tc>
          <w:tcPr>
            <w:tcW w:w="1424" w:type="pct"/>
            <w:gridSpan w:val="2"/>
            <w:vMerge w:val="restart"/>
            <w:tcBorders>
              <w:top w:val="single" w:sz="8" w:space="0" w:color="auto"/>
              <w:left w:val="single" w:sz="8" w:space="0" w:color="auto"/>
              <w:bottom w:val="single" w:sz="8" w:space="0" w:color="000000"/>
              <w:right w:val="nil"/>
            </w:tcBorders>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Общие факторы</w:t>
            </w:r>
          </w:p>
        </w:tc>
        <w:tc>
          <w:tcPr>
            <w:tcW w:w="2846" w:type="pct"/>
            <w:gridSpan w:val="8"/>
            <w:tcBorders>
              <w:top w:val="single" w:sz="8" w:space="0" w:color="auto"/>
              <w:left w:val="single" w:sz="8" w:space="0" w:color="auto"/>
              <w:bottom w:val="nil"/>
              <w:right w:val="nil"/>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Категории Lung-RADS</w:t>
            </w:r>
          </w:p>
        </w:tc>
        <w:tc>
          <w:tcPr>
            <w:tcW w:w="730" w:type="pct"/>
            <w:vMerge w:val="restart"/>
            <w:tcBorders>
              <w:top w:val="single" w:sz="8" w:space="0" w:color="auto"/>
              <w:left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Значения  χ2, df, p</w:t>
            </w:r>
          </w:p>
        </w:tc>
      </w:tr>
      <w:tr w:rsidR="00A75A8D">
        <w:trPr>
          <w:trHeight w:val="330"/>
        </w:trPr>
        <w:tc>
          <w:tcPr>
            <w:tcW w:w="1424" w:type="pct"/>
            <w:gridSpan w:val="2"/>
            <w:vMerge/>
            <w:tcBorders>
              <w:top w:val="single" w:sz="8" w:space="0" w:color="auto"/>
              <w:left w:val="single" w:sz="8" w:space="0" w:color="auto"/>
              <w:bottom w:val="single" w:sz="8" w:space="0" w:color="000000"/>
              <w:right w:val="nil"/>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c>
          <w:tcPr>
            <w:tcW w:w="748" w:type="pct"/>
            <w:gridSpan w:val="2"/>
            <w:tcBorders>
              <w:top w:val="single" w:sz="8" w:space="0" w:color="auto"/>
              <w:left w:val="single" w:sz="8" w:space="0" w:color="auto"/>
              <w:bottom w:val="single" w:sz="8" w:space="0" w:color="auto"/>
              <w:right w:val="single" w:sz="8" w:space="0" w:color="000000"/>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val="en-US" w:eastAsia="ru-RU"/>
              </w:rPr>
              <w:t>3</w:t>
            </w:r>
          </w:p>
        </w:tc>
        <w:tc>
          <w:tcPr>
            <w:tcW w:w="674" w:type="pct"/>
            <w:gridSpan w:val="2"/>
            <w:tcBorders>
              <w:top w:val="single" w:sz="8" w:space="0" w:color="auto"/>
              <w:left w:val="nil"/>
              <w:bottom w:val="single" w:sz="8"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4А</w:t>
            </w:r>
          </w:p>
        </w:tc>
        <w:tc>
          <w:tcPr>
            <w:tcW w:w="673" w:type="pct"/>
            <w:gridSpan w:val="2"/>
            <w:tcBorders>
              <w:top w:val="single" w:sz="8" w:space="0" w:color="auto"/>
              <w:left w:val="single" w:sz="8" w:space="0" w:color="auto"/>
              <w:bottom w:val="single" w:sz="8" w:space="0" w:color="auto"/>
              <w:right w:val="single" w:sz="8" w:space="0" w:color="000000"/>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4В</w:t>
            </w:r>
          </w:p>
        </w:tc>
        <w:tc>
          <w:tcPr>
            <w:tcW w:w="750" w:type="pct"/>
            <w:gridSpan w:val="2"/>
            <w:tcBorders>
              <w:top w:val="single" w:sz="8" w:space="0" w:color="auto"/>
              <w:left w:val="nil"/>
              <w:bottom w:val="single" w:sz="8"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Всего</w:t>
            </w:r>
          </w:p>
        </w:tc>
        <w:tc>
          <w:tcPr>
            <w:tcW w:w="730" w:type="pct"/>
            <w:vMerge/>
            <w:tcBorders>
              <w:left w:val="single" w:sz="8" w:space="0" w:color="auto"/>
              <w:right w:val="single" w:sz="8" w:space="0" w:color="auto"/>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r>
      <w:tr w:rsidR="00A75A8D">
        <w:trPr>
          <w:trHeight w:val="330"/>
        </w:trPr>
        <w:tc>
          <w:tcPr>
            <w:tcW w:w="1424" w:type="pct"/>
            <w:gridSpan w:val="2"/>
            <w:vMerge/>
            <w:tcBorders>
              <w:top w:val="single" w:sz="8" w:space="0" w:color="auto"/>
              <w:left w:val="single" w:sz="8" w:space="0" w:color="auto"/>
              <w:bottom w:val="single" w:sz="8" w:space="0" w:color="000000"/>
              <w:right w:val="nil"/>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c>
          <w:tcPr>
            <w:tcW w:w="374" w:type="pct"/>
            <w:tcBorders>
              <w:top w:val="nil"/>
              <w:left w:val="single" w:sz="8" w:space="0" w:color="auto"/>
              <w:bottom w:val="single" w:sz="8"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абс</w:t>
            </w:r>
          </w:p>
        </w:tc>
        <w:tc>
          <w:tcPr>
            <w:tcW w:w="374" w:type="pct"/>
            <w:tcBorders>
              <w:top w:val="nil"/>
              <w:left w:val="nil"/>
              <w:bottom w:val="single" w:sz="8" w:space="0" w:color="auto"/>
              <w:right w:val="single" w:sz="8"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p>
        </w:tc>
        <w:tc>
          <w:tcPr>
            <w:tcW w:w="299" w:type="pct"/>
            <w:tcBorders>
              <w:top w:val="nil"/>
              <w:left w:val="nil"/>
              <w:bottom w:val="single" w:sz="8"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абс</w:t>
            </w:r>
          </w:p>
        </w:tc>
        <w:tc>
          <w:tcPr>
            <w:tcW w:w="375" w:type="pct"/>
            <w:tcBorders>
              <w:top w:val="nil"/>
              <w:left w:val="nil"/>
              <w:bottom w:val="single" w:sz="8" w:space="0" w:color="auto"/>
              <w:right w:val="nil"/>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p>
        </w:tc>
        <w:tc>
          <w:tcPr>
            <w:tcW w:w="299" w:type="pct"/>
            <w:tcBorders>
              <w:top w:val="nil"/>
              <w:left w:val="single" w:sz="8" w:space="0" w:color="auto"/>
              <w:bottom w:val="single" w:sz="8"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абс</w:t>
            </w:r>
          </w:p>
        </w:tc>
        <w:tc>
          <w:tcPr>
            <w:tcW w:w="374" w:type="pct"/>
            <w:tcBorders>
              <w:top w:val="nil"/>
              <w:left w:val="nil"/>
              <w:bottom w:val="single" w:sz="8" w:space="0" w:color="auto"/>
              <w:right w:val="single" w:sz="8"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p>
        </w:tc>
        <w:tc>
          <w:tcPr>
            <w:tcW w:w="374" w:type="pct"/>
            <w:tcBorders>
              <w:top w:val="nil"/>
              <w:left w:val="nil"/>
              <w:bottom w:val="single" w:sz="8"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абс</w:t>
            </w:r>
          </w:p>
        </w:tc>
        <w:tc>
          <w:tcPr>
            <w:tcW w:w="376" w:type="pct"/>
            <w:tcBorders>
              <w:top w:val="nil"/>
              <w:left w:val="nil"/>
              <w:bottom w:val="single" w:sz="8" w:space="0" w:color="auto"/>
              <w:right w:val="nil"/>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p>
        </w:tc>
        <w:tc>
          <w:tcPr>
            <w:tcW w:w="730" w:type="pct"/>
            <w:vMerge/>
            <w:tcBorders>
              <w:left w:val="single" w:sz="8" w:space="0" w:color="auto"/>
              <w:bottom w:val="single" w:sz="8" w:space="0" w:color="000000"/>
              <w:right w:val="single" w:sz="8" w:space="0" w:color="auto"/>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r>
      <w:tr w:rsidR="00A75A8D">
        <w:trPr>
          <w:trHeight w:val="409"/>
        </w:trPr>
        <w:tc>
          <w:tcPr>
            <w:tcW w:w="754" w:type="pct"/>
            <w:vMerge w:val="restart"/>
            <w:tcBorders>
              <w:top w:val="nil"/>
              <w:left w:val="single" w:sz="8" w:space="0" w:color="auto"/>
              <w:bottom w:val="single" w:sz="4" w:space="0" w:color="auto"/>
              <w:right w:val="nil"/>
            </w:tcBorders>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Пол</w:t>
            </w:r>
          </w:p>
        </w:tc>
        <w:tc>
          <w:tcPr>
            <w:tcW w:w="671" w:type="pct"/>
            <w:tcBorders>
              <w:top w:val="nil"/>
              <w:left w:val="single" w:sz="8" w:space="0" w:color="auto"/>
              <w:bottom w:val="single" w:sz="4" w:space="0" w:color="auto"/>
              <w:right w:val="single" w:sz="8" w:space="0" w:color="auto"/>
            </w:tcBorders>
            <w:shd w:val="clear" w:color="auto" w:fill="auto"/>
            <w:noWrap/>
            <w:vAlign w:val="bottom"/>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Мужчины</w:t>
            </w:r>
          </w:p>
        </w:tc>
        <w:tc>
          <w:tcPr>
            <w:tcW w:w="374" w:type="pct"/>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228</w:t>
            </w:r>
          </w:p>
        </w:tc>
        <w:tc>
          <w:tcPr>
            <w:tcW w:w="374" w:type="pct"/>
            <w:tcBorders>
              <w:top w:val="nil"/>
              <w:left w:val="nil"/>
              <w:bottom w:val="single" w:sz="4" w:space="0" w:color="auto"/>
              <w:right w:val="single" w:sz="8"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37,1</w:t>
            </w:r>
          </w:p>
        </w:tc>
        <w:tc>
          <w:tcPr>
            <w:tcW w:w="299" w:type="pct"/>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39</w:t>
            </w:r>
          </w:p>
        </w:tc>
        <w:tc>
          <w:tcPr>
            <w:tcW w:w="375" w:type="pct"/>
            <w:tcBorders>
              <w:top w:val="nil"/>
              <w:left w:val="nil"/>
              <w:bottom w:val="single" w:sz="4" w:space="0" w:color="auto"/>
              <w:right w:val="nil"/>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6,4</w:t>
            </w:r>
          </w:p>
        </w:tc>
        <w:tc>
          <w:tcPr>
            <w:tcW w:w="299" w:type="pct"/>
            <w:tcBorders>
              <w:top w:val="nil"/>
              <w:left w:val="single" w:sz="8"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55</w:t>
            </w:r>
          </w:p>
        </w:tc>
        <w:tc>
          <w:tcPr>
            <w:tcW w:w="374" w:type="pct"/>
            <w:tcBorders>
              <w:top w:val="nil"/>
              <w:left w:val="nil"/>
              <w:bottom w:val="single" w:sz="4" w:space="0" w:color="auto"/>
              <w:right w:val="single" w:sz="8"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9,0</w:t>
            </w:r>
          </w:p>
        </w:tc>
        <w:tc>
          <w:tcPr>
            <w:tcW w:w="374" w:type="pct"/>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322</w:t>
            </w:r>
          </w:p>
        </w:tc>
        <w:tc>
          <w:tcPr>
            <w:tcW w:w="376" w:type="pct"/>
            <w:tcBorders>
              <w:top w:val="nil"/>
              <w:left w:val="nil"/>
              <w:bottom w:val="single" w:sz="4" w:space="0" w:color="auto"/>
              <w:right w:val="nil"/>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52,3</w:t>
            </w:r>
          </w:p>
        </w:tc>
        <w:tc>
          <w:tcPr>
            <w:tcW w:w="730" w:type="pct"/>
            <w:vMerge w:val="restart"/>
            <w:tcBorders>
              <w:top w:val="nil"/>
              <w:left w:val="single" w:sz="8" w:space="0" w:color="auto"/>
              <w:bottom w:val="single" w:sz="8" w:space="0" w:color="000000"/>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χ2=8.874       df=2          </w:t>
            </w:r>
            <w:r>
              <w:rPr>
                <w:rFonts w:ascii="Times New Roman" w:eastAsia="Times New Roman" w:hAnsi="Times New Roman" w:cs="Times New Roman"/>
                <w:b/>
                <w:bCs/>
                <w:color w:val="000000"/>
                <w:sz w:val="24"/>
                <w:szCs w:val="24"/>
                <w:lang w:eastAsia="ru-RU"/>
              </w:rPr>
              <w:t>p=0,012</w:t>
            </w:r>
          </w:p>
        </w:tc>
      </w:tr>
      <w:tr w:rsidR="00A75A8D">
        <w:trPr>
          <w:trHeight w:val="542"/>
        </w:trPr>
        <w:tc>
          <w:tcPr>
            <w:tcW w:w="754" w:type="pct"/>
            <w:vMerge/>
            <w:tcBorders>
              <w:top w:val="nil"/>
              <w:left w:val="single" w:sz="8" w:space="0" w:color="auto"/>
              <w:bottom w:val="single" w:sz="4" w:space="0" w:color="auto"/>
              <w:right w:val="nil"/>
            </w:tcBorders>
            <w:vAlign w:val="center"/>
          </w:tcPr>
          <w:p w:rsidR="00A75A8D" w:rsidRDefault="00A75A8D">
            <w:pPr>
              <w:spacing w:after="0" w:line="240" w:lineRule="auto"/>
              <w:jc w:val="center"/>
              <w:rPr>
                <w:rFonts w:ascii="Times New Roman" w:eastAsia="Times New Roman" w:hAnsi="Times New Roman" w:cs="Times New Roman"/>
                <w:color w:val="000000"/>
                <w:sz w:val="24"/>
                <w:szCs w:val="24"/>
                <w:lang w:eastAsia="ru-RU"/>
              </w:rPr>
            </w:pPr>
          </w:p>
        </w:tc>
        <w:tc>
          <w:tcPr>
            <w:tcW w:w="671" w:type="pct"/>
            <w:tcBorders>
              <w:top w:val="nil"/>
              <w:left w:val="single" w:sz="8" w:space="0" w:color="auto"/>
              <w:bottom w:val="nil"/>
              <w:right w:val="single" w:sz="8" w:space="0" w:color="auto"/>
            </w:tcBorders>
            <w:shd w:val="clear" w:color="auto" w:fill="auto"/>
            <w:noWrap/>
            <w:vAlign w:val="bottom"/>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Женщины</w:t>
            </w:r>
          </w:p>
        </w:tc>
        <w:tc>
          <w:tcPr>
            <w:tcW w:w="374" w:type="pct"/>
            <w:tcBorders>
              <w:top w:val="nil"/>
              <w:left w:val="nil"/>
              <w:bottom w:val="nil"/>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219</w:t>
            </w:r>
          </w:p>
        </w:tc>
        <w:tc>
          <w:tcPr>
            <w:tcW w:w="374" w:type="pct"/>
            <w:tcBorders>
              <w:top w:val="nil"/>
              <w:left w:val="nil"/>
              <w:bottom w:val="nil"/>
              <w:right w:val="single" w:sz="8"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35,7</w:t>
            </w:r>
          </w:p>
        </w:tc>
        <w:tc>
          <w:tcPr>
            <w:tcW w:w="299" w:type="pct"/>
            <w:tcBorders>
              <w:top w:val="nil"/>
              <w:left w:val="nil"/>
              <w:bottom w:val="nil"/>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46</w:t>
            </w:r>
          </w:p>
        </w:tc>
        <w:tc>
          <w:tcPr>
            <w:tcW w:w="375" w:type="pct"/>
            <w:tcBorders>
              <w:top w:val="nil"/>
              <w:left w:val="nil"/>
              <w:bottom w:val="nil"/>
              <w:right w:val="nil"/>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7,5</w:t>
            </w:r>
          </w:p>
        </w:tc>
        <w:tc>
          <w:tcPr>
            <w:tcW w:w="299" w:type="pct"/>
            <w:tcBorders>
              <w:top w:val="nil"/>
              <w:left w:val="single" w:sz="8" w:space="0" w:color="auto"/>
              <w:bottom w:val="nil"/>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w:t>
            </w:r>
          </w:p>
        </w:tc>
        <w:tc>
          <w:tcPr>
            <w:tcW w:w="374" w:type="pct"/>
            <w:tcBorders>
              <w:top w:val="nil"/>
              <w:left w:val="nil"/>
              <w:bottom w:val="nil"/>
              <w:right w:val="single" w:sz="8"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4,4</w:t>
            </w:r>
          </w:p>
        </w:tc>
        <w:tc>
          <w:tcPr>
            <w:tcW w:w="374" w:type="pct"/>
            <w:tcBorders>
              <w:top w:val="nil"/>
              <w:left w:val="nil"/>
              <w:bottom w:val="nil"/>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292</w:t>
            </w:r>
          </w:p>
        </w:tc>
        <w:tc>
          <w:tcPr>
            <w:tcW w:w="376" w:type="pct"/>
            <w:tcBorders>
              <w:top w:val="nil"/>
              <w:left w:val="nil"/>
              <w:bottom w:val="nil"/>
              <w:right w:val="nil"/>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47,7</w:t>
            </w:r>
          </w:p>
        </w:tc>
        <w:tc>
          <w:tcPr>
            <w:tcW w:w="730" w:type="pct"/>
            <w:vMerge/>
            <w:tcBorders>
              <w:top w:val="nil"/>
              <w:left w:val="single" w:sz="8" w:space="0" w:color="auto"/>
              <w:bottom w:val="single" w:sz="8" w:space="0" w:color="000000"/>
              <w:right w:val="single" w:sz="8" w:space="0" w:color="auto"/>
            </w:tcBorders>
            <w:vAlign w:val="center"/>
          </w:tcPr>
          <w:p w:rsidR="00A75A8D" w:rsidRDefault="00A75A8D">
            <w:pPr>
              <w:spacing w:after="0" w:line="240" w:lineRule="auto"/>
              <w:jc w:val="center"/>
              <w:rPr>
                <w:rFonts w:ascii="Times New Roman" w:eastAsia="Times New Roman" w:hAnsi="Times New Roman" w:cs="Times New Roman"/>
                <w:color w:val="000000"/>
                <w:sz w:val="24"/>
                <w:szCs w:val="24"/>
                <w:lang w:eastAsia="ru-RU"/>
              </w:rPr>
            </w:pPr>
          </w:p>
        </w:tc>
      </w:tr>
      <w:tr w:rsidR="00A75A8D">
        <w:trPr>
          <w:trHeight w:val="418"/>
        </w:trPr>
        <w:tc>
          <w:tcPr>
            <w:tcW w:w="754" w:type="pct"/>
            <w:vMerge w:val="restart"/>
            <w:tcBorders>
              <w:top w:val="single" w:sz="8" w:space="0" w:color="auto"/>
              <w:left w:val="single" w:sz="8" w:space="0" w:color="auto"/>
              <w:bottom w:val="single" w:sz="8" w:space="0" w:color="000000"/>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Возраст</w:t>
            </w:r>
          </w:p>
        </w:tc>
        <w:tc>
          <w:tcPr>
            <w:tcW w:w="671" w:type="pct"/>
            <w:tcBorders>
              <w:top w:val="single" w:sz="8" w:space="0" w:color="auto"/>
              <w:left w:val="single" w:sz="8" w:space="0" w:color="auto"/>
              <w:bottom w:val="single" w:sz="4" w:space="0" w:color="auto"/>
              <w:right w:val="single" w:sz="8" w:space="0" w:color="auto"/>
            </w:tcBorders>
            <w:shd w:val="clear" w:color="auto" w:fill="auto"/>
            <w:noWrap/>
            <w:vAlign w:val="bottom"/>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40-49</w:t>
            </w:r>
          </w:p>
        </w:tc>
        <w:tc>
          <w:tcPr>
            <w:tcW w:w="374" w:type="pct"/>
            <w:tcBorders>
              <w:top w:val="single" w:sz="8" w:space="0" w:color="auto"/>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151</w:t>
            </w:r>
          </w:p>
        </w:tc>
        <w:tc>
          <w:tcPr>
            <w:tcW w:w="374" w:type="pct"/>
            <w:tcBorders>
              <w:top w:val="single" w:sz="8" w:space="0" w:color="auto"/>
              <w:left w:val="nil"/>
              <w:bottom w:val="single" w:sz="4" w:space="0" w:color="auto"/>
              <w:right w:val="single" w:sz="8"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24,6</w:t>
            </w:r>
          </w:p>
        </w:tc>
        <w:tc>
          <w:tcPr>
            <w:tcW w:w="299" w:type="pct"/>
            <w:tcBorders>
              <w:top w:val="single" w:sz="8" w:space="0" w:color="auto"/>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375" w:type="pct"/>
            <w:tcBorders>
              <w:top w:val="single" w:sz="8" w:space="0" w:color="auto"/>
              <w:left w:val="nil"/>
              <w:bottom w:val="single" w:sz="4" w:space="0" w:color="auto"/>
              <w:right w:val="nil"/>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3,1</w:t>
            </w:r>
          </w:p>
        </w:tc>
        <w:tc>
          <w:tcPr>
            <w:tcW w:w="299" w:type="pct"/>
            <w:tcBorders>
              <w:top w:val="single" w:sz="8" w:space="0" w:color="auto"/>
              <w:left w:val="single" w:sz="8"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w:t>
            </w:r>
          </w:p>
        </w:tc>
        <w:tc>
          <w:tcPr>
            <w:tcW w:w="374" w:type="pct"/>
            <w:tcBorders>
              <w:top w:val="single" w:sz="8" w:space="0" w:color="auto"/>
              <w:left w:val="nil"/>
              <w:bottom w:val="single" w:sz="4" w:space="0" w:color="auto"/>
              <w:right w:val="single" w:sz="8"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w:t>
            </w:r>
          </w:p>
        </w:tc>
        <w:tc>
          <w:tcPr>
            <w:tcW w:w="374" w:type="pct"/>
            <w:tcBorders>
              <w:top w:val="single" w:sz="8" w:space="0" w:color="auto"/>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183</w:t>
            </w:r>
          </w:p>
        </w:tc>
        <w:tc>
          <w:tcPr>
            <w:tcW w:w="376" w:type="pct"/>
            <w:tcBorders>
              <w:top w:val="single" w:sz="8" w:space="0" w:color="auto"/>
              <w:left w:val="nil"/>
              <w:bottom w:val="single" w:sz="4" w:space="0" w:color="auto"/>
              <w:right w:val="nil"/>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29,8</w:t>
            </w:r>
          </w:p>
        </w:tc>
        <w:tc>
          <w:tcPr>
            <w:tcW w:w="730" w:type="pct"/>
            <w:vMerge w:val="restart"/>
            <w:tcBorders>
              <w:top w:val="nil"/>
              <w:left w:val="single" w:sz="8" w:space="0" w:color="auto"/>
              <w:bottom w:val="single" w:sz="8" w:space="0" w:color="000000"/>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χ2=31.033          df=6          </w:t>
            </w:r>
            <w:r>
              <w:rPr>
                <w:rFonts w:ascii="Times New Roman" w:eastAsia="Times New Roman" w:hAnsi="Times New Roman" w:cs="Times New Roman"/>
                <w:b/>
                <w:bCs/>
                <w:color w:val="000000"/>
                <w:sz w:val="24"/>
                <w:szCs w:val="24"/>
                <w:lang w:eastAsia="ru-RU"/>
              </w:rPr>
              <w:t>р&lt;0,01</w:t>
            </w:r>
          </w:p>
        </w:tc>
      </w:tr>
      <w:tr w:rsidR="00A75A8D">
        <w:trPr>
          <w:trHeight w:val="398"/>
        </w:trPr>
        <w:tc>
          <w:tcPr>
            <w:tcW w:w="754" w:type="pct"/>
            <w:vMerge/>
            <w:tcBorders>
              <w:top w:val="single" w:sz="8" w:space="0" w:color="auto"/>
              <w:left w:val="single" w:sz="8" w:space="0" w:color="auto"/>
              <w:bottom w:val="single" w:sz="8" w:space="0" w:color="000000"/>
              <w:right w:val="nil"/>
            </w:tcBorders>
            <w:vAlign w:val="center"/>
          </w:tcPr>
          <w:p w:rsidR="00A75A8D" w:rsidRDefault="00A75A8D">
            <w:pPr>
              <w:spacing w:after="0" w:line="240" w:lineRule="auto"/>
              <w:jc w:val="center"/>
              <w:rPr>
                <w:rFonts w:ascii="Times New Roman" w:eastAsia="Times New Roman" w:hAnsi="Times New Roman" w:cs="Times New Roman"/>
                <w:color w:val="000000"/>
                <w:sz w:val="24"/>
                <w:szCs w:val="24"/>
                <w:lang w:eastAsia="ru-RU"/>
              </w:rPr>
            </w:pPr>
          </w:p>
        </w:tc>
        <w:tc>
          <w:tcPr>
            <w:tcW w:w="671" w:type="pct"/>
            <w:tcBorders>
              <w:top w:val="nil"/>
              <w:left w:val="single" w:sz="8" w:space="0" w:color="auto"/>
              <w:bottom w:val="single" w:sz="4" w:space="0" w:color="auto"/>
              <w:right w:val="single" w:sz="8" w:space="0" w:color="auto"/>
            </w:tcBorders>
            <w:shd w:val="clear" w:color="auto" w:fill="auto"/>
            <w:noWrap/>
            <w:vAlign w:val="bottom"/>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50-59</w:t>
            </w:r>
          </w:p>
        </w:tc>
        <w:tc>
          <w:tcPr>
            <w:tcW w:w="374" w:type="pct"/>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173</w:t>
            </w:r>
          </w:p>
        </w:tc>
        <w:tc>
          <w:tcPr>
            <w:tcW w:w="374" w:type="pct"/>
            <w:tcBorders>
              <w:top w:val="nil"/>
              <w:left w:val="nil"/>
              <w:bottom w:val="single" w:sz="4" w:space="0" w:color="auto"/>
              <w:right w:val="single" w:sz="8"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28,2</w:t>
            </w:r>
          </w:p>
        </w:tc>
        <w:tc>
          <w:tcPr>
            <w:tcW w:w="299" w:type="pct"/>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32</w:t>
            </w:r>
          </w:p>
        </w:tc>
        <w:tc>
          <w:tcPr>
            <w:tcW w:w="375" w:type="pct"/>
            <w:tcBorders>
              <w:top w:val="nil"/>
              <w:left w:val="nil"/>
              <w:bottom w:val="single" w:sz="4" w:space="0" w:color="auto"/>
              <w:right w:val="nil"/>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5,2</w:t>
            </w:r>
          </w:p>
        </w:tc>
        <w:tc>
          <w:tcPr>
            <w:tcW w:w="299" w:type="pct"/>
            <w:tcBorders>
              <w:top w:val="nil"/>
              <w:left w:val="single" w:sz="8"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31</w:t>
            </w:r>
          </w:p>
        </w:tc>
        <w:tc>
          <w:tcPr>
            <w:tcW w:w="374" w:type="pct"/>
            <w:tcBorders>
              <w:top w:val="nil"/>
              <w:left w:val="nil"/>
              <w:bottom w:val="single" w:sz="4" w:space="0" w:color="auto"/>
              <w:right w:val="single" w:sz="8"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5,0</w:t>
            </w:r>
          </w:p>
        </w:tc>
        <w:tc>
          <w:tcPr>
            <w:tcW w:w="374" w:type="pct"/>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236</w:t>
            </w:r>
          </w:p>
        </w:tc>
        <w:tc>
          <w:tcPr>
            <w:tcW w:w="376" w:type="pct"/>
            <w:tcBorders>
              <w:top w:val="nil"/>
              <w:left w:val="nil"/>
              <w:bottom w:val="single" w:sz="4" w:space="0" w:color="auto"/>
              <w:right w:val="nil"/>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38,4</w:t>
            </w:r>
          </w:p>
        </w:tc>
        <w:tc>
          <w:tcPr>
            <w:tcW w:w="730" w:type="pct"/>
            <w:vMerge/>
            <w:tcBorders>
              <w:top w:val="nil"/>
              <w:left w:val="single" w:sz="8" w:space="0" w:color="auto"/>
              <w:bottom w:val="single" w:sz="8" w:space="0" w:color="000000"/>
              <w:right w:val="single" w:sz="8" w:space="0" w:color="auto"/>
            </w:tcBorders>
            <w:vAlign w:val="center"/>
          </w:tcPr>
          <w:p w:rsidR="00A75A8D" w:rsidRDefault="00A75A8D">
            <w:pPr>
              <w:spacing w:after="0" w:line="240" w:lineRule="auto"/>
              <w:jc w:val="center"/>
              <w:rPr>
                <w:rFonts w:ascii="Times New Roman" w:eastAsia="Times New Roman" w:hAnsi="Times New Roman" w:cs="Times New Roman"/>
                <w:color w:val="000000"/>
                <w:sz w:val="24"/>
                <w:szCs w:val="24"/>
                <w:lang w:eastAsia="ru-RU"/>
              </w:rPr>
            </w:pPr>
          </w:p>
        </w:tc>
      </w:tr>
      <w:tr w:rsidR="00A75A8D">
        <w:trPr>
          <w:trHeight w:val="428"/>
        </w:trPr>
        <w:tc>
          <w:tcPr>
            <w:tcW w:w="754" w:type="pct"/>
            <w:vMerge/>
            <w:tcBorders>
              <w:top w:val="single" w:sz="8" w:space="0" w:color="auto"/>
              <w:left w:val="single" w:sz="8" w:space="0" w:color="auto"/>
              <w:bottom w:val="single" w:sz="8" w:space="0" w:color="000000"/>
              <w:right w:val="nil"/>
            </w:tcBorders>
            <w:vAlign w:val="center"/>
          </w:tcPr>
          <w:p w:rsidR="00A75A8D" w:rsidRDefault="00A75A8D">
            <w:pPr>
              <w:spacing w:after="0" w:line="240" w:lineRule="auto"/>
              <w:jc w:val="center"/>
              <w:rPr>
                <w:rFonts w:ascii="Times New Roman" w:eastAsia="Times New Roman" w:hAnsi="Times New Roman" w:cs="Times New Roman"/>
                <w:color w:val="000000"/>
                <w:sz w:val="24"/>
                <w:szCs w:val="24"/>
                <w:lang w:eastAsia="ru-RU"/>
              </w:rPr>
            </w:pPr>
          </w:p>
        </w:tc>
        <w:tc>
          <w:tcPr>
            <w:tcW w:w="671" w:type="pct"/>
            <w:tcBorders>
              <w:top w:val="nil"/>
              <w:left w:val="single" w:sz="8" w:space="0" w:color="auto"/>
              <w:bottom w:val="single" w:sz="4" w:space="0" w:color="auto"/>
              <w:right w:val="single" w:sz="8" w:space="0" w:color="auto"/>
            </w:tcBorders>
            <w:shd w:val="clear" w:color="auto" w:fill="auto"/>
            <w:noWrap/>
            <w:vAlign w:val="bottom"/>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60-69</w:t>
            </w:r>
          </w:p>
        </w:tc>
        <w:tc>
          <w:tcPr>
            <w:tcW w:w="374" w:type="pct"/>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101</w:t>
            </w:r>
          </w:p>
        </w:tc>
        <w:tc>
          <w:tcPr>
            <w:tcW w:w="374" w:type="pct"/>
            <w:tcBorders>
              <w:top w:val="nil"/>
              <w:left w:val="nil"/>
              <w:bottom w:val="single" w:sz="4" w:space="0" w:color="auto"/>
              <w:right w:val="single" w:sz="8"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16,4</w:t>
            </w:r>
          </w:p>
        </w:tc>
        <w:tc>
          <w:tcPr>
            <w:tcW w:w="299" w:type="pct"/>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375" w:type="pct"/>
            <w:tcBorders>
              <w:top w:val="nil"/>
              <w:left w:val="nil"/>
              <w:bottom w:val="single" w:sz="4" w:space="0" w:color="auto"/>
              <w:right w:val="nil"/>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3,9</w:t>
            </w:r>
          </w:p>
        </w:tc>
        <w:tc>
          <w:tcPr>
            <w:tcW w:w="299" w:type="pct"/>
            <w:tcBorders>
              <w:top w:val="nil"/>
              <w:left w:val="single" w:sz="8"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w:t>
            </w:r>
          </w:p>
        </w:tc>
        <w:tc>
          <w:tcPr>
            <w:tcW w:w="374" w:type="pct"/>
            <w:tcBorders>
              <w:top w:val="nil"/>
              <w:left w:val="nil"/>
              <w:bottom w:val="single" w:sz="4" w:space="0" w:color="auto"/>
              <w:right w:val="single" w:sz="8"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3,7</w:t>
            </w:r>
          </w:p>
        </w:tc>
        <w:tc>
          <w:tcPr>
            <w:tcW w:w="374" w:type="pct"/>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148</w:t>
            </w:r>
          </w:p>
        </w:tc>
        <w:tc>
          <w:tcPr>
            <w:tcW w:w="376" w:type="pct"/>
            <w:tcBorders>
              <w:top w:val="nil"/>
              <w:left w:val="nil"/>
              <w:bottom w:val="single" w:sz="4" w:space="0" w:color="auto"/>
              <w:right w:val="nil"/>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24,1</w:t>
            </w:r>
          </w:p>
        </w:tc>
        <w:tc>
          <w:tcPr>
            <w:tcW w:w="730" w:type="pct"/>
            <w:vMerge/>
            <w:tcBorders>
              <w:top w:val="nil"/>
              <w:left w:val="single" w:sz="8" w:space="0" w:color="auto"/>
              <w:bottom w:val="single" w:sz="8" w:space="0" w:color="000000"/>
              <w:right w:val="single" w:sz="8" w:space="0" w:color="auto"/>
            </w:tcBorders>
            <w:vAlign w:val="center"/>
          </w:tcPr>
          <w:p w:rsidR="00A75A8D" w:rsidRDefault="00A75A8D">
            <w:pPr>
              <w:spacing w:after="0" w:line="240" w:lineRule="auto"/>
              <w:jc w:val="center"/>
              <w:rPr>
                <w:rFonts w:ascii="Times New Roman" w:eastAsia="Times New Roman" w:hAnsi="Times New Roman" w:cs="Times New Roman"/>
                <w:color w:val="000000"/>
                <w:sz w:val="24"/>
                <w:szCs w:val="24"/>
                <w:lang w:eastAsia="ru-RU"/>
              </w:rPr>
            </w:pPr>
          </w:p>
        </w:tc>
      </w:tr>
      <w:tr w:rsidR="00A75A8D">
        <w:trPr>
          <w:trHeight w:val="477"/>
        </w:trPr>
        <w:tc>
          <w:tcPr>
            <w:tcW w:w="754" w:type="pct"/>
            <w:vMerge/>
            <w:tcBorders>
              <w:top w:val="single" w:sz="8" w:space="0" w:color="auto"/>
              <w:left w:val="single" w:sz="8" w:space="0" w:color="auto"/>
              <w:bottom w:val="single" w:sz="8" w:space="0" w:color="000000"/>
              <w:right w:val="nil"/>
            </w:tcBorders>
            <w:vAlign w:val="center"/>
          </w:tcPr>
          <w:p w:rsidR="00A75A8D" w:rsidRDefault="00A75A8D">
            <w:pPr>
              <w:spacing w:after="0" w:line="240" w:lineRule="auto"/>
              <w:jc w:val="center"/>
              <w:rPr>
                <w:rFonts w:ascii="Times New Roman" w:eastAsia="Times New Roman" w:hAnsi="Times New Roman" w:cs="Times New Roman"/>
                <w:color w:val="000000"/>
                <w:sz w:val="24"/>
                <w:szCs w:val="24"/>
                <w:lang w:eastAsia="ru-RU"/>
              </w:rPr>
            </w:pPr>
          </w:p>
        </w:tc>
        <w:tc>
          <w:tcPr>
            <w:tcW w:w="671" w:type="pct"/>
            <w:tcBorders>
              <w:top w:val="nil"/>
              <w:left w:val="single" w:sz="8" w:space="0" w:color="auto"/>
              <w:bottom w:val="single" w:sz="8" w:space="0" w:color="auto"/>
              <w:right w:val="single" w:sz="8" w:space="0" w:color="auto"/>
            </w:tcBorders>
            <w:shd w:val="clear" w:color="auto" w:fill="auto"/>
            <w:noWrap/>
            <w:vAlign w:val="bottom"/>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70-75</w:t>
            </w:r>
          </w:p>
        </w:tc>
        <w:tc>
          <w:tcPr>
            <w:tcW w:w="374" w:type="pct"/>
            <w:tcBorders>
              <w:top w:val="nil"/>
              <w:left w:val="nil"/>
              <w:bottom w:val="single" w:sz="8"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w:t>
            </w:r>
          </w:p>
        </w:tc>
        <w:tc>
          <w:tcPr>
            <w:tcW w:w="374" w:type="pct"/>
            <w:tcBorders>
              <w:top w:val="nil"/>
              <w:left w:val="nil"/>
              <w:bottom w:val="single" w:sz="8" w:space="0" w:color="auto"/>
              <w:right w:val="single" w:sz="8"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3,6</w:t>
            </w:r>
          </w:p>
        </w:tc>
        <w:tc>
          <w:tcPr>
            <w:tcW w:w="299" w:type="pct"/>
            <w:tcBorders>
              <w:top w:val="nil"/>
              <w:left w:val="nil"/>
              <w:bottom w:val="single" w:sz="8"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c>
          <w:tcPr>
            <w:tcW w:w="375" w:type="pct"/>
            <w:tcBorders>
              <w:top w:val="nil"/>
              <w:left w:val="nil"/>
              <w:bottom w:val="single" w:sz="8" w:space="0" w:color="auto"/>
              <w:right w:val="nil"/>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299" w:type="pct"/>
            <w:tcBorders>
              <w:top w:val="nil"/>
              <w:left w:val="single" w:sz="8" w:space="0" w:color="auto"/>
              <w:bottom w:val="single" w:sz="8"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w:t>
            </w:r>
          </w:p>
        </w:tc>
        <w:tc>
          <w:tcPr>
            <w:tcW w:w="374" w:type="pct"/>
            <w:tcBorders>
              <w:top w:val="nil"/>
              <w:left w:val="nil"/>
              <w:bottom w:val="single" w:sz="8" w:space="0" w:color="auto"/>
              <w:right w:val="single" w:sz="8"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w:t>
            </w:r>
          </w:p>
        </w:tc>
        <w:tc>
          <w:tcPr>
            <w:tcW w:w="374" w:type="pct"/>
            <w:tcBorders>
              <w:top w:val="nil"/>
              <w:left w:val="nil"/>
              <w:bottom w:val="single" w:sz="8"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47</w:t>
            </w:r>
          </w:p>
        </w:tc>
        <w:tc>
          <w:tcPr>
            <w:tcW w:w="376" w:type="pct"/>
            <w:tcBorders>
              <w:top w:val="nil"/>
              <w:left w:val="nil"/>
              <w:bottom w:val="single" w:sz="8" w:space="0" w:color="auto"/>
              <w:right w:val="nil"/>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7,7</w:t>
            </w:r>
          </w:p>
        </w:tc>
        <w:tc>
          <w:tcPr>
            <w:tcW w:w="730" w:type="pct"/>
            <w:vMerge/>
            <w:tcBorders>
              <w:top w:val="nil"/>
              <w:left w:val="single" w:sz="8" w:space="0" w:color="auto"/>
              <w:bottom w:val="single" w:sz="8" w:space="0" w:color="000000"/>
              <w:right w:val="single" w:sz="8" w:space="0" w:color="auto"/>
            </w:tcBorders>
            <w:vAlign w:val="center"/>
          </w:tcPr>
          <w:p w:rsidR="00A75A8D" w:rsidRDefault="00A75A8D">
            <w:pPr>
              <w:spacing w:after="0" w:line="240" w:lineRule="auto"/>
              <w:jc w:val="center"/>
              <w:rPr>
                <w:rFonts w:ascii="Times New Roman" w:eastAsia="Times New Roman" w:hAnsi="Times New Roman" w:cs="Times New Roman"/>
                <w:color w:val="000000"/>
                <w:sz w:val="24"/>
                <w:szCs w:val="24"/>
                <w:lang w:eastAsia="ru-RU"/>
              </w:rPr>
            </w:pPr>
          </w:p>
        </w:tc>
      </w:tr>
      <w:tr w:rsidR="00A75A8D">
        <w:trPr>
          <w:trHeight w:val="453"/>
        </w:trPr>
        <w:tc>
          <w:tcPr>
            <w:tcW w:w="754" w:type="pct"/>
            <w:vMerge w:val="restart"/>
            <w:tcBorders>
              <w:top w:val="single" w:sz="8" w:space="0" w:color="auto"/>
              <w:left w:val="single" w:sz="8" w:space="0" w:color="auto"/>
              <w:bottom w:val="single" w:sz="8" w:space="0" w:color="000000"/>
              <w:right w:val="nil"/>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Семейный анамнез</w:t>
            </w:r>
          </w:p>
        </w:tc>
        <w:tc>
          <w:tcPr>
            <w:tcW w:w="671" w:type="pct"/>
            <w:tcBorders>
              <w:top w:val="single" w:sz="8" w:space="0" w:color="auto"/>
              <w:left w:val="single" w:sz="8" w:space="0" w:color="auto"/>
              <w:bottom w:val="single" w:sz="4" w:space="0" w:color="auto"/>
              <w:right w:val="single" w:sz="8" w:space="0" w:color="auto"/>
            </w:tcBorders>
            <w:shd w:val="clear" w:color="auto" w:fill="auto"/>
            <w:noWrap/>
            <w:vAlign w:val="bottom"/>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есть</w:t>
            </w:r>
          </w:p>
        </w:tc>
        <w:tc>
          <w:tcPr>
            <w:tcW w:w="374" w:type="pct"/>
            <w:tcBorders>
              <w:top w:val="single" w:sz="8" w:space="0" w:color="auto"/>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44</w:t>
            </w:r>
          </w:p>
        </w:tc>
        <w:tc>
          <w:tcPr>
            <w:tcW w:w="374" w:type="pct"/>
            <w:tcBorders>
              <w:top w:val="single" w:sz="8" w:space="0" w:color="auto"/>
              <w:left w:val="nil"/>
              <w:bottom w:val="single" w:sz="4" w:space="0" w:color="auto"/>
              <w:right w:val="single" w:sz="8"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7,2</w:t>
            </w:r>
          </w:p>
        </w:tc>
        <w:tc>
          <w:tcPr>
            <w:tcW w:w="299" w:type="pct"/>
            <w:tcBorders>
              <w:top w:val="single" w:sz="8" w:space="0" w:color="auto"/>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w:t>
            </w:r>
          </w:p>
        </w:tc>
        <w:tc>
          <w:tcPr>
            <w:tcW w:w="375" w:type="pct"/>
            <w:tcBorders>
              <w:top w:val="single" w:sz="8" w:space="0" w:color="auto"/>
              <w:left w:val="nil"/>
              <w:bottom w:val="single" w:sz="4" w:space="0" w:color="auto"/>
              <w:right w:val="nil"/>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w:t>
            </w:r>
          </w:p>
        </w:tc>
        <w:tc>
          <w:tcPr>
            <w:tcW w:w="299" w:type="pct"/>
            <w:tcBorders>
              <w:top w:val="single" w:sz="8" w:space="0" w:color="auto"/>
              <w:left w:val="single" w:sz="8"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374" w:type="pct"/>
            <w:tcBorders>
              <w:top w:val="single" w:sz="8" w:space="0" w:color="auto"/>
              <w:left w:val="nil"/>
              <w:bottom w:val="single" w:sz="4" w:space="0" w:color="auto"/>
              <w:right w:val="single" w:sz="8"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w:t>
            </w:r>
          </w:p>
        </w:tc>
        <w:tc>
          <w:tcPr>
            <w:tcW w:w="374" w:type="pct"/>
            <w:tcBorders>
              <w:top w:val="single" w:sz="8" w:space="0" w:color="auto"/>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64</w:t>
            </w:r>
          </w:p>
        </w:tc>
        <w:tc>
          <w:tcPr>
            <w:tcW w:w="376" w:type="pct"/>
            <w:tcBorders>
              <w:top w:val="single" w:sz="8" w:space="0" w:color="auto"/>
              <w:left w:val="nil"/>
              <w:bottom w:val="single" w:sz="4" w:space="0" w:color="auto"/>
              <w:right w:val="nil"/>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10,4</w:t>
            </w:r>
          </w:p>
        </w:tc>
        <w:tc>
          <w:tcPr>
            <w:tcW w:w="730" w:type="pct"/>
            <w:vMerge w:val="restart"/>
            <w:tcBorders>
              <w:top w:val="nil"/>
              <w:left w:val="single" w:sz="8" w:space="0" w:color="auto"/>
              <w:bottom w:val="single" w:sz="4"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χ2=2.810          df=2         </w:t>
            </w:r>
            <w:r>
              <w:rPr>
                <w:rFonts w:ascii="Times New Roman" w:eastAsia="Times New Roman" w:hAnsi="Times New Roman" w:cs="Times New Roman"/>
                <w:b/>
                <w:bCs/>
                <w:color w:val="000000"/>
                <w:sz w:val="24"/>
                <w:szCs w:val="24"/>
                <w:lang w:eastAsia="ru-RU"/>
              </w:rPr>
              <w:t xml:space="preserve"> p=0,246</w:t>
            </w:r>
          </w:p>
        </w:tc>
      </w:tr>
      <w:tr w:rsidR="00A75A8D">
        <w:trPr>
          <w:trHeight w:val="531"/>
        </w:trPr>
        <w:tc>
          <w:tcPr>
            <w:tcW w:w="754" w:type="pct"/>
            <w:vMerge/>
            <w:tcBorders>
              <w:top w:val="single" w:sz="8" w:space="0" w:color="auto"/>
              <w:left w:val="single" w:sz="8" w:space="0" w:color="auto"/>
              <w:bottom w:val="single" w:sz="8" w:space="0" w:color="auto"/>
              <w:right w:val="single" w:sz="4" w:space="0" w:color="auto"/>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c>
          <w:tcPr>
            <w:tcW w:w="671" w:type="pct"/>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нет</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403</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65,6</w:t>
            </w:r>
          </w:p>
        </w:tc>
        <w:tc>
          <w:tcPr>
            <w:tcW w:w="299" w:type="pct"/>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71</w:t>
            </w:r>
          </w:p>
        </w:tc>
        <w:tc>
          <w:tcPr>
            <w:tcW w:w="375" w:type="pct"/>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11,6</w:t>
            </w:r>
          </w:p>
        </w:tc>
        <w:tc>
          <w:tcPr>
            <w:tcW w:w="299" w:type="pct"/>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76</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12,4</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550</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89,6</w:t>
            </w:r>
          </w:p>
        </w:tc>
        <w:tc>
          <w:tcPr>
            <w:tcW w:w="730" w:type="pct"/>
            <w:vMerge/>
            <w:tcBorders>
              <w:top w:val="single" w:sz="4" w:space="0" w:color="auto"/>
              <w:left w:val="single" w:sz="4" w:space="0" w:color="auto"/>
              <w:bottom w:val="single" w:sz="4" w:space="0" w:color="auto"/>
              <w:right w:val="single" w:sz="4" w:space="0" w:color="auto"/>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r>
      <w:tr w:rsidR="00A75A8D">
        <w:trPr>
          <w:trHeight w:val="351"/>
        </w:trPr>
        <w:tc>
          <w:tcPr>
            <w:tcW w:w="1424" w:type="pct"/>
            <w:gridSpan w:val="2"/>
            <w:tcBorders>
              <w:top w:val="single" w:sz="8" w:space="0" w:color="auto"/>
              <w:left w:val="single" w:sz="8" w:space="0" w:color="auto"/>
              <w:bottom w:val="single" w:sz="8" w:space="0" w:color="000000"/>
              <w:right w:val="single" w:sz="4" w:space="0" w:color="auto"/>
            </w:tcBorders>
            <w:vAlign w:val="center"/>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Всего</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447</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72,8</w:t>
            </w:r>
          </w:p>
        </w:tc>
        <w:tc>
          <w:tcPr>
            <w:tcW w:w="299" w:type="pct"/>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84</w:t>
            </w:r>
          </w:p>
        </w:tc>
        <w:tc>
          <w:tcPr>
            <w:tcW w:w="375" w:type="pct"/>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13,7</w:t>
            </w:r>
          </w:p>
        </w:tc>
        <w:tc>
          <w:tcPr>
            <w:tcW w:w="299" w:type="pct"/>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83</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13,5</w:t>
            </w:r>
          </w:p>
        </w:tc>
        <w:tc>
          <w:tcPr>
            <w:tcW w:w="374" w:type="pct"/>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614</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100</w:t>
            </w:r>
          </w:p>
        </w:tc>
        <w:tc>
          <w:tcPr>
            <w:tcW w:w="730" w:type="pct"/>
            <w:tcBorders>
              <w:top w:val="single" w:sz="4" w:space="0" w:color="auto"/>
              <w:left w:val="single" w:sz="4" w:space="0" w:color="auto"/>
              <w:bottom w:val="single" w:sz="4" w:space="0" w:color="auto"/>
              <w:right w:val="single" w:sz="4" w:space="0" w:color="auto"/>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r>
    </w:tbl>
    <w:p w:rsidR="00A75A8D" w:rsidRDefault="00A75A8D">
      <w:pPr>
        <w:pStyle w:val="af3"/>
        <w:rPr>
          <w:lang w:eastAsia="ru-RU"/>
        </w:rPr>
      </w:pPr>
    </w:p>
    <w:p w:rsidR="00A75A8D" w:rsidRDefault="008A6A51">
      <w:pPr>
        <w:pStyle w:val="af3"/>
      </w:pPr>
      <w:r>
        <w:rPr>
          <w:lang w:eastAsia="ru-RU"/>
        </w:rPr>
        <w:lastRenderedPageBreak/>
        <w:t xml:space="preserve">Как видно из таблицы 11 при анализе </w:t>
      </w:r>
      <w:r>
        <w:rPr>
          <w:color w:val="000000" w:themeColor="text1"/>
          <w:lang w:eastAsia="ru-RU"/>
        </w:rPr>
        <w:t>гендерного</w:t>
      </w:r>
      <w:r>
        <w:rPr>
          <w:color w:val="FF0000"/>
          <w:lang w:eastAsia="ru-RU"/>
        </w:rPr>
        <w:t xml:space="preserve"> </w:t>
      </w:r>
      <w:r>
        <w:rPr>
          <w:lang w:eastAsia="ru-RU"/>
        </w:rPr>
        <w:t xml:space="preserve">показателя выявлены статистически значимые различия между мужчинами и женщинами в зависимости от категории </w:t>
      </w:r>
      <w:r>
        <w:rPr>
          <w:lang w:val="en-US"/>
        </w:rPr>
        <w:t>Lung</w:t>
      </w:r>
      <w:r>
        <w:t>-</w:t>
      </w:r>
      <w:r>
        <w:rPr>
          <w:lang w:val="en-US"/>
        </w:rPr>
        <w:t>RADS</w:t>
      </w:r>
      <w:r>
        <w:t xml:space="preserve">, </w:t>
      </w:r>
      <w:r>
        <w:rPr>
          <w:lang w:eastAsia="ru-RU"/>
        </w:rPr>
        <w:t xml:space="preserve">p=0,012. </w:t>
      </w:r>
      <w:r>
        <w:rPr>
          <w:color w:val="000000" w:themeColor="text1"/>
        </w:rPr>
        <w:t xml:space="preserve">Легочные узлы, соответствующие категориям </w:t>
      </w:r>
      <w:r>
        <w:rPr>
          <w:color w:val="000000" w:themeColor="text1"/>
          <w:lang w:val="en-US"/>
        </w:rPr>
        <w:t>Lung</w:t>
      </w:r>
      <w:r>
        <w:rPr>
          <w:color w:val="000000" w:themeColor="text1"/>
        </w:rPr>
        <w:t>-</w:t>
      </w:r>
      <w:r>
        <w:rPr>
          <w:color w:val="000000" w:themeColor="text1"/>
          <w:lang w:val="en-US"/>
        </w:rPr>
        <w:t>RADS</w:t>
      </w:r>
      <w:r>
        <w:rPr>
          <w:color w:val="000000" w:themeColor="text1"/>
        </w:rPr>
        <w:t xml:space="preserve"> 3, 4А и 4В выявлены у 322 мужчин, которые составили 52,4%, тогда как у женщин выявлено 292 узла, что составило 47,6%. Таким образом, отмечается небольшое превалирование мужчин, у которых выявлены узлы в легких при проведении низкодозной компьютерной томог</w:t>
      </w:r>
      <w:r>
        <w:rPr>
          <w:color w:val="000000" w:themeColor="text1"/>
        </w:rPr>
        <w:t xml:space="preserve">рафии. При распределении по категориям, 4В в 2 раза чаще встречалась у мужчин, чем среди женщин, что было статистически достоверно. </w:t>
      </w:r>
    </w:p>
    <w:p w:rsidR="00A75A8D" w:rsidRDefault="008A6A51">
      <w:pPr>
        <w:pStyle w:val="af3"/>
      </w:pPr>
      <w:r>
        <w:t>Изучение выявленных легочных узлов в легких в зависимости от возраста показало статистически значимое превалирование измене</w:t>
      </w:r>
      <w:r>
        <w:t>ний характерных для Lung-RADS 3, 4А и 4В в возрастной группе 50-59 лет, что соответствует 28,2% (173/614), 5,2% (32/614) и 5,0% (31/614), а наименьшее количество выявленных узлов отмечено в возрастной группе 70-75 лет, что составило 3,6% (22/614), 1,5% (9/</w:t>
      </w:r>
      <w:r>
        <w:t xml:space="preserve">614) и 2,6% (16/614) соответственно для указанных категорий. </w:t>
      </w:r>
    </w:p>
    <w:p w:rsidR="00A75A8D" w:rsidRDefault="008A6A51">
      <w:pPr>
        <w:pStyle w:val="af3"/>
      </w:pPr>
      <w:r>
        <w:t xml:space="preserve">При изучении семейного анамнеза у 89,6% участников, у которых при низкодозной компьютерной томографии обнаружены легочные узлы категорий Lung-RADS 3, 4А и 4В, выявлено отсутствие рака легкого в </w:t>
      </w:r>
      <w:r>
        <w:t>анамнезе у родственников первого родства. Тогда как 10,4% участников с легочными узлами имели положительный семейный анамнез. При сравнении контингента пациентов с положительным семейным анамнезом, превалировали легочные узлы, характерные для категории Lun</w:t>
      </w:r>
      <w:r>
        <w:t xml:space="preserve">g-RADS 3.  </w:t>
      </w:r>
    </w:p>
    <w:p w:rsidR="00A75A8D" w:rsidRDefault="008A6A51">
      <w:pPr>
        <w:pStyle w:val="af3"/>
      </w:pPr>
      <w:r>
        <w:rPr>
          <w:lang w:eastAsia="ru-RU"/>
        </w:rPr>
        <w:t xml:space="preserve">Таким образом, анализ легочных узлов при проведении низкодозной компьютерной томографии выявил статистически значимое превалирование узлов </w:t>
      </w:r>
      <w:r>
        <w:rPr>
          <w:lang w:eastAsia="zh-CN" w:bidi="ar"/>
        </w:rPr>
        <w:t xml:space="preserve">категорий </w:t>
      </w:r>
      <w:r>
        <w:t xml:space="preserve">Lung RADS 4А и 4В в группе курящих участников, в сравнении с бывшими курильщиками и некурящими </w:t>
      </w:r>
      <w:r>
        <w:t xml:space="preserve">участниками. Высоко подозрительные на злокачественный процесс легочные узлы </w:t>
      </w:r>
      <w:r>
        <w:rPr>
          <w:lang w:eastAsia="zh-CN" w:bidi="ar"/>
        </w:rPr>
        <w:t xml:space="preserve">категории </w:t>
      </w:r>
      <w:r>
        <w:t>Lung RADS 4В в два раза чаще встречались среди мужчин, чем женщин, а также отмечалось превалирование возрастной группы 50-59 лет, что было статистически достоверным.</w:t>
      </w:r>
    </w:p>
    <w:p w:rsidR="00A75A8D" w:rsidRDefault="008A6A51">
      <w:pPr>
        <w:pStyle w:val="af3"/>
        <w:rPr>
          <w:highlight w:val="yellow"/>
        </w:rPr>
      </w:pPr>
      <w:r>
        <w:t xml:space="preserve">Для </w:t>
      </w:r>
      <w:r>
        <w:t xml:space="preserve">последующей оценки определения изменения размеров легочных узлов мы использовали параметр </w:t>
      </w:r>
      <w:r>
        <w:rPr>
          <w:lang w:val="en-US"/>
        </w:rPr>
        <w:t>VDT</w:t>
      </w:r>
      <w:r>
        <w:t xml:space="preserve"> (</w:t>
      </w:r>
      <w:r>
        <w:rPr>
          <w:lang w:val="en-US"/>
        </w:rPr>
        <w:t>volume</w:t>
      </w:r>
      <w:r>
        <w:t xml:space="preserve"> </w:t>
      </w:r>
      <w:r>
        <w:rPr>
          <w:lang w:val="en-US"/>
        </w:rPr>
        <w:t>double</w:t>
      </w:r>
      <w:r>
        <w:t xml:space="preserve"> </w:t>
      </w:r>
      <w:r>
        <w:rPr>
          <w:lang w:val="en-US"/>
        </w:rPr>
        <w:t>time</w:t>
      </w:r>
      <w:r>
        <w:t xml:space="preserve"> или время удвоения объема). </w:t>
      </w:r>
      <w:r>
        <w:rPr>
          <w:lang w:val="en-US"/>
        </w:rPr>
        <w:t>VDT</w:t>
      </w:r>
      <w:r>
        <w:t xml:space="preserve"> определяется как время, необходимое для удвоения объема легочного узла. Согласно исследованиям, </w:t>
      </w:r>
      <w:r>
        <w:rPr>
          <w:lang w:val="en-US"/>
        </w:rPr>
        <w:t>VDT</w:t>
      </w:r>
      <w:r>
        <w:t xml:space="preserve"> менее 400 </w:t>
      </w:r>
      <w:r>
        <w:t xml:space="preserve">дней представляет собой высокую вероятность злокачественного новообразования и требуют морфологической верификации.  Тогда как </w:t>
      </w:r>
      <w:r>
        <w:rPr>
          <w:lang w:val="en-US"/>
        </w:rPr>
        <w:t>VDT</w:t>
      </w:r>
      <w:r>
        <w:t xml:space="preserve"> более 600 дней характерен для доброкачественного процесса и не требуют морфологической верификации [159].</w:t>
      </w:r>
      <w:r>
        <w:rPr>
          <w:color w:val="FF0000"/>
        </w:rPr>
        <w:t xml:space="preserve"> </w:t>
      </w:r>
      <w:r>
        <w:t>По истечении период</w:t>
      </w:r>
      <w:r>
        <w:t xml:space="preserve">а динамического наблюдения в нашем исследовании, в случае увеличения размеров узлов, применялся онлайн калькулятор для расчета </w:t>
      </w:r>
      <w:r>
        <w:rPr>
          <w:lang w:val="en-US"/>
        </w:rPr>
        <w:t>VDT</w:t>
      </w:r>
      <w:r>
        <w:t xml:space="preserve">. </w:t>
      </w:r>
    </w:p>
    <w:p w:rsidR="00A75A8D" w:rsidRDefault="008A6A51">
      <w:pPr>
        <w:pStyle w:val="af3"/>
      </w:pPr>
      <w:r>
        <w:t xml:space="preserve">Согласно рекомендациям классификации </w:t>
      </w:r>
      <w:r>
        <w:rPr>
          <w:lang w:val="en-US"/>
        </w:rPr>
        <w:t>Lung</w:t>
      </w:r>
      <w:r>
        <w:t>-</w:t>
      </w:r>
      <w:r>
        <w:rPr>
          <w:lang w:val="en-US"/>
        </w:rPr>
        <w:t>RADS</w:t>
      </w:r>
      <w:r>
        <w:t>, узлы категории 3 являются вероятнее доброкачественными с вероятностью злока</w:t>
      </w:r>
      <w:r>
        <w:t xml:space="preserve">чественности менее 2% и требуют НДКТ динамического наблюдения через 6 месяцев. В нашем исследовании 59,7% (267/447) пациентов прошли повторное сканирование через 6 месяцев. Из них в 96,6% (258/267) случаев узлы не поменяли размер и </w:t>
      </w:r>
      <w:r>
        <w:lastRenderedPageBreak/>
        <w:t xml:space="preserve">оставались стабильными. </w:t>
      </w:r>
      <w:r>
        <w:t>В 3,4% (9/267) случаев не визуализировались при повторном сканировании через 6 месяцев, что позволило нам интерпретировать данные узлы как поствоспалительные. Таким образом, после первого раунда сканирования, по результатам нашего исследования, 267 легочны</w:t>
      </w:r>
      <w:r>
        <w:t xml:space="preserve">х узлов категории </w:t>
      </w:r>
      <w:r>
        <w:rPr>
          <w:lang w:val="en-US"/>
        </w:rPr>
        <w:t>Lung</w:t>
      </w:r>
      <w:r>
        <w:t>-</w:t>
      </w:r>
      <w:r>
        <w:rPr>
          <w:lang w:val="en-US"/>
        </w:rPr>
        <w:t>RADS</w:t>
      </w:r>
      <w:r>
        <w:t xml:space="preserve"> 3 переведены в категорию </w:t>
      </w:r>
      <w:r>
        <w:rPr>
          <w:lang w:val="en-US"/>
        </w:rPr>
        <w:t>Lung</w:t>
      </w:r>
      <w:r>
        <w:t>-</w:t>
      </w:r>
      <w:r>
        <w:rPr>
          <w:lang w:val="en-US"/>
        </w:rPr>
        <w:t>RADS</w:t>
      </w:r>
      <w:r>
        <w:t xml:space="preserve"> 2 с последующим динамическим наблюдением через 12 месяцев (2 раунд, согласно рекомендациям классификации </w:t>
      </w:r>
      <w:r>
        <w:rPr>
          <w:lang w:val="en-US"/>
        </w:rPr>
        <w:t>Lung</w:t>
      </w:r>
      <w:r>
        <w:t>-</w:t>
      </w:r>
      <w:r>
        <w:rPr>
          <w:lang w:val="en-US"/>
        </w:rPr>
        <w:t>RADS</w:t>
      </w:r>
      <w:r>
        <w:t xml:space="preserve">). </w:t>
      </w:r>
    </w:p>
    <w:p w:rsidR="00A75A8D" w:rsidRDefault="008A6A51">
      <w:pPr>
        <w:pStyle w:val="af3"/>
      </w:pPr>
      <w:r>
        <w:t>По результатам второго раунда сканирования в 3,4% случаев (9/267) повторног</w:t>
      </w:r>
      <w:r>
        <w:t xml:space="preserve">о появления легочных узлов не наблюдалось. После второго раунда сканирования в 98,8% (255/258) случаев легочные узлы не изменили свой размер, в 1,2% (3/258) случаев узлы увеличились в размере, а показатель </w:t>
      </w:r>
      <w:r>
        <w:rPr>
          <w:lang w:val="en-US"/>
        </w:rPr>
        <w:t>VDT</w:t>
      </w:r>
      <w:r>
        <w:t xml:space="preserve"> был менее 400 дней (259, 160 и 261), что указы</w:t>
      </w:r>
      <w:r>
        <w:t>вало на высокую вероятность злокачественности данных узлов. Более того, с ростом размеров узлов, также изменились их контуры, которые стали нечеткие и неровные. Учитывая изменения в размерах и контурах выявленных узлов, необходимо проведение дополнительных</w:t>
      </w:r>
      <w:r>
        <w:t xml:space="preserve"> методов исследования с последующей патоморфологической верификацией.</w:t>
      </w:r>
    </w:p>
    <w:p w:rsidR="00A75A8D" w:rsidRDefault="008A6A51">
      <w:pPr>
        <w:pStyle w:val="af3"/>
      </w:pPr>
      <w:r>
        <w:t>Узлы категории Lung-RADS 4А являются подозрительными на злокачественный процесс (вероятность злокачественности 5-15%) и требуют краткосрочного динамического наблюдения через 3 месяца либо проведения ПЭТ/КТ исследования. В нашем исследовании в 92% (78/84) с</w:t>
      </w:r>
      <w:r>
        <w:t xml:space="preserve">лучаев легочные узлы требовали динамического контроля так как имели четкие ровные или бугристые контуры, а в 7,2% (6/84) случаев имели неровные и спикулообразные контуры, поэтому были направлены на дополнительные диагностические тесты </w:t>
      </w:r>
      <w:r>
        <w:rPr>
          <w:bCs/>
        </w:rPr>
        <w:t>с последующей патомор</w:t>
      </w:r>
      <w:r>
        <w:rPr>
          <w:bCs/>
        </w:rPr>
        <w:t>фологической верификацией.</w:t>
      </w:r>
      <w:r>
        <w:rPr>
          <w:b/>
          <w:bCs/>
        </w:rPr>
        <w:t xml:space="preserve"> </w:t>
      </w:r>
      <w:r>
        <w:t xml:space="preserve">Согласно рекомендациям классификации </w:t>
      </w:r>
      <w:r>
        <w:rPr>
          <w:lang w:val="en-US"/>
        </w:rPr>
        <w:t>Lung</w:t>
      </w:r>
      <w:r>
        <w:t>-</w:t>
      </w:r>
      <w:r>
        <w:rPr>
          <w:lang w:val="en-US"/>
        </w:rPr>
        <w:t>RADS</w:t>
      </w:r>
      <w:r>
        <w:t>, легочные узлы, категории 4А, которые остаются стабильными в течении наблюдаемого периода, переводятся в категорию 2 и требуют динамического наблюдения через 12 месяцев. Так, в 97,4% (76/78) случаев выявленные легочные узлы не изменили свой размер, а в 2,</w:t>
      </w:r>
      <w:r>
        <w:t xml:space="preserve">6% (2/78) случаев узлы увеличились в размере, а показатель </w:t>
      </w:r>
      <w:r>
        <w:rPr>
          <w:lang w:val="en-US"/>
        </w:rPr>
        <w:t>VDT</w:t>
      </w:r>
      <w:r>
        <w:t xml:space="preserve"> был меньше 400 дней (245 и 173), что указывало на высокую вероятность злокачественности данных узлов.</w:t>
      </w:r>
    </w:p>
    <w:p w:rsidR="00A75A8D" w:rsidRDefault="008A6A51">
      <w:pPr>
        <w:pStyle w:val="af3"/>
      </w:pPr>
      <w:r>
        <w:t>Таким образом 2 подозрительных на злокачественный процесс легочных узла отправлены на допол</w:t>
      </w:r>
      <w:r>
        <w:t>нительные диагностические тесты с последующей патоморфологической верификацией.</w:t>
      </w:r>
    </w:p>
    <w:p w:rsidR="00A75A8D" w:rsidRDefault="008A6A51">
      <w:pPr>
        <w:pStyle w:val="af3"/>
      </w:pPr>
      <w:r>
        <w:t xml:space="preserve">В нашем исследовании 83 легочных узла соответствовали категории Lung-RADS 4В, которые являются высоко подозрительными на злокачественный процесс (вероятность злокачественности </w:t>
      </w:r>
      <w:r>
        <w:t>более 15%), требуют проведения дополнительных диагностических тестов и морфологической верификации. Все легочные узлы данной категории верифицированы различными способами, включая трансторакальную биопсию, хирургическое лечение и фибробронхоскопию с послед</w:t>
      </w:r>
      <w:r>
        <w:t>ующим гистологическим исследованием.</w:t>
      </w:r>
    </w:p>
    <w:p w:rsidR="00A75A8D" w:rsidRDefault="008A6A51">
      <w:pPr>
        <w:pStyle w:val="af3"/>
      </w:pPr>
      <w:r>
        <w:t xml:space="preserve">Таким образом, из выявленных 614 легочных узла, категорий Lung-RADS 3, 4А и 4В, контрольному сканированию подверглись 345/614 (56,2%) легочных узла. К концу наблюдаемого периода (20 месяцев для категории Lung-RADS 3 и </w:t>
      </w:r>
      <w:r>
        <w:lastRenderedPageBreak/>
        <w:t>1</w:t>
      </w:r>
      <w:r>
        <w:t>5 месяцев для категории Lung-RADS 4А), 95,9% (331/345) узлов сохранили прежние размеры (</w:t>
      </w:r>
      <w:r>
        <w:rPr>
          <w:lang w:val="en-US"/>
        </w:rPr>
        <w:t>VDT</w:t>
      </w:r>
      <w:r>
        <w:rPr>
          <w:rFonts w:ascii="Calibri" w:hAnsi="Calibri" w:cs="Calibri"/>
        </w:rPr>
        <w:t>&gt;</w:t>
      </w:r>
      <w:r>
        <w:t>600 дней), 2,6% (9/345) не визуализировались при повторном сканировании и 1,5% (5/345) увеличились в размере (</w:t>
      </w:r>
      <w:r>
        <w:rPr>
          <w:lang w:val="en-US"/>
        </w:rPr>
        <w:t>VDT</w:t>
      </w:r>
      <w:r>
        <w:t xml:space="preserve">&lt;400 дней). </w:t>
      </w:r>
    </w:p>
    <w:p w:rsidR="00A75A8D" w:rsidRDefault="008A6A51">
      <w:pPr>
        <w:pStyle w:val="af3"/>
      </w:pPr>
      <w:r>
        <w:t xml:space="preserve">Дополнительным диагностическим тестам </w:t>
      </w:r>
      <w:r>
        <w:t xml:space="preserve">с последующей патоморфологической верификацией подверглись 94/614 узла (15,3%), из которых в 84,1% (79/94) случаев подтвержден злокачественный процесс, а в 15,9% (15/94) случаев выявлен доброкачественный процесс. </w:t>
      </w:r>
    </w:p>
    <w:p w:rsidR="00A75A8D" w:rsidRDefault="008A6A51">
      <w:pPr>
        <w:pStyle w:val="af3"/>
      </w:pPr>
      <w:r>
        <w:t>Таким образом, из легочных узлов категорий</w:t>
      </w:r>
      <w:r>
        <w:t xml:space="preserve"> </w:t>
      </w:r>
      <w:r>
        <w:rPr>
          <w:lang w:val="en-US"/>
        </w:rPr>
        <w:t>Lung</w:t>
      </w:r>
      <w:r>
        <w:t>-</w:t>
      </w:r>
      <w:r>
        <w:rPr>
          <w:lang w:val="en-US"/>
        </w:rPr>
        <w:t>RADS</w:t>
      </w:r>
      <w:r>
        <w:t xml:space="preserve"> 3, 4А и 4В всего выявлено 346 доброкачественных легочных узла и 79 злокачественных, а показатель </w:t>
      </w:r>
      <w:r>
        <w:rPr>
          <w:lang w:val="en-US"/>
        </w:rPr>
        <w:t>CDR</w:t>
      </w:r>
      <w:r>
        <w:t xml:space="preserve"> составил 2,15%.</w:t>
      </w:r>
    </w:p>
    <w:p w:rsidR="00A75A8D" w:rsidRDefault="008A6A51">
      <w:pPr>
        <w:pStyle w:val="af3"/>
      </w:pPr>
      <w:r>
        <w:t>В 86,1% (68/94) случаев проведено хирургическое лечение с последующей патоморфологической верификацией, в 11,4% (9/94) случаев ф</w:t>
      </w:r>
      <w:r>
        <w:t>ибробронхоскопия с биопсией и в 2,5% (2/94) случаев трансторакальная биопсия.</w:t>
      </w:r>
    </w:p>
    <w:p w:rsidR="00A75A8D" w:rsidRDefault="008A6A51">
      <w:pPr>
        <w:pStyle w:val="af3"/>
      </w:pPr>
      <w:r>
        <w:t xml:space="preserve">Согласно результатам патоморфологического исследования, в 57% (45/79) случаев гистологический тип рака легкого представлен </w:t>
      </w:r>
      <w:r>
        <w:rPr>
          <w:lang w:eastAsia="ru-RU"/>
        </w:rPr>
        <w:t>аденокарциномой</w:t>
      </w:r>
      <w:r>
        <w:t>, в 39,2% (31/79) - плоскоклеточной карц</w:t>
      </w:r>
      <w:r>
        <w:t xml:space="preserve">иномой и в 3,8% (3/79) - мелкоклеточной карциномой (рисунок 19). </w:t>
      </w:r>
    </w:p>
    <w:p w:rsidR="00A75A8D" w:rsidRDefault="008A6A51">
      <w:pPr>
        <w:pStyle w:val="af3"/>
        <w:jc w:val="center"/>
      </w:pPr>
      <w:r>
        <w:rPr>
          <w:noProof/>
          <w:lang w:eastAsia="ru-RU"/>
        </w:rPr>
        <w:drawing>
          <wp:inline distT="0" distB="0" distL="114300" distR="114300">
            <wp:extent cx="5252085" cy="3391535"/>
            <wp:effectExtent l="0" t="0" r="5715" b="18415"/>
            <wp:docPr id="19"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A75A8D" w:rsidRDefault="00A75A8D">
      <w:pPr>
        <w:pStyle w:val="af3"/>
      </w:pPr>
    </w:p>
    <w:p w:rsidR="00A75A8D" w:rsidRDefault="008A6A51">
      <w:pPr>
        <w:pStyle w:val="af3"/>
        <w:jc w:val="center"/>
      </w:pPr>
      <w:r>
        <w:t>Рисунок 19 - Распределение гистологических форм рака легкого по результатам патоморфологического исследования (%)</w:t>
      </w:r>
    </w:p>
    <w:p w:rsidR="00A75A8D" w:rsidRDefault="00A75A8D">
      <w:pPr>
        <w:pStyle w:val="af3"/>
      </w:pPr>
    </w:p>
    <w:p w:rsidR="00A75A8D" w:rsidRDefault="008A6A51">
      <w:pPr>
        <w:pStyle w:val="af3"/>
      </w:pPr>
      <w:r>
        <w:t xml:space="preserve">Анализ распределения выявленных случаев рака легкого по стадиям показал </w:t>
      </w:r>
      <w:r>
        <w:t>превалирование 3 стадии (рисунок 20)</w:t>
      </w:r>
    </w:p>
    <w:p w:rsidR="00A75A8D" w:rsidRDefault="00A75A8D">
      <w:pPr>
        <w:pStyle w:val="af3"/>
      </w:pPr>
    </w:p>
    <w:p w:rsidR="00A75A8D" w:rsidRDefault="008A6A51">
      <w:pPr>
        <w:pStyle w:val="af3"/>
        <w:jc w:val="center"/>
      </w:pPr>
      <w:r>
        <w:rPr>
          <w:noProof/>
          <w:lang w:eastAsia="ru-RU"/>
        </w:rPr>
        <w:lastRenderedPageBreak/>
        <w:drawing>
          <wp:inline distT="0" distB="0" distL="114300" distR="114300">
            <wp:extent cx="5645785" cy="2221230"/>
            <wp:effectExtent l="4445" t="4445" r="7620" b="22225"/>
            <wp:docPr id="2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A75A8D" w:rsidRDefault="00A75A8D">
      <w:pPr>
        <w:pStyle w:val="af3"/>
      </w:pPr>
    </w:p>
    <w:p w:rsidR="00A75A8D" w:rsidRDefault="008A6A51">
      <w:pPr>
        <w:pStyle w:val="af3"/>
        <w:jc w:val="center"/>
      </w:pPr>
      <w:r>
        <w:t>Рисунок 20 - Распределение выявленных случаев рака легкого по стадиям                    (абс)</w:t>
      </w:r>
    </w:p>
    <w:p w:rsidR="00A75A8D" w:rsidRDefault="00A75A8D">
      <w:pPr>
        <w:pStyle w:val="af3"/>
      </w:pPr>
    </w:p>
    <w:p w:rsidR="00A75A8D" w:rsidRDefault="008A6A51">
      <w:pPr>
        <w:pStyle w:val="af3"/>
      </w:pPr>
      <w:r>
        <w:t xml:space="preserve">Согласно данным рисунка 20 ранние (I-II) стадии рака легкого диагностированы в 39,2% случаев (31/79) пациентов. Из них </w:t>
      </w:r>
      <w:r>
        <w:t xml:space="preserve">у </w:t>
      </w:r>
      <w:r>
        <w:rPr>
          <w:lang w:eastAsia="ru-RU"/>
        </w:rPr>
        <w:t xml:space="preserve">8 </w:t>
      </w:r>
      <w:r>
        <w:t xml:space="preserve">(10,1%) рак легкого обнаружен на I стадии, по 4 пациента в IA и IB; у 23 (29,1%) пациента рак легкого диагностирован на II стадии: IIA - 9 (11,4%) и IIB - 14 (17,7%). В то время как большинство случаев рака легкого пришлось на III стадию - 47 (59,5%), </w:t>
      </w:r>
      <w:r>
        <w:t xml:space="preserve">из </w:t>
      </w:r>
      <w:r>
        <w:rPr>
          <w:lang w:eastAsia="ru-RU"/>
        </w:rPr>
        <w:t>них</w:t>
      </w:r>
      <w:r>
        <w:t xml:space="preserve">: IIIA - 34 (43,0%), IIIB - 9 (11,4%) и IIIC - 4 (5,1%), IVA стадия обнаружена у одного пациента, что составило 1,3%. </w:t>
      </w:r>
    </w:p>
    <w:p w:rsidR="00A75A8D" w:rsidRDefault="008A6A51">
      <w:pPr>
        <w:pStyle w:val="af3"/>
        <w:ind w:firstLine="708"/>
        <w:rPr>
          <w:lang w:eastAsia="ru-RU"/>
        </w:rPr>
      </w:pPr>
      <w:r>
        <w:rPr>
          <w:noProof/>
          <w:lang w:eastAsia="ru-RU"/>
        </w:rPr>
        <w:drawing>
          <wp:anchor distT="0" distB="0" distL="114300" distR="114300" simplePos="0" relativeHeight="251662336" behindDoc="0" locked="0" layoutInCell="1" allowOverlap="1">
            <wp:simplePos x="0" y="0"/>
            <wp:positionH relativeFrom="column">
              <wp:posOffset>189230</wp:posOffset>
            </wp:positionH>
            <wp:positionV relativeFrom="paragraph">
              <wp:posOffset>1040130</wp:posOffset>
            </wp:positionV>
            <wp:extent cx="5368925" cy="2974975"/>
            <wp:effectExtent l="0" t="0" r="3175" b="0"/>
            <wp:wrapTopAndBottom/>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5368925" cy="2974975"/>
                    </a:xfrm>
                    <a:prstGeom prst="rect">
                      <a:avLst/>
                    </a:prstGeom>
                    <a:noFill/>
                    <a:ln>
                      <a:noFill/>
                    </a:ln>
                  </pic:spPr>
                </pic:pic>
              </a:graphicData>
            </a:graphic>
          </wp:anchor>
        </w:drawing>
      </w:r>
      <w:r>
        <w:rPr>
          <w:lang w:eastAsia="ru-RU"/>
        </w:rPr>
        <w:t xml:space="preserve">Для сравнительного анализа распределения стадий рака легкого до и после нашего исследования применен парный </w:t>
      </w:r>
      <w:r>
        <w:rPr>
          <w:lang w:val="en-US" w:eastAsia="ru-RU"/>
        </w:rPr>
        <w:t>t</w:t>
      </w:r>
      <w:r>
        <w:rPr>
          <w:lang w:eastAsia="ru-RU"/>
        </w:rPr>
        <w:t>-критерий Стьюдента д</w:t>
      </w:r>
      <w:r>
        <w:rPr>
          <w:lang w:eastAsia="ru-RU"/>
        </w:rPr>
        <w:t>ля зависимых совокупностей. Проведен расчет среднегодового показателя по каждой стадии (</w:t>
      </w:r>
      <w:r>
        <w:rPr>
          <w:lang w:val="en-US" w:eastAsia="ru-RU"/>
        </w:rPr>
        <w:t>I</w:t>
      </w:r>
      <w:r>
        <w:rPr>
          <w:lang w:eastAsia="ru-RU"/>
        </w:rPr>
        <w:t>-</w:t>
      </w:r>
      <w:r>
        <w:rPr>
          <w:lang w:val="en-US" w:eastAsia="ru-RU"/>
        </w:rPr>
        <w:t>IV</w:t>
      </w:r>
      <w:r>
        <w:rPr>
          <w:lang w:eastAsia="ru-RU"/>
        </w:rPr>
        <w:t xml:space="preserve">) за исследуемый период с 2009 по 2018 года, который составил: 6,2%, 21,7%, 53,1% 21,2% соответственно для </w:t>
      </w:r>
      <w:r>
        <w:rPr>
          <w:lang w:val="en-US" w:eastAsia="ru-RU"/>
        </w:rPr>
        <w:t>I</w:t>
      </w:r>
      <w:r>
        <w:rPr>
          <w:lang w:eastAsia="ru-RU"/>
        </w:rPr>
        <w:t xml:space="preserve">, </w:t>
      </w:r>
      <w:r>
        <w:rPr>
          <w:lang w:val="en-US" w:eastAsia="ru-RU"/>
        </w:rPr>
        <w:t>II</w:t>
      </w:r>
      <w:r>
        <w:rPr>
          <w:lang w:eastAsia="ru-RU"/>
        </w:rPr>
        <w:t xml:space="preserve">, </w:t>
      </w:r>
      <w:r>
        <w:rPr>
          <w:lang w:val="en-US" w:eastAsia="ru-RU"/>
        </w:rPr>
        <w:t>III</w:t>
      </w:r>
      <w:r>
        <w:rPr>
          <w:lang w:eastAsia="ru-RU"/>
        </w:rPr>
        <w:t xml:space="preserve"> и </w:t>
      </w:r>
      <w:r>
        <w:rPr>
          <w:lang w:val="en-US" w:eastAsia="ru-RU"/>
        </w:rPr>
        <w:t>IV</w:t>
      </w:r>
      <w:r>
        <w:rPr>
          <w:lang w:eastAsia="ru-RU"/>
        </w:rPr>
        <w:t xml:space="preserve"> стадий (рисунок 20).</w:t>
      </w:r>
    </w:p>
    <w:p w:rsidR="00A75A8D" w:rsidRDefault="008A6A51">
      <w:pPr>
        <w:pStyle w:val="af3"/>
        <w:ind w:firstLine="0"/>
        <w:jc w:val="center"/>
        <w:rPr>
          <w:lang w:eastAsia="ru-RU"/>
        </w:rPr>
      </w:pPr>
      <w:r>
        <w:t xml:space="preserve">Рисунок 20 - </w:t>
      </w:r>
      <w:r>
        <w:rPr>
          <w:lang w:eastAsia="ru-RU"/>
        </w:rPr>
        <w:t>распред</w:t>
      </w:r>
      <w:r>
        <w:rPr>
          <w:lang w:eastAsia="ru-RU"/>
        </w:rPr>
        <w:t>еление стадий рака легкого за изучаемый период и в результате проведения низкодозной компьютерной томографии (%)</w:t>
      </w:r>
    </w:p>
    <w:p w:rsidR="00A75A8D" w:rsidRDefault="00A75A8D">
      <w:pPr>
        <w:pStyle w:val="af3"/>
        <w:ind w:firstLine="708"/>
        <w:jc w:val="center"/>
        <w:rPr>
          <w:lang w:eastAsia="ru-RU"/>
        </w:rPr>
      </w:pPr>
    </w:p>
    <w:p w:rsidR="00A75A8D" w:rsidRDefault="008A6A51">
      <w:pPr>
        <w:pStyle w:val="af3"/>
      </w:pPr>
      <w:r>
        <w:t>Согласно данным рисунка 20 при сравнительном анализе стадий рака легкого между среднегодовым показателем в изучаемых регионах за исследуемый п</w:t>
      </w:r>
      <w:r>
        <w:t>ериод с 2009 по 2018 год и в результате проведения низкодозной компьютерной томографии процент выявления рака легкого при I стадии увеличился на 38,7% с 6,2% до 10,1%; процент выявления II стадии увеличился на 25,4% с 21,7% до 29,1%. Таким образом, общий п</w:t>
      </w:r>
      <w:r>
        <w:t>роцент выявления рака легкого на ранних стадиях (I-II) увеличился на 28,8%, что в результате применения парного t-критерия Стьюдента для зависимых совокупностей показало статистически значимую связь, р&lt;0,001. Как в результате нашего исследования, так и в р</w:t>
      </w:r>
      <w:r>
        <w:t xml:space="preserve">езультате расчета среднегодового показателя за исследуемый период, процент выявления рака легкого на III стадии показал наивысшие значения 59,5% и 53,1% соответственно. Анализ данных показал, что в результате применения низкодозной компьютерной томографии </w:t>
      </w:r>
      <w:r>
        <w:t>легких отмечается значительное и статистически достоверное снижение процента выявления рака легкого IV стадии с 21,2% до 1,3%, что также имело статистически значимую связь, р&lt;0,001.</w:t>
      </w:r>
    </w:p>
    <w:p w:rsidR="00A75A8D" w:rsidRDefault="008A6A51">
      <w:pPr>
        <w:pStyle w:val="af3"/>
        <w:rPr>
          <w:lang w:eastAsia="ru-RU"/>
        </w:rPr>
      </w:pPr>
      <w:r>
        <w:rPr>
          <w:lang w:eastAsia="ru-RU"/>
        </w:rPr>
        <w:t>По результатам проведенного исследования нами проведен анализ частоты исти</w:t>
      </w:r>
      <w:r>
        <w:rPr>
          <w:lang w:eastAsia="ru-RU"/>
        </w:rPr>
        <w:t>нно положительных, истинно отрицательных, ложноположительных и ложноотрицательных результатов при низкодозной компьютерной томографии легких (рисунок 21).</w:t>
      </w:r>
    </w:p>
    <w:p w:rsidR="00A75A8D" w:rsidRDefault="00A75A8D">
      <w:pPr>
        <w:pStyle w:val="af3"/>
        <w:rPr>
          <w:lang w:eastAsia="ru-RU"/>
        </w:rPr>
      </w:pPr>
    </w:p>
    <w:p w:rsidR="00A75A8D" w:rsidRDefault="008A6A51">
      <w:pPr>
        <w:pStyle w:val="af3"/>
        <w:jc w:val="center"/>
        <w:rPr>
          <w:lang w:eastAsia="ru-RU"/>
        </w:rPr>
      </w:pPr>
      <w:r>
        <w:rPr>
          <w:noProof/>
          <w:lang w:eastAsia="ru-RU"/>
        </w:rPr>
        <w:drawing>
          <wp:inline distT="0" distB="0" distL="114300" distR="114300">
            <wp:extent cx="5943600" cy="3476625"/>
            <wp:effectExtent l="0" t="0" r="0" b="9525"/>
            <wp:docPr id="26"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Изображение 2"/>
                    <pic:cNvPicPr>
                      <a:picLocks noChangeAspect="1"/>
                    </pic:cNvPicPr>
                  </pic:nvPicPr>
                  <pic:blipFill>
                    <a:blip r:embed="rId32"/>
                    <a:stretch>
                      <a:fillRect/>
                    </a:stretch>
                  </pic:blipFill>
                  <pic:spPr>
                    <a:xfrm>
                      <a:off x="0" y="0"/>
                      <a:ext cx="5943600" cy="3476625"/>
                    </a:xfrm>
                    <a:prstGeom prst="rect">
                      <a:avLst/>
                    </a:prstGeom>
                    <a:noFill/>
                    <a:ln>
                      <a:noFill/>
                    </a:ln>
                  </pic:spPr>
                </pic:pic>
              </a:graphicData>
            </a:graphic>
          </wp:inline>
        </w:drawing>
      </w:r>
    </w:p>
    <w:p w:rsidR="00A75A8D" w:rsidRDefault="00A75A8D">
      <w:pPr>
        <w:pStyle w:val="af3"/>
        <w:rPr>
          <w:lang w:eastAsia="ru-RU"/>
        </w:rPr>
      </w:pPr>
    </w:p>
    <w:p w:rsidR="00A75A8D" w:rsidRDefault="008A6A51">
      <w:pPr>
        <w:pStyle w:val="af3"/>
        <w:jc w:val="center"/>
        <w:rPr>
          <w:lang w:eastAsia="ru-RU"/>
        </w:rPr>
      </w:pPr>
      <w:r>
        <w:rPr>
          <w:lang w:eastAsia="ru-RU"/>
        </w:rPr>
        <w:t xml:space="preserve">Рисунок 21 - Диагностическая эффективность низкодозной компьютерной томографии легких в </w:t>
      </w:r>
      <w:r>
        <w:rPr>
          <w:lang w:eastAsia="ru-RU"/>
        </w:rPr>
        <w:t>диагностике рака легкого</w:t>
      </w:r>
    </w:p>
    <w:p w:rsidR="00A75A8D" w:rsidRDefault="008A6A51">
      <w:pPr>
        <w:pStyle w:val="af3"/>
        <w:rPr>
          <w:lang w:eastAsia="ru-RU"/>
        </w:rPr>
      </w:pPr>
      <w:r>
        <w:rPr>
          <w:lang w:eastAsia="ru-RU"/>
        </w:rPr>
        <w:t xml:space="preserve"> </w:t>
      </w:r>
    </w:p>
    <w:p w:rsidR="00A75A8D" w:rsidRDefault="008A6A51">
      <w:pPr>
        <w:pStyle w:val="af3"/>
        <w:rPr>
          <w:lang w:eastAsia="ru-RU"/>
        </w:rPr>
      </w:pPr>
      <w:r>
        <w:rPr>
          <w:lang w:eastAsia="ru-RU"/>
        </w:rPr>
        <w:t xml:space="preserve">Как видно из рисунка 21, анализ результатов данных низкодозной компьютерной томографии 3671 (100%) участников с 1153 легочными узлами </w:t>
      </w:r>
      <w:r>
        <w:rPr>
          <w:lang w:eastAsia="ru-RU"/>
        </w:rPr>
        <w:lastRenderedPageBreak/>
        <w:t>показал, что сведения оказались ложноположительными у 530 (14,4%) пациентов и у 5 (0,2%) пациен</w:t>
      </w:r>
      <w:r>
        <w:rPr>
          <w:lang w:eastAsia="ru-RU"/>
        </w:rPr>
        <w:t xml:space="preserve">тов – ложноотрицательными. </w:t>
      </w:r>
    </w:p>
    <w:p w:rsidR="00A75A8D" w:rsidRDefault="008A6A51">
      <w:pPr>
        <w:spacing w:after="0" w:line="240" w:lineRule="auto"/>
        <w:ind w:firstLineChars="202" w:firstLine="566"/>
        <w:jc w:val="both"/>
        <w:rPr>
          <w:rFonts w:ascii="Times New Roman" w:hAnsi="Times New Roman" w:cs="Times New Roman"/>
          <w:sz w:val="28"/>
          <w:szCs w:val="28"/>
          <w:lang w:eastAsia="ru-RU"/>
        </w:rPr>
      </w:pPr>
      <w:r>
        <w:rPr>
          <w:rFonts w:ascii="Times New Roman" w:hAnsi="Times New Roman" w:cs="Times New Roman"/>
          <w:sz w:val="28"/>
          <w:szCs w:val="28"/>
          <w:lang w:eastAsia="ru-RU"/>
        </w:rPr>
        <w:t>На основании проведенного исследования нами проведена оценка диагностической информативности низкодозной томографии в диагностике рака легкого (таблица 12).</w:t>
      </w:r>
    </w:p>
    <w:p w:rsidR="00A75A8D" w:rsidRDefault="00A75A8D">
      <w:pPr>
        <w:spacing w:after="0" w:line="240" w:lineRule="auto"/>
        <w:ind w:firstLineChars="251" w:firstLine="703"/>
        <w:jc w:val="both"/>
        <w:rPr>
          <w:rFonts w:ascii="Times New Roman" w:hAnsi="Times New Roman" w:cs="Times New Roman"/>
          <w:sz w:val="28"/>
          <w:szCs w:val="28"/>
          <w:lang w:eastAsia="ru-RU"/>
        </w:rPr>
      </w:pPr>
    </w:p>
    <w:p w:rsidR="00A75A8D" w:rsidRDefault="008A6A51">
      <w:pPr>
        <w:pStyle w:val="af3"/>
        <w:ind w:hanging="34"/>
        <w:rPr>
          <w:lang w:eastAsia="ru-RU"/>
        </w:rPr>
      </w:pPr>
      <w:r>
        <w:rPr>
          <w:lang w:eastAsia="ru-RU"/>
        </w:rPr>
        <w:t xml:space="preserve">Таблица 12 - Диагностическая информативность низкодозной компьютерной </w:t>
      </w:r>
      <w:r>
        <w:rPr>
          <w:lang w:eastAsia="ru-RU"/>
        </w:rPr>
        <w:t>томографии в диагностике рака легкого</w:t>
      </w:r>
    </w:p>
    <w:p w:rsidR="00A75A8D" w:rsidRDefault="00A75A8D">
      <w:pPr>
        <w:pStyle w:val="af3"/>
        <w:rPr>
          <w:lang w:eastAsia="ru-RU"/>
        </w:rPr>
      </w:pPr>
    </w:p>
    <w:tbl>
      <w:tblPr>
        <w:tblW w:w="9730" w:type="dxa"/>
        <w:tblInd w:w="93" w:type="dxa"/>
        <w:tblLayout w:type="fixed"/>
        <w:tblLook w:val="04A0" w:firstRow="1" w:lastRow="0" w:firstColumn="1" w:lastColumn="0" w:noHBand="0" w:noVBand="1"/>
      </w:tblPr>
      <w:tblGrid>
        <w:gridCol w:w="2080"/>
        <w:gridCol w:w="1982"/>
        <w:gridCol w:w="2081"/>
        <w:gridCol w:w="2062"/>
        <w:gridCol w:w="1525"/>
      </w:tblGrid>
      <w:tr w:rsidR="00A75A8D">
        <w:trPr>
          <w:trHeight w:val="1271"/>
        </w:trPr>
        <w:tc>
          <w:tcPr>
            <w:tcW w:w="2080" w:type="dxa"/>
            <w:tcBorders>
              <w:top w:val="single" w:sz="2" w:space="0" w:color="000000"/>
              <w:left w:val="single" w:sz="2" w:space="0" w:color="000000"/>
              <w:bottom w:val="single" w:sz="2" w:space="0" w:color="000000"/>
              <w:right w:val="single" w:sz="2" w:space="0" w:color="000000"/>
            </w:tcBorders>
            <w:shd w:val="clear" w:color="auto" w:fill="auto"/>
            <w:vAlign w:val="center"/>
          </w:tcPr>
          <w:p w:rsidR="00A75A8D" w:rsidRDefault="008A6A51">
            <w:pPr>
              <w:spacing w:line="240" w:lineRule="auto"/>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Чувствительность (95% ДИ)</w:t>
            </w:r>
          </w:p>
        </w:tc>
        <w:tc>
          <w:tcPr>
            <w:tcW w:w="1982" w:type="dxa"/>
            <w:tcBorders>
              <w:top w:val="single" w:sz="2" w:space="0" w:color="000000"/>
              <w:left w:val="single" w:sz="2" w:space="0" w:color="000000"/>
              <w:bottom w:val="single" w:sz="2" w:space="0" w:color="000000"/>
              <w:right w:val="single" w:sz="2" w:space="0" w:color="000000"/>
            </w:tcBorders>
            <w:shd w:val="clear" w:color="auto" w:fill="auto"/>
            <w:vAlign w:val="center"/>
          </w:tcPr>
          <w:p w:rsidR="00A75A8D" w:rsidRDefault="008A6A51">
            <w:pPr>
              <w:spacing w:line="240" w:lineRule="auto"/>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Специфичность (95% ДИ)</w:t>
            </w:r>
          </w:p>
        </w:tc>
        <w:tc>
          <w:tcPr>
            <w:tcW w:w="2081" w:type="dxa"/>
            <w:tcBorders>
              <w:top w:val="single" w:sz="2" w:space="0" w:color="000000"/>
              <w:left w:val="single" w:sz="2" w:space="0" w:color="000000"/>
              <w:bottom w:val="single" w:sz="2" w:space="0" w:color="000000"/>
              <w:right w:val="single" w:sz="2" w:space="0" w:color="000000"/>
            </w:tcBorders>
            <w:shd w:val="clear" w:color="auto" w:fill="auto"/>
            <w:vAlign w:val="center"/>
          </w:tcPr>
          <w:p w:rsidR="00A75A8D" w:rsidRDefault="008A6A51">
            <w:pPr>
              <w:spacing w:line="240" w:lineRule="auto"/>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Положительная прогностическая ценность</w:t>
            </w:r>
            <w:r>
              <w:rPr>
                <w:rFonts w:ascii="Times New Roman" w:eastAsia="SimSun" w:hAnsi="Times New Roman" w:cs="Times New Roman"/>
                <w:sz w:val="24"/>
                <w:szCs w:val="24"/>
                <w:lang w:eastAsia="zh-CN" w:bidi="ar"/>
              </w:rPr>
              <w:t xml:space="preserve">        </w:t>
            </w:r>
            <w:r>
              <w:rPr>
                <w:rFonts w:ascii="Times New Roman" w:eastAsia="SimSun" w:hAnsi="Times New Roman" w:cs="Times New Roman"/>
                <w:sz w:val="24"/>
                <w:szCs w:val="24"/>
                <w:lang w:val="en-US" w:eastAsia="zh-CN" w:bidi="ar"/>
              </w:rPr>
              <w:t>(95% ДИ)</w:t>
            </w:r>
          </w:p>
        </w:tc>
        <w:tc>
          <w:tcPr>
            <w:tcW w:w="2062" w:type="dxa"/>
            <w:tcBorders>
              <w:top w:val="single" w:sz="2" w:space="0" w:color="000000"/>
              <w:left w:val="single" w:sz="2" w:space="0" w:color="000000"/>
              <w:bottom w:val="single" w:sz="2" w:space="0" w:color="000000"/>
              <w:right w:val="single" w:sz="2" w:space="0" w:color="000000"/>
            </w:tcBorders>
            <w:shd w:val="clear" w:color="auto" w:fill="auto"/>
            <w:vAlign w:val="center"/>
          </w:tcPr>
          <w:p w:rsidR="00A75A8D" w:rsidRDefault="008A6A51">
            <w:pPr>
              <w:spacing w:line="240" w:lineRule="auto"/>
              <w:jc w:val="center"/>
              <w:textAlignment w:val="bottom"/>
              <w:rPr>
                <w:rFonts w:ascii="Times New Roman" w:hAnsi="Times New Roman" w:cs="Times New Roman"/>
                <w:sz w:val="24"/>
                <w:szCs w:val="24"/>
              </w:rPr>
            </w:pPr>
            <w:r>
              <w:rPr>
                <w:rFonts w:ascii="Times New Roman" w:eastAsia="SimSun" w:hAnsi="Times New Roman" w:cs="Times New Roman"/>
                <w:sz w:val="24"/>
                <w:szCs w:val="24"/>
                <w:lang w:val="en-US" w:eastAsia="zh-CN" w:bidi="ar"/>
              </w:rPr>
              <w:t>Отрицательная прогностическая ценность</w:t>
            </w:r>
            <w:r>
              <w:rPr>
                <w:rFonts w:ascii="Times New Roman" w:eastAsia="SimSun" w:hAnsi="Times New Roman" w:cs="Times New Roman"/>
                <w:sz w:val="24"/>
                <w:szCs w:val="24"/>
                <w:lang w:eastAsia="zh-CN" w:bidi="ar"/>
              </w:rPr>
              <w:t xml:space="preserve">       </w:t>
            </w:r>
            <w:r>
              <w:rPr>
                <w:rFonts w:ascii="Times New Roman" w:eastAsia="SimSun" w:hAnsi="Times New Roman" w:cs="Times New Roman"/>
                <w:sz w:val="24"/>
                <w:szCs w:val="24"/>
                <w:lang w:val="en-US" w:eastAsia="zh-CN" w:bidi="ar"/>
              </w:rPr>
              <w:t>(95% ДИ)</w:t>
            </w:r>
          </w:p>
        </w:tc>
        <w:tc>
          <w:tcPr>
            <w:tcW w:w="1525" w:type="dxa"/>
            <w:tcBorders>
              <w:top w:val="single" w:sz="2" w:space="0" w:color="000000"/>
              <w:left w:val="single" w:sz="2" w:space="0" w:color="000000"/>
              <w:bottom w:val="single" w:sz="2" w:space="0" w:color="000000"/>
              <w:right w:val="single" w:sz="2" w:space="0" w:color="000000"/>
            </w:tcBorders>
            <w:shd w:val="clear" w:color="auto" w:fill="auto"/>
            <w:vAlign w:val="center"/>
          </w:tcPr>
          <w:p w:rsidR="00A75A8D" w:rsidRDefault="008A6A51">
            <w:pPr>
              <w:spacing w:line="240" w:lineRule="auto"/>
              <w:jc w:val="center"/>
              <w:textAlignment w:val="bottom"/>
              <w:rPr>
                <w:rFonts w:ascii="Times New Roman" w:eastAsia="SimSun" w:hAnsi="Times New Roman" w:cs="Times New Roman"/>
                <w:sz w:val="24"/>
                <w:szCs w:val="24"/>
                <w:lang w:eastAsia="zh-CN" w:bidi="ar"/>
              </w:rPr>
            </w:pPr>
            <w:r>
              <w:rPr>
                <w:rFonts w:ascii="Times New Roman" w:eastAsia="SimSun" w:hAnsi="Times New Roman" w:cs="Times New Roman"/>
                <w:sz w:val="24"/>
                <w:szCs w:val="24"/>
                <w:lang w:eastAsia="zh-CN" w:bidi="ar"/>
              </w:rPr>
              <w:t xml:space="preserve">Точность  </w:t>
            </w:r>
            <w:r>
              <w:rPr>
                <w:rFonts w:ascii="Times New Roman" w:eastAsia="SimSun" w:hAnsi="Times New Roman" w:cs="Times New Roman"/>
                <w:sz w:val="24"/>
                <w:szCs w:val="24"/>
                <w:lang w:val="en-US" w:eastAsia="zh-CN" w:bidi="ar"/>
              </w:rPr>
              <w:t>(95% ДИ)</w:t>
            </w:r>
          </w:p>
        </w:tc>
      </w:tr>
      <w:tr w:rsidR="00A75A8D">
        <w:trPr>
          <w:trHeight w:val="420"/>
        </w:trPr>
        <w:tc>
          <w:tcPr>
            <w:tcW w:w="2080" w:type="dxa"/>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line="240" w:lineRule="auto"/>
              <w:jc w:val="center"/>
              <w:textAlignment w:val="bottom"/>
              <w:rPr>
                <w:rFonts w:ascii="Times New Roman" w:eastAsia="SimSun" w:hAnsi="Times New Roman" w:cs="Times New Roman"/>
                <w:sz w:val="24"/>
                <w:szCs w:val="24"/>
                <w:lang w:val="en-US" w:eastAsia="zh-CN" w:bidi="ar"/>
              </w:rPr>
            </w:pPr>
            <w:r>
              <w:rPr>
                <w:rFonts w:ascii="Times New Roman" w:eastAsia="SimSun" w:hAnsi="Times New Roman" w:cs="Times New Roman"/>
                <w:sz w:val="24"/>
                <w:szCs w:val="24"/>
                <w:lang w:val="en-US" w:eastAsia="zh-CN" w:bidi="ar"/>
              </w:rPr>
              <w:t>94</w:t>
            </w:r>
            <w:r>
              <w:rPr>
                <w:rFonts w:ascii="Times New Roman" w:eastAsia="SimSun" w:hAnsi="Times New Roman" w:cs="Times New Roman"/>
                <w:sz w:val="24"/>
                <w:szCs w:val="24"/>
                <w:lang w:eastAsia="zh-CN" w:bidi="ar"/>
              </w:rPr>
              <w:t>,</w:t>
            </w:r>
            <w:r>
              <w:rPr>
                <w:rFonts w:ascii="Times New Roman" w:eastAsia="SimSun" w:hAnsi="Times New Roman" w:cs="Times New Roman"/>
                <w:sz w:val="24"/>
                <w:szCs w:val="24"/>
                <w:lang w:val="en-US" w:eastAsia="zh-CN" w:bidi="ar"/>
              </w:rPr>
              <w:t>1</w:t>
            </w:r>
          </w:p>
          <w:p w:rsidR="00A75A8D" w:rsidRDefault="008A6A51">
            <w:pPr>
              <w:spacing w:line="240" w:lineRule="auto"/>
              <w:jc w:val="center"/>
              <w:textAlignment w:val="bottom"/>
              <w:rPr>
                <w:rFonts w:ascii="Times New Roman" w:hAnsi="Times New Roman" w:cs="Times New Roman"/>
                <w:sz w:val="24"/>
                <w:szCs w:val="24"/>
              </w:rPr>
            </w:pPr>
            <w:r>
              <w:rPr>
                <w:rFonts w:ascii="Times New Roman" w:eastAsia="SimSun" w:hAnsi="Times New Roman" w:cs="Times New Roman"/>
                <w:sz w:val="24"/>
                <w:szCs w:val="24"/>
                <w:lang w:eastAsia="zh-CN" w:bidi="ar"/>
              </w:rPr>
              <w:t>(</w:t>
            </w:r>
            <w:r>
              <w:rPr>
                <w:rFonts w:ascii="Times New Roman" w:eastAsia="SimSun" w:hAnsi="Times New Roman" w:cs="Times New Roman"/>
                <w:sz w:val="24"/>
                <w:szCs w:val="24"/>
                <w:lang w:val="en-US" w:eastAsia="zh-CN" w:bidi="ar"/>
              </w:rPr>
              <w:t>86</w:t>
            </w:r>
            <w:r>
              <w:rPr>
                <w:rFonts w:ascii="Times New Roman" w:eastAsia="SimSun" w:hAnsi="Times New Roman" w:cs="Times New Roman"/>
                <w:sz w:val="24"/>
                <w:szCs w:val="24"/>
                <w:lang w:eastAsia="zh-CN" w:bidi="ar"/>
              </w:rPr>
              <w:t>,</w:t>
            </w:r>
            <w:r>
              <w:rPr>
                <w:rFonts w:ascii="Times New Roman" w:eastAsia="SimSun" w:hAnsi="Times New Roman" w:cs="Times New Roman"/>
                <w:sz w:val="24"/>
                <w:szCs w:val="24"/>
                <w:lang w:val="en-US" w:eastAsia="zh-CN" w:bidi="ar"/>
              </w:rPr>
              <w:t>6 - 98</w:t>
            </w:r>
            <w:r>
              <w:rPr>
                <w:rFonts w:ascii="Times New Roman" w:eastAsia="SimSun" w:hAnsi="Times New Roman" w:cs="Times New Roman"/>
                <w:sz w:val="24"/>
                <w:szCs w:val="24"/>
                <w:lang w:eastAsia="zh-CN" w:bidi="ar"/>
              </w:rPr>
              <w:t>,</w:t>
            </w:r>
            <w:r>
              <w:rPr>
                <w:rFonts w:ascii="Times New Roman" w:eastAsia="SimSun" w:hAnsi="Times New Roman" w:cs="Times New Roman"/>
                <w:sz w:val="24"/>
                <w:szCs w:val="24"/>
                <w:lang w:val="en-US" w:eastAsia="zh-CN" w:bidi="ar"/>
              </w:rPr>
              <w:t>1</w:t>
            </w:r>
            <w:r>
              <w:rPr>
                <w:rFonts w:ascii="Times New Roman" w:eastAsia="SimSun" w:hAnsi="Times New Roman" w:cs="Times New Roman"/>
                <w:sz w:val="24"/>
                <w:szCs w:val="24"/>
                <w:lang w:eastAsia="zh-CN" w:bidi="ar"/>
              </w:rPr>
              <w:t>)</w:t>
            </w:r>
          </w:p>
        </w:tc>
        <w:tc>
          <w:tcPr>
            <w:tcW w:w="1982" w:type="dxa"/>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line="240" w:lineRule="auto"/>
              <w:jc w:val="center"/>
              <w:textAlignment w:val="bottom"/>
              <w:rPr>
                <w:rFonts w:ascii="Times New Roman" w:eastAsia="SimSun" w:hAnsi="Times New Roman" w:cs="Times New Roman"/>
                <w:sz w:val="24"/>
                <w:szCs w:val="24"/>
                <w:lang w:eastAsia="zh-CN" w:bidi="ar"/>
              </w:rPr>
            </w:pPr>
            <w:r>
              <w:rPr>
                <w:rFonts w:ascii="Times New Roman" w:eastAsia="SimSun" w:hAnsi="Times New Roman" w:cs="Times New Roman"/>
                <w:sz w:val="24"/>
                <w:szCs w:val="24"/>
                <w:lang w:val="en-US" w:eastAsia="zh-CN" w:bidi="ar"/>
              </w:rPr>
              <w:t>85</w:t>
            </w:r>
            <w:r>
              <w:rPr>
                <w:rFonts w:ascii="Times New Roman" w:eastAsia="SimSun" w:hAnsi="Times New Roman" w:cs="Times New Roman"/>
                <w:sz w:val="24"/>
                <w:szCs w:val="24"/>
                <w:lang w:eastAsia="zh-CN" w:bidi="ar"/>
              </w:rPr>
              <w:t>,</w:t>
            </w:r>
            <w:r>
              <w:rPr>
                <w:rFonts w:ascii="Times New Roman" w:eastAsia="SimSun" w:hAnsi="Times New Roman" w:cs="Times New Roman"/>
                <w:sz w:val="24"/>
                <w:szCs w:val="24"/>
                <w:lang w:val="en-US" w:eastAsia="zh-CN" w:bidi="ar"/>
              </w:rPr>
              <w:t>2</w:t>
            </w:r>
          </w:p>
          <w:p w:rsidR="00A75A8D" w:rsidRDefault="008A6A51">
            <w:pPr>
              <w:spacing w:line="240" w:lineRule="auto"/>
              <w:jc w:val="center"/>
              <w:textAlignment w:val="bottom"/>
              <w:rPr>
                <w:rFonts w:ascii="Times New Roman" w:hAnsi="Times New Roman" w:cs="Times New Roman"/>
                <w:sz w:val="24"/>
                <w:szCs w:val="24"/>
              </w:rPr>
            </w:pPr>
            <w:r>
              <w:rPr>
                <w:rFonts w:ascii="Times New Roman" w:eastAsia="SimSun" w:hAnsi="Times New Roman" w:cs="Times New Roman"/>
                <w:sz w:val="24"/>
                <w:szCs w:val="24"/>
                <w:lang w:eastAsia="zh-CN" w:bidi="ar"/>
              </w:rPr>
              <w:t>(</w:t>
            </w:r>
            <w:r>
              <w:rPr>
                <w:rFonts w:ascii="Times New Roman" w:eastAsia="SimSun" w:hAnsi="Times New Roman" w:cs="Times New Roman"/>
                <w:sz w:val="24"/>
                <w:szCs w:val="24"/>
                <w:lang w:val="en-US" w:eastAsia="zh-CN" w:bidi="ar"/>
              </w:rPr>
              <w:t>84</w:t>
            </w:r>
            <w:r>
              <w:rPr>
                <w:rFonts w:ascii="Times New Roman" w:eastAsia="SimSun" w:hAnsi="Times New Roman" w:cs="Times New Roman"/>
                <w:sz w:val="24"/>
                <w:szCs w:val="24"/>
                <w:lang w:eastAsia="zh-CN" w:bidi="ar"/>
              </w:rPr>
              <w:t>,</w:t>
            </w:r>
            <w:r>
              <w:rPr>
                <w:rFonts w:ascii="Times New Roman" w:eastAsia="SimSun" w:hAnsi="Times New Roman" w:cs="Times New Roman"/>
                <w:sz w:val="24"/>
                <w:szCs w:val="24"/>
                <w:lang w:val="en-US" w:eastAsia="zh-CN" w:bidi="ar"/>
              </w:rPr>
              <w:t>0 - 86</w:t>
            </w:r>
            <w:r>
              <w:rPr>
                <w:rFonts w:ascii="Times New Roman" w:eastAsia="SimSun" w:hAnsi="Times New Roman" w:cs="Times New Roman"/>
                <w:sz w:val="24"/>
                <w:szCs w:val="24"/>
                <w:lang w:eastAsia="zh-CN" w:bidi="ar"/>
              </w:rPr>
              <w:t>,</w:t>
            </w:r>
            <w:r>
              <w:rPr>
                <w:rFonts w:ascii="Times New Roman" w:eastAsia="SimSun" w:hAnsi="Times New Roman" w:cs="Times New Roman"/>
                <w:sz w:val="24"/>
                <w:szCs w:val="24"/>
                <w:lang w:val="en-US" w:eastAsia="zh-CN" w:bidi="ar"/>
              </w:rPr>
              <w:t>4</w:t>
            </w:r>
            <w:r>
              <w:rPr>
                <w:rFonts w:ascii="Times New Roman" w:eastAsia="SimSun" w:hAnsi="Times New Roman" w:cs="Times New Roman"/>
                <w:sz w:val="24"/>
                <w:szCs w:val="24"/>
                <w:lang w:eastAsia="zh-CN" w:bidi="ar"/>
              </w:rPr>
              <w:t>)</w:t>
            </w:r>
          </w:p>
        </w:tc>
        <w:tc>
          <w:tcPr>
            <w:tcW w:w="2081" w:type="dxa"/>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line="240" w:lineRule="auto"/>
              <w:jc w:val="center"/>
              <w:textAlignment w:val="bottom"/>
              <w:rPr>
                <w:rFonts w:ascii="Times New Roman" w:eastAsia="SimSun" w:hAnsi="Times New Roman" w:cs="Times New Roman"/>
                <w:sz w:val="24"/>
                <w:szCs w:val="24"/>
                <w:lang w:val="en-US" w:eastAsia="zh-CN" w:bidi="ar"/>
              </w:rPr>
            </w:pPr>
            <w:r>
              <w:rPr>
                <w:rFonts w:ascii="Times New Roman" w:eastAsia="SimSun" w:hAnsi="Times New Roman" w:cs="Times New Roman"/>
                <w:sz w:val="24"/>
                <w:szCs w:val="24"/>
                <w:lang w:val="en-US" w:eastAsia="zh-CN" w:bidi="ar"/>
              </w:rPr>
              <w:t>55</w:t>
            </w:r>
            <w:r>
              <w:rPr>
                <w:rFonts w:ascii="Times New Roman" w:eastAsia="SimSun" w:hAnsi="Times New Roman" w:cs="Times New Roman"/>
                <w:sz w:val="24"/>
                <w:szCs w:val="24"/>
                <w:lang w:eastAsia="zh-CN" w:bidi="ar"/>
              </w:rPr>
              <w:t>,</w:t>
            </w:r>
            <w:r>
              <w:rPr>
                <w:rFonts w:ascii="Times New Roman" w:eastAsia="SimSun" w:hAnsi="Times New Roman" w:cs="Times New Roman"/>
                <w:sz w:val="24"/>
                <w:szCs w:val="24"/>
                <w:lang w:val="en-US" w:eastAsia="zh-CN" w:bidi="ar"/>
              </w:rPr>
              <w:t>7</w:t>
            </w:r>
          </w:p>
          <w:p w:rsidR="00A75A8D" w:rsidRDefault="008A6A51">
            <w:pPr>
              <w:spacing w:line="240" w:lineRule="auto"/>
              <w:jc w:val="center"/>
              <w:textAlignment w:val="bottom"/>
              <w:rPr>
                <w:rFonts w:ascii="Times New Roman" w:hAnsi="Times New Roman" w:cs="Times New Roman"/>
                <w:sz w:val="24"/>
                <w:szCs w:val="24"/>
                <w:lang w:val="en-US"/>
              </w:rPr>
            </w:pPr>
            <w:r>
              <w:rPr>
                <w:rFonts w:ascii="Times New Roman" w:eastAsia="Arial" w:hAnsi="Times New Roman" w:cs="Times New Roman"/>
                <w:sz w:val="24"/>
                <w:szCs w:val="24"/>
                <w:shd w:val="clear" w:color="auto" w:fill="FFFFFF"/>
                <w:lang w:val="en-US"/>
              </w:rPr>
              <w:t>(</w:t>
            </w:r>
            <w:r>
              <w:rPr>
                <w:rFonts w:ascii="Times New Roman" w:eastAsia="Arial" w:hAnsi="Times New Roman" w:cs="Times New Roman"/>
                <w:sz w:val="24"/>
                <w:szCs w:val="24"/>
                <w:shd w:val="clear" w:color="auto" w:fill="FFFFFF"/>
                <w:lang w:val="en-US" w:eastAsia="zh-CN"/>
              </w:rPr>
              <w:t>53</w:t>
            </w:r>
            <w:r>
              <w:rPr>
                <w:rFonts w:ascii="Times New Roman" w:eastAsia="Arial" w:hAnsi="Times New Roman" w:cs="Times New Roman"/>
                <w:sz w:val="24"/>
                <w:szCs w:val="24"/>
                <w:shd w:val="clear" w:color="auto" w:fill="FFFFFF"/>
                <w:lang w:eastAsia="zh-CN"/>
              </w:rPr>
              <w:t>,</w:t>
            </w:r>
            <w:r>
              <w:rPr>
                <w:rFonts w:ascii="Times New Roman" w:eastAsia="Arial" w:hAnsi="Times New Roman" w:cs="Times New Roman"/>
                <w:sz w:val="24"/>
                <w:szCs w:val="24"/>
                <w:shd w:val="clear" w:color="auto" w:fill="FFFFFF"/>
                <w:lang w:val="en-US" w:eastAsia="zh-CN"/>
              </w:rPr>
              <w:t>3</w:t>
            </w:r>
            <w:r>
              <w:rPr>
                <w:rFonts w:ascii="Times New Roman" w:eastAsia="Arial" w:hAnsi="Times New Roman" w:cs="Times New Roman"/>
                <w:sz w:val="24"/>
                <w:szCs w:val="24"/>
                <w:shd w:val="clear" w:color="auto" w:fill="FFFFFF"/>
                <w:lang w:eastAsia="zh-CN"/>
              </w:rPr>
              <w:t xml:space="preserve"> - </w:t>
            </w:r>
            <w:r>
              <w:rPr>
                <w:rFonts w:ascii="Times New Roman" w:eastAsia="Arial" w:hAnsi="Times New Roman" w:cs="Times New Roman"/>
                <w:sz w:val="24"/>
                <w:szCs w:val="24"/>
                <w:shd w:val="clear" w:color="auto" w:fill="FFFFFF"/>
                <w:lang w:val="en-US" w:eastAsia="zh-CN"/>
              </w:rPr>
              <w:t>58</w:t>
            </w:r>
            <w:r>
              <w:rPr>
                <w:rFonts w:ascii="Times New Roman" w:eastAsia="Arial" w:hAnsi="Times New Roman" w:cs="Times New Roman"/>
                <w:sz w:val="24"/>
                <w:szCs w:val="24"/>
                <w:shd w:val="clear" w:color="auto" w:fill="FFFFFF"/>
                <w:lang w:eastAsia="zh-CN"/>
              </w:rPr>
              <w:t>,</w:t>
            </w:r>
            <w:r>
              <w:rPr>
                <w:rFonts w:ascii="Times New Roman" w:eastAsia="Arial" w:hAnsi="Times New Roman" w:cs="Times New Roman"/>
                <w:sz w:val="24"/>
                <w:szCs w:val="24"/>
                <w:shd w:val="clear" w:color="auto" w:fill="FFFFFF"/>
                <w:lang w:val="en-US" w:eastAsia="zh-CN"/>
              </w:rPr>
              <w:t>0</w:t>
            </w:r>
            <w:r>
              <w:rPr>
                <w:rFonts w:ascii="Times New Roman" w:eastAsia="Arial" w:hAnsi="Times New Roman" w:cs="Times New Roman"/>
                <w:sz w:val="24"/>
                <w:szCs w:val="24"/>
                <w:shd w:val="clear" w:color="auto" w:fill="FFFFFF"/>
                <w:lang w:val="en-US"/>
              </w:rPr>
              <w:t>)</w:t>
            </w:r>
          </w:p>
        </w:tc>
        <w:tc>
          <w:tcPr>
            <w:tcW w:w="2062" w:type="dxa"/>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line="240" w:lineRule="auto"/>
              <w:jc w:val="center"/>
              <w:textAlignment w:val="bottom"/>
              <w:rPr>
                <w:rFonts w:ascii="Times New Roman" w:eastAsia="Arial" w:hAnsi="Times New Roman" w:cs="Times New Roman"/>
                <w:sz w:val="24"/>
                <w:szCs w:val="24"/>
                <w:shd w:val="clear" w:color="auto" w:fill="FFFFFF"/>
                <w:lang w:val="en-US"/>
              </w:rPr>
            </w:pPr>
            <w:r>
              <w:rPr>
                <w:rFonts w:ascii="Times New Roman" w:eastAsia="Arial" w:hAnsi="Times New Roman" w:cs="Times New Roman"/>
                <w:sz w:val="24"/>
                <w:szCs w:val="24"/>
                <w:shd w:val="clear" w:color="auto" w:fill="FFFFFF"/>
                <w:lang w:val="en-US" w:eastAsia="zh-CN"/>
              </w:rPr>
              <w:t>98</w:t>
            </w:r>
            <w:r>
              <w:rPr>
                <w:rFonts w:ascii="Times New Roman" w:eastAsia="Arial" w:hAnsi="Times New Roman" w:cs="Times New Roman"/>
                <w:sz w:val="24"/>
                <w:szCs w:val="24"/>
                <w:shd w:val="clear" w:color="auto" w:fill="FFFFFF"/>
                <w:lang w:eastAsia="zh-CN"/>
              </w:rPr>
              <w:t>,</w:t>
            </w:r>
            <w:r>
              <w:rPr>
                <w:rFonts w:ascii="Times New Roman" w:eastAsia="Arial" w:hAnsi="Times New Roman" w:cs="Times New Roman"/>
                <w:sz w:val="24"/>
                <w:szCs w:val="24"/>
                <w:shd w:val="clear" w:color="auto" w:fill="FFFFFF"/>
                <w:lang w:val="en-US" w:eastAsia="zh-CN"/>
              </w:rPr>
              <w:t>6</w:t>
            </w:r>
          </w:p>
          <w:p w:rsidR="00A75A8D" w:rsidRDefault="008A6A51">
            <w:pPr>
              <w:spacing w:line="240" w:lineRule="auto"/>
              <w:jc w:val="center"/>
              <w:textAlignment w:val="bottom"/>
              <w:rPr>
                <w:rFonts w:ascii="Times New Roman" w:hAnsi="Times New Roman" w:cs="Times New Roman"/>
                <w:sz w:val="24"/>
                <w:szCs w:val="24"/>
                <w:lang w:val="en-US"/>
              </w:rPr>
            </w:pPr>
            <w:r>
              <w:rPr>
                <w:rFonts w:ascii="Times New Roman" w:eastAsia="Arial" w:hAnsi="Times New Roman" w:cs="Times New Roman"/>
                <w:sz w:val="24"/>
                <w:szCs w:val="24"/>
                <w:shd w:val="clear" w:color="auto" w:fill="FFFFFF"/>
                <w:lang w:val="en-US"/>
              </w:rPr>
              <w:t>(9</w:t>
            </w:r>
            <w:r>
              <w:rPr>
                <w:rFonts w:ascii="Times New Roman" w:eastAsia="SimSun" w:hAnsi="Times New Roman" w:cs="Times New Roman"/>
                <w:sz w:val="24"/>
                <w:szCs w:val="24"/>
                <w:lang w:val="en-US" w:eastAsia="zh-CN" w:bidi="ar"/>
              </w:rPr>
              <w:t>6</w:t>
            </w:r>
            <w:r>
              <w:rPr>
                <w:rFonts w:ascii="Times New Roman" w:eastAsia="SimSun" w:hAnsi="Times New Roman" w:cs="Times New Roman"/>
                <w:sz w:val="24"/>
                <w:szCs w:val="24"/>
                <w:lang w:eastAsia="zh-CN" w:bidi="ar"/>
              </w:rPr>
              <w:t>,</w:t>
            </w:r>
            <w:r>
              <w:rPr>
                <w:rFonts w:ascii="Times New Roman" w:eastAsia="SimSun" w:hAnsi="Times New Roman" w:cs="Times New Roman"/>
                <w:sz w:val="24"/>
                <w:szCs w:val="24"/>
                <w:lang w:val="en-US" w:eastAsia="zh-CN" w:bidi="ar"/>
              </w:rPr>
              <w:t xml:space="preserve">8 </w:t>
            </w:r>
            <w:r>
              <w:rPr>
                <w:rFonts w:ascii="Times New Roman" w:eastAsia="SimSun" w:hAnsi="Times New Roman" w:cs="Times New Roman"/>
                <w:sz w:val="24"/>
                <w:szCs w:val="24"/>
                <w:lang w:eastAsia="zh-CN" w:bidi="ar"/>
              </w:rPr>
              <w:t>-</w:t>
            </w:r>
            <w:r>
              <w:rPr>
                <w:rFonts w:ascii="Times New Roman" w:eastAsia="SimSun" w:hAnsi="Times New Roman" w:cs="Times New Roman"/>
                <w:sz w:val="24"/>
                <w:szCs w:val="24"/>
                <w:lang w:val="en-US" w:eastAsia="zh-CN" w:bidi="ar"/>
              </w:rPr>
              <w:t xml:space="preserve"> 99</w:t>
            </w:r>
            <w:r>
              <w:rPr>
                <w:rFonts w:ascii="Times New Roman" w:eastAsia="SimSun" w:hAnsi="Times New Roman" w:cs="Times New Roman"/>
                <w:sz w:val="24"/>
                <w:szCs w:val="24"/>
                <w:lang w:eastAsia="zh-CN" w:bidi="ar"/>
              </w:rPr>
              <w:t>,</w:t>
            </w:r>
            <w:r>
              <w:rPr>
                <w:rFonts w:ascii="Times New Roman" w:eastAsia="SimSun" w:hAnsi="Times New Roman" w:cs="Times New Roman"/>
                <w:sz w:val="24"/>
                <w:szCs w:val="24"/>
                <w:lang w:val="en-US" w:eastAsia="zh-CN" w:bidi="ar"/>
              </w:rPr>
              <w:t>4</w:t>
            </w:r>
            <w:r>
              <w:rPr>
                <w:rFonts w:ascii="Times New Roman" w:eastAsia="Arial" w:hAnsi="Times New Roman" w:cs="Times New Roman"/>
                <w:sz w:val="24"/>
                <w:szCs w:val="24"/>
                <w:shd w:val="clear" w:color="auto" w:fill="FFFFFF"/>
                <w:lang w:val="en-US"/>
              </w:rPr>
              <w:t>)</w:t>
            </w:r>
          </w:p>
        </w:tc>
        <w:tc>
          <w:tcPr>
            <w:tcW w:w="1525" w:type="dxa"/>
            <w:tcBorders>
              <w:top w:val="single" w:sz="2" w:space="0" w:color="000000"/>
              <w:left w:val="single" w:sz="2" w:space="0" w:color="000000"/>
              <w:bottom w:val="single" w:sz="2" w:space="0" w:color="000000"/>
              <w:right w:val="single" w:sz="2" w:space="0" w:color="000000"/>
            </w:tcBorders>
            <w:shd w:val="clear" w:color="auto" w:fill="auto"/>
            <w:noWrap/>
            <w:vAlign w:val="center"/>
          </w:tcPr>
          <w:p w:rsidR="00A75A8D" w:rsidRDefault="008A6A51">
            <w:pPr>
              <w:spacing w:line="240" w:lineRule="auto"/>
              <w:jc w:val="center"/>
              <w:textAlignment w:val="bottom"/>
              <w:rPr>
                <w:rFonts w:ascii="Times New Roman" w:eastAsia="Arial" w:hAnsi="Times New Roman" w:cs="Times New Roman"/>
                <w:sz w:val="24"/>
                <w:szCs w:val="24"/>
                <w:shd w:val="clear" w:color="auto" w:fill="FFFFFF"/>
                <w:lang w:val="en-US" w:eastAsia="zh-CN"/>
              </w:rPr>
            </w:pPr>
            <w:r>
              <w:rPr>
                <w:rFonts w:ascii="Times New Roman" w:eastAsia="Arial" w:hAnsi="Times New Roman" w:cs="Times New Roman"/>
                <w:sz w:val="24"/>
                <w:szCs w:val="24"/>
                <w:shd w:val="clear" w:color="auto" w:fill="FFFFFF"/>
                <w:lang w:val="en-US" w:eastAsia="zh-CN"/>
              </w:rPr>
              <w:t>86</w:t>
            </w:r>
            <w:r>
              <w:rPr>
                <w:rFonts w:ascii="Times New Roman" w:eastAsia="Arial" w:hAnsi="Times New Roman" w:cs="Times New Roman"/>
                <w:sz w:val="24"/>
                <w:szCs w:val="24"/>
                <w:shd w:val="clear" w:color="auto" w:fill="FFFFFF"/>
                <w:lang w:eastAsia="zh-CN"/>
              </w:rPr>
              <w:t>,</w:t>
            </w:r>
            <w:r>
              <w:rPr>
                <w:rFonts w:ascii="Times New Roman" w:eastAsia="Arial" w:hAnsi="Times New Roman" w:cs="Times New Roman"/>
                <w:sz w:val="24"/>
                <w:szCs w:val="24"/>
                <w:shd w:val="clear" w:color="auto" w:fill="FFFFFF"/>
                <w:lang w:val="en-US" w:eastAsia="zh-CN"/>
              </w:rPr>
              <w:t>7</w:t>
            </w:r>
          </w:p>
          <w:p w:rsidR="00A75A8D" w:rsidRDefault="008A6A51">
            <w:pPr>
              <w:spacing w:line="240" w:lineRule="auto"/>
              <w:jc w:val="center"/>
              <w:textAlignment w:val="bottom"/>
              <w:rPr>
                <w:rFonts w:ascii="Times New Roman" w:eastAsia="Arial" w:hAnsi="Times New Roman" w:cs="Times New Roman"/>
                <w:sz w:val="24"/>
                <w:szCs w:val="24"/>
                <w:shd w:val="clear" w:color="auto" w:fill="FFFFFF"/>
                <w:lang w:eastAsia="zh-CN"/>
              </w:rPr>
            </w:pPr>
            <w:r>
              <w:rPr>
                <w:rFonts w:ascii="Times New Roman" w:eastAsia="Arial" w:hAnsi="Times New Roman" w:cs="Times New Roman"/>
                <w:sz w:val="24"/>
                <w:szCs w:val="24"/>
                <w:shd w:val="clear" w:color="auto" w:fill="FFFFFF"/>
                <w:lang w:eastAsia="zh-CN"/>
              </w:rPr>
              <w:t>(</w:t>
            </w:r>
            <w:r>
              <w:rPr>
                <w:rFonts w:ascii="Times New Roman" w:eastAsia="Arial" w:hAnsi="Times New Roman" w:cs="Times New Roman"/>
                <w:sz w:val="24"/>
                <w:szCs w:val="24"/>
                <w:shd w:val="clear" w:color="auto" w:fill="FFFFFF"/>
                <w:lang w:val="en-US" w:eastAsia="zh-CN"/>
              </w:rPr>
              <w:t>85</w:t>
            </w:r>
            <w:r>
              <w:rPr>
                <w:rFonts w:ascii="Times New Roman" w:eastAsia="Arial" w:hAnsi="Times New Roman" w:cs="Times New Roman"/>
                <w:sz w:val="24"/>
                <w:szCs w:val="24"/>
                <w:shd w:val="clear" w:color="auto" w:fill="FFFFFF"/>
                <w:lang w:eastAsia="zh-CN"/>
              </w:rPr>
              <w:t>,</w:t>
            </w:r>
            <w:r>
              <w:rPr>
                <w:rFonts w:ascii="Times New Roman" w:eastAsia="Arial" w:hAnsi="Times New Roman" w:cs="Times New Roman"/>
                <w:sz w:val="24"/>
                <w:szCs w:val="24"/>
                <w:shd w:val="clear" w:color="auto" w:fill="FFFFFF"/>
                <w:lang w:val="en-US" w:eastAsia="zh-CN"/>
              </w:rPr>
              <w:t xml:space="preserve">5 </w:t>
            </w:r>
            <w:r>
              <w:rPr>
                <w:rFonts w:ascii="Times New Roman" w:eastAsia="Arial" w:hAnsi="Times New Roman" w:cs="Times New Roman"/>
                <w:sz w:val="24"/>
                <w:szCs w:val="24"/>
                <w:shd w:val="clear" w:color="auto" w:fill="FFFFFF"/>
                <w:lang w:eastAsia="zh-CN"/>
              </w:rPr>
              <w:t>-</w:t>
            </w:r>
            <w:r>
              <w:rPr>
                <w:rFonts w:ascii="Times New Roman" w:eastAsia="Arial" w:hAnsi="Times New Roman" w:cs="Times New Roman"/>
                <w:sz w:val="24"/>
                <w:szCs w:val="24"/>
                <w:shd w:val="clear" w:color="auto" w:fill="FFFFFF"/>
                <w:lang w:val="en-US" w:eastAsia="zh-CN"/>
              </w:rPr>
              <w:t xml:space="preserve"> 87</w:t>
            </w:r>
            <w:r>
              <w:rPr>
                <w:rFonts w:ascii="Times New Roman" w:eastAsia="Arial" w:hAnsi="Times New Roman" w:cs="Times New Roman"/>
                <w:sz w:val="24"/>
                <w:szCs w:val="24"/>
                <w:shd w:val="clear" w:color="auto" w:fill="FFFFFF"/>
                <w:lang w:eastAsia="zh-CN"/>
              </w:rPr>
              <w:t>,</w:t>
            </w:r>
            <w:r>
              <w:rPr>
                <w:rFonts w:ascii="Times New Roman" w:eastAsia="Arial" w:hAnsi="Times New Roman" w:cs="Times New Roman"/>
                <w:sz w:val="24"/>
                <w:szCs w:val="24"/>
                <w:shd w:val="clear" w:color="auto" w:fill="FFFFFF"/>
                <w:lang w:val="en-US" w:eastAsia="zh-CN"/>
              </w:rPr>
              <w:t>7</w:t>
            </w:r>
            <w:r>
              <w:rPr>
                <w:rFonts w:ascii="Times New Roman" w:eastAsia="Arial" w:hAnsi="Times New Roman" w:cs="Times New Roman"/>
                <w:sz w:val="24"/>
                <w:szCs w:val="24"/>
                <w:shd w:val="clear" w:color="auto" w:fill="FFFFFF"/>
                <w:lang w:eastAsia="zh-CN"/>
              </w:rPr>
              <w:t>)</w:t>
            </w:r>
          </w:p>
        </w:tc>
      </w:tr>
    </w:tbl>
    <w:p w:rsidR="00A75A8D" w:rsidRDefault="00A75A8D">
      <w:pPr>
        <w:pStyle w:val="af3"/>
        <w:rPr>
          <w:lang w:eastAsia="ru-RU"/>
        </w:rPr>
      </w:pPr>
    </w:p>
    <w:p w:rsidR="00A75A8D" w:rsidRDefault="008A6A51">
      <w:pPr>
        <w:pStyle w:val="af3"/>
        <w:rPr>
          <w:lang w:eastAsia="ru-RU"/>
        </w:rPr>
      </w:pPr>
      <w:r>
        <w:rPr>
          <w:lang w:eastAsia="ru-RU"/>
        </w:rPr>
        <w:t>Как видно из таблицы 12, чувствительность низкодозной компьютерной томографии легких в выявлении рака легкого составила 94,1%, специфичность – 85,2%, прогностическая ценность положительного результата - 55,7%, прогностическая ценность отрицательного резуль</w:t>
      </w:r>
      <w:r>
        <w:rPr>
          <w:lang w:eastAsia="ru-RU"/>
        </w:rPr>
        <w:t xml:space="preserve">тата - 98,6%, точность - 86,7%, что указывает на высокую информативность исследуемого метода. </w:t>
      </w:r>
    </w:p>
    <w:p w:rsidR="00A75A8D" w:rsidRDefault="00A75A8D">
      <w:pPr>
        <w:pStyle w:val="af3"/>
        <w:rPr>
          <w:lang w:eastAsia="ru-RU"/>
        </w:rPr>
      </w:pPr>
    </w:p>
    <w:p w:rsidR="00A75A8D" w:rsidRDefault="008A6A51">
      <w:pPr>
        <w:pStyle w:val="af4"/>
        <w:spacing w:after="0" w:line="240" w:lineRule="auto"/>
        <w:ind w:firstLine="567"/>
        <w:jc w:val="both"/>
        <w:rPr>
          <w:rFonts w:ascii="Times New Roman" w:hAnsi="Times New Roman"/>
          <w:b/>
          <w:sz w:val="28"/>
          <w:lang w:eastAsia="ru-RU"/>
        </w:rPr>
      </w:pPr>
      <w:bookmarkStart w:id="22" w:name="_Toc186925741"/>
      <w:r>
        <w:rPr>
          <w:rFonts w:ascii="Times New Roman" w:hAnsi="Times New Roman"/>
          <w:b/>
          <w:sz w:val="28"/>
        </w:rPr>
        <w:t xml:space="preserve">3.3 </w:t>
      </w:r>
      <w:r>
        <w:rPr>
          <w:rFonts w:ascii="Times New Roman" w:hAnsi="Times New Roman"/>
          <w:b/>
          <w:sz w:val="28"/>
          <w:lang w:eastAsia="ru-RU"/>
        </w:rPr>
        <w:t>Результаты изучения семиотики рака легкого при проведении низкодозной компьютерной томографии с определением его патогномоничной картины.</w:t>
      </w:r>
      <w:bookmarkEnd w:id="22"/>
      <w:r>
        <w:rPr>
          <w:rFonts w:ascii="Times New Roman" w:hAnsi="Times New Roman"/>
          <w:b/>
          <w:sz w:val="28"/>
          <w:lang w:eastAsia="ru-RU"/>
        </w:rPr>
        <w:t xml:space="preserve"> </w:t>
      </w:r>
    </w:p>
    <w:p w:rsidR="00A75A8D" w:rsidRDefault="008A6A51">
      <w:pPr>
        <w:pStyle w:val="af3"/>
        <w:rPr>
          <w:color w:val="FF0000"/>
          <w:lang w:eastAsia="ru-RU"/>
        </w:rPr>
      </w:pPr>
      <w:r>
        <w:rPr>
          <w:lang w:eastAsia="ru-RU"/>
        </w:rPr>
        <w:t>Для определения п</w:t>
      </w:r>
      <w:r>
        <w:rPr>
          <w:lang w:eastAsia="ru-RU"/>
        </w:rPr>
        <w:t>атогномоничных низкодозных компьютерно-томографических признаков злокачественного процесса нами проведен детальный анализ, выявленных при НДКТ, 425 легочных узла, из которых 79 злокачественные (основная группа) и 346 доброкачественные (контрольная группа).</w:t>
      </w:r>
      <w:r>
        <w:rPr>
          <w:lang w:eastAsia="ru-RU"/>
        </w:rPr>
        <w:t xml:space="preserve">  </w:t>
      </w:r>
    </w:p>
    <w:p w:rsidR="00A75A8D" w:rsidRDefault="008A6A51">
      <w:pPr>
        <w:pStyle w:val="af3"/>
        <w:rPr>
          <w:color w:val="FF0000"/>
          <w:lang w:eastAsia="ru-RU"/>
        </w:rPr>
      </w:pPr>
      <w:r>
        <w:rPr>
          <w:lang w:eastAsia="ru-RU"/>
        </w:rPr>
        <w:t xml:space="preserve">На </w:t>
      </w:r>
      <w:r>
        <w:rPr>
          <w:color w:val="000000" w:themeColor="text1"/>
          <w:lang w:eastAsia="ru-RU"/>
        </w:rPr>
        <w:t xml:space="preserve">НДКТ-сканах обеих групп </w:t>
      </w:r>
      <w:r>
        <w:rPr>
          <w:lang w:eastAsia="ru-RU"/>
        </w:rPr>
        <w:t xml:space="preserve">изучены локализация, тип, форма, размер, плотность и контуры выявленных </w:t>
      </w:r>
      <w:r>
        <w:rPr>
          <w:color w:val="000000" w:themeColor="text1"/>
          <w:lang w:eastAsia="ru-RU"/>
        </w:rPr>
        <w:t>узлов в легких,</w:t>
      </w:r>
      <w:r>
        <w:rPr>
          <w:color w:val="FF0000"/>
          <w:lang w:eastAsia="ru-RU"/>
        </w:rPr>
        <w:t xml:space="preserve"> </w:t>
      </w:r>
      <w:r>
        <w:rPr>
          <w:lang w:eastAsia="ru-RU"/>
        </w:rPr>
        <w:t xml:space="preserve">а также наличие/отсутствие реакции прилежащей плевры и наличие/отсутствие перифокальной инфильтрации (таблица 13). </w:t>
      </w:r>
    </w:p>
    <w:p w:rsidR="00A75A8D" w:rsidRDefault="00A75A8D">
      <w:pPr>
        <w:pStyle w:val="af3"/>
        <w:rPr>
          <w:lang w:eastAsia="ru-RU"/>
        </w:rPr>
      </w:pPr>
    </w:p>
    <w:p w:rsidR="00A75A8D" w:rsidRDefault="008A6A51">
      <w:pPr>
        <w:pStyle w:val="af3"/>
        <w:ind w:hanging="34"/>
        <w:rPr>
          <w:lang w:eastAsia="ru-RU"/>
        </w:rPr>
      </w:pPr>
      <w:r>
        <w:rPr>
          <w:lang w:eastAsia="ru-RU"/>
        </w:rPr>
        <w:t xml:space="preserve">Таблица 13 – </w:t>
      </w:r>
      <w:r>
        <w:rPr>
          <w:lang w:eastAsia="ru-RU"/>
        </w:rPr>
        <w:t>Компьютерно-томографическая семиотика легочных узлов</w:t>
      </w:r>
    </w:p>
    <w:p w:rsidR="00A75A8D" w:rsidRDefault="00A75A8D">
      <w:pPr>
        <w:pStyle w:val="af3"/>
        <w:rPr>
          <w:lang w:eastAsia="ru-RU"/>
        </w:rPr>
      </w:pPr>
    </w:p>
    <w:tbl>
      <w:tblPr>
        <w:tblW w:w="9678" w:type="dxa"/>
        <w:tblInd w:w="-5" w:type="dxa"/>
        <w:tblLook w:val="04A0" w:firstRow="1" w:lastRow="0" w:firstColumn="1" w:lastColumn="0" w:noHBand="0" w:noVBand="1"/>
      </w:tblPr>
      <w:tblGrid>
        <w:gridCol w:w="2007"/>
        <w:gridCol w:w="2274"/>
        <w:gridCol w:w="830"/>
        <w:gridCol w:w="843"/>
        <w:gridCol w:w="1193"/>
        <w:gridCol w:w="1173"/>
        <w:gridCol w:w="1358"/>
      </w:tblGrid>
      <w:tr w:rsidR="00A75A8D">
        <w:trPr>
          <w:trHeight w:val="315"/>
        </w:trPr>
        <w:tc>
          <w:tcPr>
            <w:tcW w:w="4281"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Признаки легочных узлов</w:t>
            </w:r>
          </w:p>
        </w:tc>
        <w:tc>
          <w:tcPr>
            <w:tcW w:w="1673"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Рак легкого                    (основная группа)                        (n=79)</w:t>
            </w:r>
          </w:p>
        </w:tc>
        <w:tc>
          <w:tcPr>
            <w:tcW w:w="2366"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75A8D" w:rsidRDefault="008A6A51">
            <w:pPr>
              <w:spacing w:after="0" w:line="240" w:lineRule="auto"/>
              <w:ind w:left="-108" w:right="-152"/>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Доброкачественные узлы                (контрольная группа)</w:t>
            </w:r>
          </w:p>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(n=346)</w:t>
            </w:r>
          </w:p>
        </w:tc>
        <w:tc>
          <w:tcPr>
            <w:tcW w:w="135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Значения    χ2, df, p</w:t>
            </w:r>
          </w:p>
          <w:p w:rsidR="00A75A8D" w:rsidRDefault="00A75A8D">
            <w:pPr>
              <w:spacing w:after="0" w:line="240" w:lineRule="auto"/>
              <w:jc w:val="center"/>
              <w:rPr>
                <w:rFonts w:ascii="Times New Roman" w:eastAsia="Times New Roman" w:hAnsi="Times New Roman" w:cs="Times New Roman"/>
                <w:color w:val="000000"/>
                <w:sz w:val="24"/>
                <w:szCs w:val="24"/>
                <w:lang w:eastAsia="ru-RU"/>
              </w:rPr>
            </w:pPr>
          </w:p>
          <w:p w:rsidR="00A75A8D" w:rsidRDefault="00A75A8D">
            <w:pPr>
              <w:spacing w:after="0" w:line="240" w:lineRule="auto"/>
              <w:jc w:val="center"/>
              <w:rPr>
                <w:rFonts w:ascii="Times New Roman" w:eastAsia="Times New Roman" w:hAnsi="Times New Roman" w:cs="Times New Roman"/>
                <w:color w:val="000000"/>
                <w:sz w:val="24"/>
                <w:szCs w:val="24"/>
                <w:lang w:eastAsia="ru-RU"/>
              </w:rPr>
            </w:pPr>
          </w:p>
          <w:p w:rsidR="00A75A8D" w:rsidRDefault="00A75A8D">
            <w:pPr>
              <w:spacing w:after="0" w:line="240" w:lineRule="auto"/>
              <w:jc w:val="center"/>
              <w:rPr>
                <w:rFonts w:ascii="Times New Roman" w:eastAsia="Times New Roman" w:hAnsi="Times New Roman" w:cs="Times New Roman"/>
                <w:color w:val="000000"/>
                <w:sz w:val="24"/>
                <w:szCs w:val="24"/>
                <w:lang w:eastAsia="ru-RU"/>
              </w:rPr>
            </w:pPr>
          </w:p>
        </w:tc>
      </w:tr>
      <w:tr w:rsidR="00A75A8D">
        <w:trPr>
          <w:trHeight w:val="315"/>
        </w:trPr>
        <w:tc>
          <w:tcPr>
            <w:tcW w:w="4281" w:type="dxa"/>
            <w:gridSpan w:val="2"/>
            <w:vMerge/>
            <w:tcBorders>
              <w:top w:val="single" w:sz="4" w:space="0" w:color="auto"/>
              <w:left w:val="single" w:sz="4" w:space="0" w:color="auto"/>
              <w:bottom w:val="single" w:sz="4" w:space="0" w:color="auto"/>
              <w:right w:val="single" w:sz="4" w:space="0" w:color="auto"/>
            </w:tcBorders>
            <w:vAlign w:val="center"/>
          </w:tcPr>
          <w:p w:rsidR="00A75A8D" w:rsidRDefault="00A75A8D">
            <w:pPr>
              <w:spacing w:after="0" w:line="240" w:lineRule="auto"/>
              <w:rPr>
                <w:rFonts w:ascii="Times New Roman" w:eastAsia="Times New Roman" w:hAnsi="Times New Roman" w:cs="Times New Roman"/>
                <w:color w:val="000000" w:themeColor="text1"/>
                <w:sz w:val="24"/>
                <w:szCs w:val="24"/>
                <w:lang w:eastAsia="ru-RU"/>
              </w:rPr>
            </w:pPr>
          </w:p>
        </w:tc>
        <w:tc>
          <w:tcPr>
            <w:tcW w:w="1673" w:type="dxa"/>
            <w:gridSpan w:val="2"/>
            <w:vMerge/>
            <w:tcBorders>
              <w:top w:val="single" w:sz="4" w:space="0" w:color="auto"/>
              <w:left w:val="single" w:sz="4" w:space="0" w:color="auto"/>
              <w:bottom w:val="single" w:sz="4" w:space="0" w:color="auto"/>
              <w:right w:val="single" w:sz="4" w:space="0" w:color="auto"/>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c>
          <w:tcPr>
            <w:tcW w:w="2366" w:type="dxa"/>
            <w:gridSpan w:val="2"/>
            <w:vMerge/>
            <w:tcBorders>
              <w:top w:val="single" w:sz="4" w:space="0" w:color="auto"/>
              <w:left w:val="single" w:sz="4" w:space="0" w:color="auto"/>
              <w:bottom w:val="single" w:sz="4" w:space="0" w:color="auto"/>
              <w:right w:val="single" w:sz="4" w:space="0" w:color="auto"/>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c>
          <w:tcPr>
            <w:tcW w:w="1358" w:type="dxa"/>
            <w:vMerge/>
            <w:tcBorders>
              <w:top w:val="single" w:sz="4" w:space="0" w:color="auto"/>
              <w:left w:val="single" w:sz="4" w:space="0" w:color="auto"/>
              <w:bottom w:val="single" w:sz="4" w:space="0" w:color="auto"/>
              <w:right w:val="single" w:sz="4" w:space="0" w:color="auto"/>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r>
      <w:tr w:rsidR="00A75A8D">
        <w:trPr>
          <w:trHeight w:val="315"/>
        </w:trPr>
        <w:tc>
          <w:tcPr>
            <w:tcW w:w="4281" w:type="dxa"/>
            <w:gridSpan w:val="2"/>
            <w:vMerge/>
            <w:tcBorders>
              <w:top w:val="single" w:sz="4" w:space="0" w:color="auto"/>
              <w:left w:val="single" w:sz="4" w:space="0" w:color="auto"/>
              <w:bottom w:val="single" w:sz="4" w:space="0" w:color="auto"/>
              <w:right w:val="single" w:sz="4" w:space="0" w:color="auto"/>
            </w:tcBorders>
            <w:vAlign w:val="center"/>
          </w:tcPr>
          <w:p w:rsidR="00A75A8D" w:rsidRDefault="00A75A8D">
            <w:pPr>
              <w:spacing w:after="0" w:line="240" w:lineRule="auto"/>
              <w:rPr>
                <w:rFonts w:ascii="Times New Roman" w:eastAsia="Times New Roman" w:hAnsi="Times New Roman" w:cs="Times New Roman"/>
                <w:color w:val="000000" w:themeColor="text1"/>
                <w:sz w:val="24"/>
                <w:szCs w:val="24"/>
                <w:lang w:eastAsia="ru-RU"/>
              </w:rPr>
            </w:pPr>
          </w:p>
        </w:tc>
        <w:tc>
          <w:tcPr>
            <w:tcW w:w="1673" w:type="dxa"/>
            <w:gridSpan w:val="2"/>
            <w:vMerge/>
            <w:tcBorders>
              <w:top w:val="single" w:sz="4" w:space="0" w:color="auto"/>
              <w:left w:val="single" w:sz="4" w:space="0" w:color="auto"/>
              <w:bottom w:val="single" w:sz="4" w:space="0" w:color="auto"/>
              <w:right w:val="single" w:sz="4" w:space="0" w:color="auto"/>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c>
          <w:tcPr>
            <w:tcW w:w="2366" w:type="dxa"/>
            <w:gridSpan w:val="2"/>
            <w:vMerge/>
            <w:tcBorders>
              <w:top w:val="single" w:sz="4" w:space="0" w:color="auto"/>
              <w:left w:val="single" w:sz="4" w:space="0" w:color="auto"/>
              <w:bottom w:val="single" w:sz="4" w:space="0" w:color="auto"/>
              <w:right w:val="single" w:sz="4" w:space="0" w:color="auto"/>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c>
          <w:tcPr>
            <w:tcW w:w="1358" w:type="dxa"/>
            <w:vMerge/>
            <w:tcBorders>
              <w:top w:val="single" w:sz="4" w:space="0" w:color="auto"/>
              <w:left w:val="single" w:sz="4" w:space="0" w:color="auto"/>
              <w:bottom w:val="single" w:sz="4" w:space="0" w:color="auto"/>
              <w:right w:val="single" w:sz="4" w:space="0" w:color="auto"/>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r>
      <w:tr w:rsidR="00A75A8D">
        <w:trPr>
          <w:trHeight w:val="315"/>
        </w:trPr>
        <w:tc>
          <w:tcPr>
            <w:tcW w:w="4281" w:type="dxa"/>
            <w:gridSpan w:val="2"/>
            <w:vMerge/>
            <w:tcBorders>
              <w:top w:val="single" w:sz="4" w:space="0" w:color="auto"/>
              <w:left w:val="single" w:sz="4" w:space="0" w:color="auto"/>
              <w:bottom w:val="single" w:sz="4" w:space="0" w:color="auto"/>
              <w:right w:val="single" w:sz="4" w:space="0" w:color="auto"/>
            </w:tcBorders>
            <w:vAlign w:val="center"/>
          </w:tcPr>
          <w:p w:rsidR="00A75A8D" w:rsidRDefault="00A75A8D">
            <w:pPr>
              <w:spacing w:after="0" w:line="240" w:lineRule="auto"/>
              <w:rPr>
                <w:rFonts w:ascii="Times New Roman" w:eastAsia="Times New Roman" w:hAnsi="Times New Roman" w:cs="Times New Roman"/>
                <w:color w:val="000000" w:themeColor="text1"/>
                <w:sz w:val="24"/>
                <w:szCs w:val="24"/>
                <w:lang w:eastAsia="ru-RU"/>
              </w:rPr>
            </w:pPr>
          </w:p>
        </w:tc>
        <w:tc>
          <w:tcPr>
            <w:tcW w:w="1673" w:type="dxa"/>
            <w:gridSpan w:val="2"/>
            <w:vMerge/>
            <w:tcBorders>
              <w:top w:val="single" w:sz="4" w:space="0" w:color="auto"/>
              <w:left w:val="single" w:sz="4" w:space="0" w:color="auto"/>
              <w:bottom w:val="single" w:sz="4" w:space="0" w:color="auto"/>
              <w:right w:val="single" w:sz="4" w:space="0" w:color="auto"/>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c>
          <w:tcPr>
            <w:tcW w:w="2366" w:type="dxa"/>
            <w:gridSpan w:val="2"/>
            <w:vMerge/>
            <w:tcBorders>
              <w:top w:val="single" w:sz="4" w:space="0" w:color="auto"/>
              <w:left w:val="single" w:sz="4" w:space="0" w:color="auto"/>
              <w:bottom w:val="single" w:sz="4" w:space="0" w:color="auto"/>
              <w:right w:val="single" w:sz="4" w:space="0" w:color="auto"/>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c>
          <w:tcPr>
            <w:tcW w:w="1358" w:type="dxa"/>
            <w:vMerge/>
            <w:tcBorders>
              <w:top w:val="single" w:sz="4" w:space="0" w:color="auto"/>
              <w:left w:val="single" w:sz="4" w:space="0" w:color="auto"/>
              <w:bottom w:val="single" w:sz="4" w:space="0" w:color="auto"/>
              <w:right w:val="single" w:sz="4" w:space="0" w:color="auto"/>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r>
      <w:tr w:rsidR="00A75A8D">
        <w:trPr>
          <w:trHeight w:val="315"/>
        </w:trPr>
        <w:tc>
          <w:tcPr>
            <w:tcW w:w="4281" w:type="dxa"/>
            <w:gridSpan w:val="2"/>
            <w:vMerge/>
            <w:tcBorders>
              <w:top w:val="single" w:sz="4" w:space="0" w:color="auto"/>
              <w:left w:val="single" w:sz="4" w:space="0" w:color="auto"/>
              <w:bottom w:val="single" w:sz="4" w:space="0" w:color="auto"/>
              <w:right w:val="single" w:sz="4" w:space="0" w:color="auto"/>
            </w:tcBorders>
            <w:vAlign w:val="center"/>
          </w:tcPr>
          <w:p w:rsidR="00A75A8D" w:rsidRDefault="00A75A8D">
            <w:pPr>
              <w:spacing w:after="0" w:line="240" w:lineRule="auto"/>
              <w:rPr>
                <w:rFonts w:ascii="Times New Roman" w:eastAsia="Times New Roman" w:hAnsi="Times New Roman" w:cs="Times New Roman"/>
                <w:color w:val="000000" w:themeColor="text1"/>
                <w:sz w:val="24"/>
                <w:szCs w:val="24"/>
                <w:lang w:eastAsia="ru-RU"/>
              </w:rPr>
            </w:pPr>
          </w:p>
        </w:tc>
        <w:tc>
          <w:tcPr>
            <w:tcW w:w="830"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абс</w:t>
            </w:r>
          </w:p>
        </w:tc>
        <w:tc>
          <w:tcPr>
            <w:tcW w:w="84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p>
        </w:tc>
        <w:tc>
          <w:tcPr>
            <w:tcW w:w="119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абс</w:t>
            </w:r>
          </w:p>
        </w:tc>
        <w:tc>
          <w:tcPr>
            <w:tcW w:w="117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p>
        </w:tc>
        <w:tc>
          <w:tcPr>
            <w:tcW w:w="1358" w:type="dxa"/>
            <w:vMerge/>
            <w:tcBorders>
              <w:top w:val="single" w:sz="4" w:space="0" w:color="auto"/>
              <w:left w:val="single" w:sz="4" w:space="0" w:color="auto"/>
              <w:bottom w:val="single" w:sz="4" w:space="0" w:color="auto"/>
              <w:right w:val="single" w:sz="4" w:space="0" w:color="auto"/>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r>
      <w:tr w:rsidR="00A75A8D">
        <w:trPr>
          <w:trHeight w:val="315"/>
        </w:trPr>
        <w:tc>
          <w:tcPr>
            <w:tcW w:w="2007" w:type="dxa"/>
            <w:vMerge w:val="restart"/>
            <w:tcBorders>
              <w:top w:val="nil"/>
              <w:left w:val="single" w:sz="4" w:space="0" w:color="auto"/>
              <w:bottom w:val="single" w:sz="4" w:space="0" w:color="auto"/>
              <w:right w:val="single" w:sz="4" w:space="0" w:color="auto"/>
            </w:tcBorders>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lastRenderedPageBreak/>
              <w:t>Локализация</w:t>
            </w:r>
          </w:p>
        </w:tc>
        <w:tc>
          <w:tcPr>
            <w:tcW w:w="2274"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 xml:space="preserve">Правая верхняя доля </w:t>
            </w:r>
          </w:p>
        </w:tc>
        <w:tc>
          <w:tcPr>
            <w:tcW w:w="830"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84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30,4</w:t>
            </w:r>
          </w:p>
        </w:tc>
        <w:tc>
          <w:tcPr>
            <w:tcW w:w="119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en-US" w:eastAsia="ru-RU"/>
              </w:rPr>
              <w:t>99</w:t>
            </w:r>
          </w:p>
        </w:tc>
        <w:tc>
          <w:tcPr>
            <w:tcW w:w="117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eastAsia="ru-RU"/>
              </w:rPr>
              <w:t>28,</w:t>
            </w:r>
            <w:r>
              <w:rPr>
                <w:rFonts w:ascii="Times New Roman" w:eastAsia="Times New Roman" w:hAnsi="Times New Roman" w:cs="Times New Roman"/>
                <w:color w:val="000000"/>
                <w:sz w:val="24"/>
                <w:szCs w:val="24"/>
                <w:lang w:val="en-US" w:eastAsia="ru-RU"/>
              </w:rPr>
              <w:t>6</w:t>
            </w:r>
          </w:p>
        </w:tc>
        <w:tc>
          <w:tcPr>
            <w:tcW w:w="1358" w:type="dxa"/>
            <w:vMerge w:val="restart"/>
            <w:tcBorders>
              <w:top w:val="nil"/>
              <w:left w:val="single" w:sz="4" w:space="0" w:color="auto"/>
              <w:bottom w:val="single" w:sz="4" w:space="0" w:color="auto"/>
              <w:right w:val="single" w:sz="4" w:space="0" w:color="auto"/>
            </w:tcBorders>
            <w:shd w:val="clear" w:color="auto" w:fill="auto"/>
            <w:vAlign w:val="center"/>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χ2=9,488       df=4          </w:t>
            </w:r>
            <w:r>
              <w:rPr>
                <w:rFonts w:ascii="Times New Roman" w:eastAsia="Times New Roman" w:hAnsi="Times New Roman" w:cs="Times New Roman"/>
                <w:b/>
                <w:bCs/>
                <w:color w:val="000000"/>
                <w:sz w:val="24"/>
                <w:szCs w:val="24"/>
                <w:lang w:eastAsia="ru-RU"/>
              </w:rPr>
              <w:t>p=0,083</w:t>
            </w:r>
          </w:p>
        </w:tc>
      </w:tr>
      <w:tr w:rsidR="00A75A8D">
        <w:trPr>
          <w:trHeight w:val="315"/>
        </w:trPr>
        <w:tc>
          <w:tcPr>
            <w:tcW w:w="2007" w:type="dxa"/>
            <w:vMerge/>
            <w:tcBorders>
              <w:top w:val="nil"/>
              <w:left w:val="single" w:sz="4" w:space="0" w:color="auto"/>
              <w:bottom w:val="single" w:sz="4" w:space="0" w:color="auto"/>
              <w:right w:val="single" w:sz="4" w:space="0" w:color="auto"/>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c>
          <w:tcPr>
            <w:tcW w:w="2274"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Правая средняя доля</w:t>
            </w:r>
          </w:p>
        </w:tc>
        <w:tc>
          <w:tcPr>
            <w:tcW w:w="830"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84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5,1</w:t>
            </w:r>
          </w:p>
        </w:tc>
        <w:tc>
          <w:tcPr>
            <w:tcW w:w="119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en-US" w:eastAsia="ru-RU"/>
              </w:rPr>
              <w:t>5</w:t>
            </w:r>
          </w:p>
        </w:tc>
        <w:tc>
          <w:tcPr>
            <w:tcW w:w="117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1358" w:type="dxa"/>
            <w:vMerge/>
            <w:tcBorders>
              <w:top w:val="nil"/>
              <w:left w:val="single" w:sz="4" w:space="0" w:color="auto"/>
              <w:bottom w:val="single" w:sz="4" w:space="0" w:color="auto"/>
              <w:right w:val="single" w:sz="4" w:space="0" w:color="auto"/>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r>
      <w:tr w:rsidR="00A75A8D">
        <w:trPr>
          <w:trHeight w:val="315"/>
        </w:trPr>
        <w:tc>
          <w:tcPr>
            <w:tcW w:w="2007" w:type="dxa"/>
            <w:vMerge/>
            <w:tcBorders>
              <w:top w:val="nil"/>
              <w:left w:val="single" w:sz="4" w:space="0" w:color="auto"/>
              <w:bottom w:val="single" w:sz="4" w:space="0" w:color="auto"/>
              <w:right w:val="single" w:sz="4" w:space="0" w:color="auto"/>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c>
          <w:tcPr>
            <w:tcW w:w="2274"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Правая нижняя доля</w:t>
            </w:r>
          </w:p>
        </w:tc>
        <w:tc>
          <w:tcPr>
            <w:tcW w:w="830"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w:t>
            </w:r>
          </w:p>
        </w:tc>
        <w:tc>
          <w:tcPr>
            <w:tcW w:w="84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21,5</w:t>
            </w:r>
          </w:p>
        </w:tc>
        <w:tc>
          <w:tcPr>
            <w:tcW w:w="119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en-US" w:eastAsia="ru-RU"/>
              </w:rPr>
              <w:t>91</w:t>
            </w:r>
          </w:p>
        </w:tc>
        <w:tc>
          <w:tcPr>
            <w:tcW w:w="117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26,3</w:t>
            </w:r>
          </w:p>
        </w:tc>
        <w:tc>
          <w:tcPr>
            <w:tcW w:w="1358" w:type="dxa"/>
            <w:vMerge/>
            <w:tcBorders>
              <w:top w:val="nil"/>
              <w:left w:val="single" w:sz="4" w:space="0" w:color="auto"/>
              <w:bottom w:val="single" w:sz="4" w:space="0" w:color="auto"/>
              <w:right w:val="single" w:sz="4" w:space="0" w:color="auto"/>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r>
      <w:tr w:rsidR="00A75A8D">
        <w:trPr>
          <w:trHeight w:val="315"/>
        </w:trPr>
        <w:tc>
          <w:tcPr>
            <w:tcW w:w="2007" w:type="dxa"/>
            <w:vMerge/>
            <w:tcBorders>
              <w:top w:val="nil"/>
              <w:left w:val="single" w:sz="4" w:space="0" w:color="auto"/>
              <w:bottom w:val="single" w:sz="4" w:space="0" w:color="auto"/>
              <w:right w:val="single" w:sz="4" w:space="0" w:color="auto"/>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c>
          <w:tcPr>
            <w:tcW w:w="2274"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Левая верхняя доля</w:t>
            </w:r>
          </w:p>
        </w:tc>
        <w:tc>
          <w:tcPr>
            <w:tcW w:w="830"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84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24,0</w:t>
            </w:r>
          </w:p>
        </w:tc>
        <w:tc>
          <w:tcPr>
            <w:tcW w:w="119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eastAsia="ru-RU"/>
              </w:rPr>
              <w:t>6</w:t>
            </w:r>
            <w:r>
              <w:rPr>
                <w:rFonts w:ascii="Times New Roman" w:eastAsia="Times New Roman" w:hAnsi="Times New Roman" w:cs="Times New Roman"/>
                <w:color w:val="000000"/>
                <w:sz w:val="24"/>
                <w:szCs w:val="24"/>
                <w:lang w:val="en-US" w:eastAsia="ru-RU"/>
              </w:rPr>
              <w:t>6</w:t>
            </w:r>
          </w:p>
        </w:tc>
        <w:tc>
          <w:tcPr>
            <w:tcW w:w="117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19,0</w:t>
            </w:r>
          </w:p>
        </w:tc>
        <w:tc>
          <w:tcPr>
            <w:tcW w:w="1358" w:type="dxa"/>
            <w:vMerge/>
            <w:tcBorders>
              <w:top w:val="nil"/>
              <w:left w:val="single" w:sz="4" w:space="0" w:color="auto"/>
              <w:bottom w:val="single" w:sz="4" w:space="0" w:color="auto"/>
              <w:right w:val="single" w:sz="4" w:space="0" w:color="auto"/>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r>
      <w:tr w:rsidR="00A75A8D">
        <w:trPr>
          <w:trHeight w:val="315"/>
        </w:trPr>
        <w:tc>
          <w:tcPr>
            <w:tcW w:w="2007" w:type="dxa"/>
            <w:vMerge/>
            <w:tcBorders>
              <w:top w:val="nil"/>
              <w:left w:val="single" w:sz="4" w:space="0" w:color="auto"/>
              <w:bottom w:val="single" w:sz="4" w:space="0" w:color="auto"/>
              <w:right w:val="single" w:sz="4" w:space="0" w:color="auto"/>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c>
          <w:tcPr>
            <w:tcW w:w="2274"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Левая нижняя доля</w:t>
            </w:r>
          </w:p>
        </w:tc>
        <w:tc>
          <w:tcPr>
            <w:tcW w:w="830"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84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19,0</w:t>
            </w:r>
          </w:p>
        </w:tc>
        <w:tc>
          <w:tcPr>
            <w:tcW w:w="119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eastAsia="ru-RU"/>
              </w:rPr>
              <w:t>8</w:t>
            </w:r>
            <w:r>
              <w:rPr>
                <w:rFonts w:ascii="Times New Roman" w:eastAsia="Times New Roman" w:hAnsi="Times New Roman" w:cs="Times New Roman"/>
                <w:color w:val="000000"/>
                <w:sz w:val="24"/>
                <w:szCs w:val="24"/>
                <w:lang w:val="en-US" w:eastAsia="ru-RU"/>
              </w:rPr>
              <w:t>5</w:t>
            </w:r>
          </w:p>
        </w:tc>
        <w:tc>
          <w:tcPr>
            <w:tcW w:w="117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24,6</w:t>
            </w:r>
          </w:p>
        </w:tc>
        <w:tc>
          <w:tcPr>
            <w:tcW w:w="1358" w:type="dxa"/>
            <w:vMerge/>
            <w:tcBorders>
              <w:top w:val="nil"/>
              <w:left w:val="single" w:sz="4" w:space="0" w:color="auto"/>
              <w:bottom w:val="single" w:sz="4" w:space="0" w:color="auto"/>
              <w:right w:val="single" w:sz="4" w:space="0" w:color="auto"/>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r>
      <w:tr w:rsidR="00A75A8D">
        <w:trPr>
          <w:trHeight w:val="495"/>
        </w:trPr>
        <w:tc>
          <w:tcPr>
            <w:tcW w:w="2007" w:type="dxa"/>
            <w:vMerge w:val="restart"/>
            <w:tcBorders>
              <w:top w:val="nil"/>
              <w:left w:val="single" w:sz="4" w:space="0" w:color="auto"/>
              <w:bottom w:val="single" w:sz="4" w:space="0" w:color="auto"/>
              <w:right w:val="single" w:sz="4" w:space="0" w:color="auto"/>
            </w:tcBorders>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FF0000"/>
                <w:sz w:val="24"/>
                <w:szCs w:val="24"/>
                <w:lang w:eastAsia="ru-RU"/>
              </w:rPr>
            </w:pPr>
            <w:r>
              <w:rPr>
                <w:rFonts w:ascii="Times New Roman" w:eastAsia="Times New Roman" w:hAnsi="Times New Roman" w:cs="Times New Roman"/>
                <w:color w:val="000000"/>
                <w:sz w:val="24"/>
                <w:szCs w:val="24"/>
                <w:lang w:eastAsia="ru-RU"/>
              </w:rPr>
              <w:t>Тип структуры</w:t>
            </w:r>
          </w:p>
        </w:tc>
        <w:tc>
          <w:tcPr>
            <w:tcW w:w="2274"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Солидные</w:t>
            </w:r>
          </w:p>
        </w:tc>
        <w:tc>
          <w:tcPr>
            <w:tcW w:w="830"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67</w:t>
            </w:r>
          </w:p>
        </w:tc>
        <w:tc>
          <w:tcPr>
            <w:tcW w:w="84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Cs/>
                <w:color w:val="000000"/>
                <w:sz w:val="24"/>
                <w:szCs w:val="24"/>
                <w:lang w:eastAsia="ru-RU"/>
              </w:rPr>
              <w:t>79,7</w:t>
            </w:r>
          </w:p>
        </w:tc>
        <w:tc>
          <w:tcPr>
            <w:tcW w:w="119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eastAsia="ru-RU"/>
              </w:rPr>
              <w:t>3</w:t>
            </w:r>
            <w:r>
              <w:rPr>
                <w:rFonts w:ascii="Times New Roman" w:eastAsia="Times New Roman" w:hAnsi="Times New Roman" w:cs="Times New Roman"/>
                <w:color w:val="000000"/>
                <w:sz w:val="24"/>
                <w:szCs w:val="24"/>
                <w:lang w:val="en-US" w:eastAsia="ru-RU"/>
              </w:rPr>
              <w:t>42</w:t>
            </w:r>
          </w:p>
        </w:tc>
        <w:tc>
          <w:tcPr>
            <w:tcW w:w="117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eastAsia="ru-RU"/>
              </w:rPr>
              <w:t>9</w:t>
            </w:r>
            <w:r>
              <w:rPr>
                <w:rFonts w:ascii="Times New Roman" w:eastAsia="Times New Roman" w:hAnsi="Times New Roman" w:cs="Times New Roman"/>
                <w:color w:val="000000"/>
                <w:sz w:val="24"/>
                <w:szCs w:val="24"/>
                <w:lang w:val="en-US" w:eastAsia="ru-RU"/>
              </w:rPr>
              <w:t>8,8</w:t>
            </w:r>
          </w:p>
        </w:tc>
        <w:tc>
          <w:tcPr>
            <w:tcW w:w="1358" w:type="dxa"/>
            <w:vMerge w:val="restart"/>
            <w:tcBorders>
              <w:top w:val="nil"/>
              <w:left w:val="single" w:sz="4" w:space="0" w:color="auto"/>
              <w:bottom w:val="single" w:sz="4" w:space="0" w:color="auto"/>
              <w:right w:val="single" w:sz="4" w:space="0" w:color="auto"/>
            </w:tcBorders>
            <w:shd w:val="clear" w:color="auto" w:fill="auto"/>
            <w:vAlign w:val="center"/>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χ2=61</w:t>
            </w:r>
            <w:r>
              <w:rPr>
                <w:rFonts w:ascii="Times New Roman" w:eastAsia="Times New Roman" w:hAnsi="Times New Roman" w:cs="Times New Roman"/>
                <w:color w:val="000000"/>
                <w:sz w:val="24"/>
                <w:szCs w:val="24"/>
                <w:lang w:val="en-US" w:eastAsia="ru-RU"/>
              </w:rPr>
              <w:t>,</w:t>
            </w:r>
            <w:r>
              <w:rPr>
                <w:rFonts w:ascii="Times New Roman" w:eastAsia="Times New Roman" w:hAnsi="Times New Roman" w:cs="Times New Roman"/>
                <w:color w:val="000000"/>
                <w:sz w:val="24"/>
                <w:szCs w:val="24"/>
                <w:lang w:eastAsia="ru-RU"/>
              </w:rPr>
              <w:t xml:space="preserve">413       df=1          </w:t>
            </w:r>
            <w:r>
              <w:rPr>
                <w:rFonts w:ascii="Times New Roman" w:eastAsia="Times New Roman" w:hAnsi="Times New Roman" w:cs="Times New Roman"/>
                <w:b/>
                <w:bCs/>
                <w:color w:val="000000"/>
                <w:sz w:val="24"/>
                <w:szCs w:val="24"/>
                <w:lang w:eastAsia="ru-RU"/>
              </w:rPr>
              <w:t>p&lt;0,001</w:t>
            </w:r>
          </w:p>
        </w:tc>
      </w:tr>
      <w:tr w:rsidR="00A75A8D">
        <w:trPr>
          <w:trHeight w:val="450"/>
        </w:trPr>
        <w:tc>
          <w:tcPr>
            <w:tcW w:w="2007" w:type="dxa"/>
            <w:vMerge/>
            <w:tcBorders>
              <w:top w:val="nil"/>
              <w:left w:val="single" w:sz="4" w:space="0" w:color="auto"/>
              <w:bottom w:val="single" w:sz="4" w:space="0" w:color="auto"/>
              <w:right w:val="single" w:sz="4" w:space="0" w:color="auto"/>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c>
          <w:tcPr>
            <w:tcW w:w="2274"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Субсолидные</w:t>
            </w:r>
          </w:p>
        </w:tc>
        <w:tc>
          <w:tcPr>
            <w:tcW w:w="830"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84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20,3</w:t>
            </w:r>
          </w:p>
        </w:tc>
        <w:tc>
          <w:tcPr>
            <w:tcW w:w="119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en-US" w:eastAsia="ru-RU"/>
              </w:rPr>
              <w:t>4</w:t>
            </w:r>
          </w:p>
        </w:tc>
        <w:tc>
          <w:tcPr>
            <w:tcW w:w="117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en-US" w:eastAsia="ru-RU"/>
              </w:rPr>
              <w:t>1,2</w:t>
            </w:r>
          </w:p>
        </w:tc>
        <w:tc>
          <w:tcPr>
            <w:tcW w:w="1358" w:type="dxa"/>
            <w:vMerge/>
            <w:tcBorders>
              <w:top w:val="nil"/>
              <w:left w:val="single" w:sz="4" w:space="0" w:color="auto"/>
              <w:bottom w:val="single" w:sz="4" w:space="0" w:color="auto"/>
              <w:right w:val="single" w:sz="4" w:space="0" w:color="auto"/>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r>
      <w:tr w:rsidR="00A75A8D">
        <w:trPr>
          <w:trHeight w:val="479"/>
        </w:trPr>
        <w:tc>
          <w:tcPr>
            <w:tcW w:w="2007" w:type="dxa"/>
            <w:vMerge w:val="restart"/>
            <w:tcBorders>
              <w:top w:val="nil"/>
              <w:left w:val="single" w:sz="4" w:space="0" w:color="auto"/>
              <w:bottom w:val="single" w:sz="4" w:space="0" w:color="auto"/>
              <w:right w:val="single" w:sz="4" w:space="0" w:color="auto"/>
            </w:tcBorders>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Форма</w:t>
            </w:r>
          </w:p>
        </w:tc>
        <w:tc>
          <w:tcPr>
            <w:tcW w:w="2274"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Правильная</w:t>
            </w:r>
          </w:p>
        </w:tc>
        <w:tc>
          <w:tcPr>
            <w:tcW w:w="830"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w:t>
            </w:r>
          </w:p>
        </w:tc>
        <w:tc>
          <w:tcPr>
            <w:tcW w:w="84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27,8</w:t>
            </w:r>
          </w:p>
        </w:tc>
        <w:tc>
          <w:tcPr>
            <w:tcW w:w="119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eastAsia="ru-RU"/>
              </w:rPr>
              <w:t>3</w:t>
            </w:r>
            <w:r>
              <w:rPr>
                <w:rFonts w:ascii="Times New Roman" w:eastAsia="Times New Roman" w:hAnsi="Times New Roman" w:cs="Times New Roman"/>
                <w:color w:val="000000"/>
                <w:sz w:val="24"/>
                <w:szCs w:val="24"/>
                <w:lang w:val="en-US" w:eastAsia="ru-RU"/>
              </w:rPr>
              <w:t>26</w:t>
            </w:r>
          </w:p>
        </w:tc>
        <w:tc>
          <w:tcPr>
            <w:tcW w:w="117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eastAsia="ru-RU"/>
              </w:rPr>
              <w:t>94,</w:t>
            </w:r>
            <w:r>
              <w:rPr>
                <w:rFonts w:ascii="Times New Roman" w:eastAsia="Times New Roman" w:hAnsi="Times New Roman" w:cs="Times New Roman"/>
                <w:color w:val="000000"/>
                <w:sz w:val="24"/>
                <w:szCs w:val="24"/>
                <w:lang w:val="en-US" w:eastAsia="ru-RU"/>
              </w:rPr>
              <w:t>2</w:t>
            </w:r>
          </w:p>
        </w:tc>
        <w:tc>
          <w:tcPr>
            <w:tcW w:w="1358" w:type="dxa"/>
            <w:vMerge w:val="restart"/>
            <w:tcBorders>
              <w:top w:val="nil"/>
              <w:left w:val="single" w:sz="4" w:space="0" w:color="auto"/>
              <w:bottom w:val="single" w:sz="4" w:space="0" w:color="auto"/>
              <w:right w:val="single" w:sz="4" w:space="0" w:color="auto"/>
            </w:tcBorders>
            <w:shd w:val="clear" w:color="auto" w:fill="auto"/>
            <w:vAlign w:val="center"/>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χ2=239,198       df=1          </w:t>
            </w:r>
            <w:r>
              <w:rPr>
                <w:rFonts w:ascii="Times New Roman" w:eastAsia="Times New Roman" w:hAnsi="Times New Roman" w:cs="Times New Roman"/>
                <w:b/>
                <w:bCs/>
                <w:color w:val="000000"/>
                <w:sz w:val="24"/>
                <w:szCs w:val="24"/>
                <w:lang w:eastAsia="ru-RU"/>
              </w:rPr>
              <w:t>p&lt;0,001</w:t>
            </w:r>
          </w:p>
        </w:tc>
      </w:tr>
      <w:tr w:rsidR="00A75A8D">
        <w:trPr>
          <w:trHeight w:val="459"/>
        </w:trPr>
        <w:tc>
          <w:tcPr>
            <w:tcW w:w="2007" w:type="dxa"/>
            <w:vMerge/>
            <w:tcBorders>
              <w:top w:val="nil"/>
              <w:left w:val="single" w:sz="4" w:space="0" w:color="auto"/>
              <w:bottom w:val="single" w:sz="4" w:space="0" w:color="auto"/>
              <w:right w:val="single" w:sz="4" w:space="0" w:color="auto"/>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c>
          <w:tcPr>
            <w:tcW w:w="2274"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Неправильная</w:t>
            </w:r>
          </w:p>
        </w:tc>
        <w:tc>
          <w:tcPr>
            <w:tcW w:w="830"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57</w:t>
            </w:r>
          </w:p>
        </w:tc>
        <w:tc>
          <w:tcPr>
            <w:tcW w:w="84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72,2</w:t>
            </w:r>
          </w:p>
        </w:tc>
        <w:tc>
          <w:tcPr>
            <w:tcW w:w="119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en-US" w:eastAsia="ru-RU"/>
              </w:rPr>
              <w:t>20</w:t>
            </w:r>
          </w:p>
        </w:tc>
        <w:tc>
          <w:tcPr>
            <w:tcW w:w="117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eastAsia="ru-RU"/>
              </w:rPr>
              <w:t>5,</w:t>
            </w:r>
            <w:r>
              <w:rPr>
                <w:rFonts w:ascii="Times New Roman" w:eastAsia="Times New Roman" w:hAnsi="Times New Roman" w:cs="Times New Roman"/>
                <w:color w:val="000000"/>
                <w:sz w:val="24"/>
                <w:szCs w:val="24"/>
                <w:lang w:val="en-US" w:eastAsia="ru-RU"/>
              </w:rPr>
              <w:t>8</w:t>
            </w:r>
          </w:p>
        </w:tc>
        <w:tc>
          <w:tcPr>
            <w:tcW w:w="1358" w:type="dxa"/>
            <w:vMerge/>
            <w:tcBorders>
              <w:top w:val="nil"/>
              <w:left w:val="single" w:sz="4" w:space="0" w:color="auto"/>
              <w:bottom w:val="single" w:sz="4" w:space="0" w:color="auto"/>
              <w:right w:val="single" w:sz="4" w:space="0" w:color="auto"/>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r>
      <w:tr w:rsidR="00A75A8D">
        <w:trPr>
          <w:trHeight w:val="315"/>
        </w:trPr>
        <w:tc>
          <w:tcPr>
            <w:tcW w:w="200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Контуры</w:t>
            </w:r>
          </w:p>
        </w:tc>
        <w:tc>
          <w:tcPr>
            <w:tcW w:w="2274"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Нечеткие/неровные</w:t>
            </w:r>
          </w:p>
        </w:tc>
        <w:tc>
          <w:tcPr>
            <w:tcW w:w="8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31</w:t>
            </w:r>
          </w:p>
        </w:tc>
        <w:tc>
          <w:tcPr>
            <w:tcW w:w="8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39,2</w:t>
            </w:r>
          </w:p>
        </w:tc>
        <w:tc>
          <w:tcPr>
            <w:tcW w:w="11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eastAsia="ru-RU"/>
              </w:rPr>
              <w:t>1</w:t>
            </w:r>
            <w:r>
              <w:rPr>
                <w:rFonts w:ascii="Times New Roman" w:eastAsia="Times New Roman" w:hAnsi="Times New Roman" w:cs="Times New Roman"/>
                <w:color w:val="000000"/>
                <w:sz w:val="24"/>
                <w:szCs w:val="24"/>
                <w:lang w:val="en-US" w:eastAsia="ru-RU"/>
              </w:rPr>
              <w:t>8</w:t>
            </w:r>
          </w:p>
        </w:tc>
        <w:tc>
          <w:tcPr>
            <w:tcW w:w="11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eastAsia="ru-RU"/>
              </w:rPr>
              <w:t>5,</w:t>
            </w:r>
            <w:r>
              <w:rPr>
                <w:rFonts w:ascii="Times New Roman" w:eastAsia="Times New Roman" w:hAnsi="Times New Roman" w:cs="Times New Roman"/>
                <w:color w:val="000000"/>
                <w:sz w:val="24"/>
                <w:szCs w:val="24"/>
                <w:lang w:val="en-US" w:eastAsia="ru-RU"/>
              </w:rPr>
              <w:t>2</w:t>
            </w:r>
          </w:p>
        </w:tc>
        <w:tc>
          <w:tcPr>
            <w:tcW w:w="135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χ2=314</w:t>
            </w:r>
            <w:r>
              <w:rPr>
                <w:rFonts w:ascii="Times New Roman" w:eastAsia="Times New Roman" w:hAnsi="Times New Roman" w:cs="Times New Roman"/>
                <w:color w:val="000000"/>
                <w:sz w:val="24"/>
                <w:szCs w:val="24"/>
                <w:lang w:val="en-US" w:eastAsia="ru-RU"/>
              </w:rPr>
              <w:t>,</w:t>
            </w:r>
            <w:r>
              <w:rPr>
                <w:rFonts w:ascii="Times New Roman" w:eastAsia="Times New Roman" w:hAnsi="Times New Roman" w:cs="Times New Roman"/>
                <w:color w:val="000000"/>
                <w:sz w:val="24"/>
                <w:szCs w:val="24"/>
                <w:lang w:eastAsia="ru-RU"/>
              </w:rPr>
              <w:t xml:space="preserve">953       df=3          </w:t>
            </w:r>
            <w:r>
              <w:rPr>
                <w:rFonts w:ascii="Times New Roman" w:eastAsia="Times New Roman" w:hAnsi="Times New Roman" w:cs="Times New Roman"/>
                <w:b/>
                <w:bCs/>
                <w:color w:val="000000"/>
                <w:sz w:val="24"/>
                <w:szCs w:val="24"/>
                <w:lang w:eastAsia="ru-RU"/>
              </w:rPr>
              <w:t>p&lt;0,001</w:t>
            </w:r>
          </w:p>
        </w:tc>
      </w:tr>
      <w:tr w:rsidR="00A75A8D">
        <w:trPr>
          <w:trHeight w:val="315"/>
        </w:trPr>
        <w:tc>
          <w:tcPr>
            <w:tcW w:w="200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c>
          <w:tcPr>
            <w:tcW w:w="2274"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Бугристые</w:t>
            </w:r>
          </w:p>
        </w:tc>
        <w:tc>
          <w:tcPr>
            <w:tcW w:w="8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8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1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w:t>
            </w:r>
          </w:p>
        </w:tc>
        <w:tc>
          <w:tcPr>
            <w:tcW w:w="11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eastAsia="ru-RU"/>
              </w:rPr>
              <w:t>3,</w:t>
            </w:r>
            <w:r>
              <w:rPr>
                <w:rFonts w:ascii="Times New Roman" w:eastAsia="Times New Roman" w:hAnsi="Times New Roman" w:cs="Times New Roman"/>
                <w:color w:val="000000"/>
                <w:sz w:val="24"/>
                <w:szCs w:val="24"/>
                <w:lang w:val="en-US" w:eastAsia="ru-RU"/>
              </w:rPr>
              <w:t>2</w:t>
            </w:r>
          </w:p>
        </w:tc>
        <w:tc>
          <w:tcPr>
            <w:tcW w:w="1358" w:type="dxa"/>
            <w:vMerge/>
            <w:tcBorders>
              <w:top w:val="single" w:sz="4" w:space="0" w:color="auto"/>
              <w:left w:val="single" w:sz="4" w:space="0" w:color="auto"/>
              <w:bottom w:val="single" w:sz="4" w:space="0" w:color="auto"/>
              <w:right w:val="single" w:sz="4" w:space="0" w:color="auto"/>
            </w:tcBorders>
            <w:shd w:val="clear" w:color="auto" w:fill="auto"/>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r>
      <w:tr w:rsidR="00A75A8D">
        <w:trPr>
          <w:trHeight w:val="315"/>
        </w:trPr>
        <w:tc>
          <w:tcPr>
            <w:tcW w:w="200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c>
          <w:tcPr>
            <w:tcW w:w="2274"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Спикулообразные</w:t>
            </w:r>
          </w:p>
        </w:tc>
        <w:tc>
          <w:tcPr>
            <w:tcW w:w="8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w:t>
            </w:r>
          </w:p>
        </w:tc>
        <w:tc>
          <w:tcPr>
            <w:tcW w:w="8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38,0</w:t>
            </w:r>
          </w:p>
        </w:tc>
        <w:tc>
          <w:tcPr>
            <w:tcW w:w="11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11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eastAsia="ru-RU"/>
              </w:rPr>
              <w:t>1,</w:t>
            </w:r>
            <w:r>
              <w:rPr>
                <w:rFonts w:ascii="Times New Roman" w:eastAsia="Times New Roman" w:hAnsi="Times New Roman" w:cs="Times New Roman"/>
                <w:color w:val="000000"/>
                <w:sz w:val="24"/>
                <w:szCs w:val="24"/>
                <w:lang w:val="en-US" w:eastAsia="ru-RU"/>
              </w:rPr>
              <w:t>4</w:t>
            </w:r>
          </w:p>
        </w:tc>
        <w:tc>
          <w:tcPr>
            <w:tcW w:w="1358" w:type="dxa"/>
            <w:vMerge/>
            <w:tcBorders>
              <w:top w:val="single" w:sz="4" w:space="0" w:color="auto"/>
              <w:left w:val="single" w:sz="4" w:space="0" w:color="auto"/>
              <w:bottom w:val="single" w:sz="4" w:space="0" w:color="auto"/>
              <w:right w:val="single" w:sz="4" w:space="0" w:color="auto"/>
            </w:tcBorders>
            <w:shd w:val="clear" w:color="auto" w:fill="auto"/>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r>
      <w:tr w:rsidR="00A75A8D">
        <w:trPr>
          <w:trHeight w:val="315"/>
        </w:trPr>
        <w:tc>
          <w:tcPr>
            <w:tcW w:w="200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c>
          <w:tcPr>
            <w:tcW w:w="2274"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Четкие/ровные</w:t>
            </w:r>
          </w:p>
        </w:tc>
        <w:tc>
          <w:tcPr>
            <w:tcW w:w="8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8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3,8</w:t>
            </w:r>
          </w:p>
        </w:tc>
        <w:tc>
          <w:tcPr>
            <w:tcW w:w="11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en-US" w:eastAsia="ru-RU"/>
              </w:rPr>
              <w:t>312</w:t>
            </w:r>
          </w:p>
        </w:tc>
        <w:tc>
          <w:tcPr>
            <w:tcW w:w="11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eastAsia="ru-RU"/>
              </w:rPr>
              <w:t>90,</w:t>
            </w:r>
            <w:r>
              <w:rPr>
                <w:rFonts w:ascii="Times New Roman" w:eastAsia="Times New Roman" w:hAnsi="Times New Roman" w:cs="Times New Roman"/>
                <w:color w:val="000000"/>
                <w:sz w:val="24"/>
                <w:szCs w:val="24"/>
                <w:lang w:val="en-US" w:eastAsia="ru-RU"/>
              </w:rPr>
              <w:t>2</w:t>
            </w:r>
          </w:p>
        </w:tc>
        <w:tc>
          <w:tcPr>
            <w:tcW w:w="1358" w:type="dxa"/>
            <w:vMerge/>
            <w:tcBorders>
              <w:top w:val="single" w:sz="4" w:space="0" w:color="auto"/>
              <w:left w:val="single" w:sz="4" w:space="0" w:color="auto"/>
              <w:bottom w:val="single" w:sz="4" w:space="0" w:color="auto"/>
              <w:right w:val="single" w:sz="4" w:space="0" w:color="auto"/>
            </w:tcBorders>
            <w:shd w:val="clear" w:color="auto" w:fill="auto"/>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r>
      <w:tr w:rsidR="00A75A8D">
        <w:trPr>
          <w:trHeight w:val="315"/>
        </w:trPr>
        <w:tc>
          <w:tcPr>
            <w:tcW w:w="200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Размер</w:t>
            </w:r>
          </w:p>
        </w:tc>
        <w:tc>
          <w:tcPr>
            <w:tcW w:w="2274"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6-8 мм</w:t>
            </w:r>
          </w:p>
        </w:tc>
        <w:tc>
          <w:tcPr>
            <w:tcW w:w="8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8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3,8</w:t>
            </w:r>
          </w:p>
        </w:tc>
        <w:tc>
          <w:tcPr>
            <w:tcW w:w="11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en-US" w:eastAsia="ru-RU"/>
              </w:rPr>
              <w:t>300</w:t>
            </w:r>
          </w:p>
        </w:tc>
        <w:tc>
          <w:tcPr>
            <w:tcW w:w="11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eastAsia="ru-RU"/>
              </w:rPr>
              <w:t>86,7</w:t>
            </w:r>
          </w:p>
        </w:tc>
        <w:tc>
          <w:tcPr>
            <w:tcW w:w="135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χ2=498</w:t>
            </w:r>
            <w:r>
              <w:rPr>
                <w:rFonts w:ascii="Times New Roman" w:eastAsia="Times New Roman" w:hAnsi="Times New Roman" w:cs="Times New Roman"/>
                <w:color w:val="000000"/>
                <w:sz w:val="24"/>
                <w:szCs w:val="24"/>
                <w:lang w:val="en-US" w:eastAsia="ru-RU"/>
              </w:rPr>
              <w:t>,</w:t>
            </w:r>
            <w:r>
              <w:rPr>
                <w:rFonts w:ascii="Times New Roman" w:eastAsia="Times New Roman" w:hAnsi="Times New Roman" w:cs="Times New Roman"/>
                <w:color w:val="000000"/>
                <w:sz w:val="24"/>
                <w:szCs w:val="24"/>
                <w:lang w:eastAsia="ru-RU"/>
              </w:rPr>
              <w:t xml:space="preserve">160       df=3          </w:t>
            </w:r>
            <w:r>
              <w:rPr>
                <w:rFonts w:ascii="Times New Roman" w:eastAsia="Times New Roman" w:hAnsi="Times New Roman" w:cs="Times New Roman"/>
                <w:b/>
                <w:bCs/>
                <w:color w:val="000000"/>
                <w:sz w:val="24"/>
                <w:szCs w:val="24"/>
                <w:lang w:eastAsia="ru-RU"/>
              </w:rPr>
              <w:t>p&lt;0,001</w:t>
            </w:r>
          </w:p>
        </w:tc>
      </w:tr>
      <w:tr w:rsidR="00A75A8D">
        <w:trPr>
          <w:trHeight w:val="315"/>
        </w:trPr>
        <w:tc>
          <w:tcPr>
            <w:tcW w:w="2007" w:type="dxa"/>
            <w:vMerge/>
            <w:tcBorders>
              <w:top w:val="single" w:sz="4" w:space="0" w:color="auto"/>
              <w:left w:val="single" w:sz="4" w:space="0" w:color="auto"/>
              <w:bottom w:val="single" w:sz="4" w:space="0" w:color="auto"/>
              <w:right w:val="single" w:sz="4" w:space="0" w:color="auto"/>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c>
          <w:tcPr>
            <w:tcW w:w="2274" w:type="dxa"/>
            <w:tcBorders>
              <w:top w:val="single" w:sz="4" w:space="0" w:color="auto"/>
              <w:left w:val="nil"/>
              <w:bottom w:val="single" w:sz="4" w:space="0" w:color="auto"/>
              <w:right w:val="single" w:sz="4" w:space="0" w:color="auto"/>
            </w:tcBorders>
            <w:shd w:val="clear" w:color="auto" w:fill="auto"/>
            <w:noWrap/>
            <w:vAlign w:val="bottom"/>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9-15 мм</w:t>
            </w:r>
          </w:p>
        </w:tc>
        <w:tc>
          <w:tcPr>
            <w:tcW w:w="830" w:type="dxa"/>
            <w:tcBorders>
              <w:top w:val="single" w:sz="4" w:space="0" w:color="auto"/>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843" w:type="dxa"/>
            <w:tcBorders>
              <w:top w:val="single" w:sz="4" w:space="0" w:color="auto"/>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10,1</w:t>
            </w:r>
          </w:p>
        </w:tc>
        <w:tc>
          <w:tcPr>
            <w:tcW w:w="1193" w:type="dxa"/>
            <w:tcBorders>
              <w:top w:val="single" w:sz="4" w:space="0" w:color="auto"/>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eastAsia="ru-RU"/>
              </w:rPr>
              <w:t>3</w:t>
            </w:r>
            <w:r>
              <w:rPr>
                <w:rFonts w:ascii="Times New Roman" w:eastAsia="Times New Roman" w:hAnsi="Times New Roman" w:cs="Times New Roman"/>
                <w:color w:val="000000"/>
                <w:sz w:val="24"/>
                <w:szCs w:val="24"/>
                <w:lang w:val="en-US" w:eastAsia="ru-RU"/>
              </w:rPr>
              <w:t>6</w:t>
            </w:r>
          </w:p>
        </w:tc>
        <w:tc>
          <w:tcPr>
            <w:tcW w:w="1173" w:type="dxa"/>
            <w:tcBorders>
              <w:top w:val="single" w:sz="4" w:space="0" w:color="auto"/>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eastAsia="ru-RU"/>
              </w:rPr>
              <w:t>10,</w:t>
            </w:r>
            <w:r>
              <w:rPr>
                <w:rFonts w:ascii="Times New Roman" w:eastAsia="Times New Roman" w:hAnsi="Times New Roman" w:cs="Times New Roman"/>
                <w:color w:val="000000"/>
                <w:sz w:val="24"/>
                <w:szCs w:val="24"/>
                <w:lang w:val="en-US" w:eastAsia="ru-RU"/>
              </w:rPr>
              <w:t>4</w:t>
            </w:r>
          </w:p>
        </w:tc>
        <w:tc>
          <w:tcPr>
            <w:tcW w:w="1358" w:type="dxa"/>
            <w:vMerge/>
            <w:tcBorders>
              <w:top w:val="single" w:sz="4" w:space="0" w:color="auto"/>
              <w:left w:val="single" w:sz="4" w:space="0" w:color="auto"/>
              <w:bottom w:val="single" w:sz="4" w:space="0" w:color="auto"/>
              <w:right w:val="single" w:sz="4" w:space="0" w:color="auto"/>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r>
      <w:tr w:rsidR="00A75A8D">
        <w:trPr>
          <w:trHeight w:val="315"/>
        </w:trPr>
        <w:tc>
          <w:tcPr>
            <w:tcW w:w="2007" w:type="dxa"/>
            <w:vMerge/>
            <w:tcBorders>
              <w:top w:val="nil"/>
              <w:left w:val="single" w:sz="4" w:space="0" w:color="auto"/>
              <w:bottom w:val="single" w:sz="4" w:space="0" w:color="auto"/>
              <w:right w:val="single" w:sz="4" w:space="0" w:color="auto"/>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c>
          <w:tcPr>
            <w:tcW w:w="2274"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16-30 мм</w:t>
            </w:r>
          </w:p>
        </w:tc>
        <w:tc>
          <w:tcPr>
            <w:tcW w:w="830"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84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8,9</w:t>
            </w:r>
          </w:p>
        </w:tc>
        <w:tc>
          <w:tcPr>
            <w:tcW w:w="119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en-US" w:eastAsia="ru-RU"/>
              </w:rPr>
              <w:t>6</w:t>
            </w:r>
          </w:p>
        </w:tc>
        <w:tc>
          <w:tcPr>
            <w:tcW w:w="117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eastAsia="ru-RU"/>
              </w:rPr>
              <w:t>1,</w:t>
            </w:r>
            <w:r>
              <w:rPr>
                <w:rFonts w:ascii="Times New Roman" w:eastAsia="Times New Roman" w:hAnsi="Times New Roman" w:cs="Times New Roman"/>
                <w:color w:val="000000"/>
                <w:sz w:val="24"/>
                <w:szCs w:val="24"/>
                <w:lang w:val="en-US" w:eastAsia="ru-RU"/>
              </w:rPr>
              <w:t>7</w:t>
            </w:r>
          </w:p>
        </w:tc>
        <w:tc>
          <w:tcPr>
            <w:tcW w:w="1358" w:type="dxa"/>
            <w:vMerge/>
            <w:tcBorders>
              <w:top w:val="nil"/>
              <w:left w:val="single" w:sz="4" w:space="0" w:color="auto"/>
              <w:bottom w:val="single" w:sz="4" w:space="0" w:color="auto"/>
              <w:right w:val="single" w:sz="4" w:space="0" w:color="auto"/>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r>
      <w:tr w:rsidR="00A75A8D">
        <w:trPr>
          <w:trHeight w:val="315"/>
        </w:trPr>
        <w:tc>
          <w:tcPr>
            <w:tcW w:w="2007" w:type="dxa"/>
            <w:vMerge/>
            <w:tcBorders>
              <w:top w:val="nil"/>
              <w:left w:val="single" w:sz="4" w:space="0" w:color="auto"/>
              <w:bottom w:val="single" w:sz="4" w:space="0" w:color="auto"/>
              <w:right w:val="single" w:sz="4" w:space="0" w:color="auto"/>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c>
          <w:tcPr>
            <w:tcW w:w="2274"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31 </w:t>
            </w:r>
            <w:r>
              <w:rPr>
                <w:rFonts w:ascii="Times New Roman" w:eastAsia="Times New Roman" w:hAnsi="Times New Roman" w:cs="Times New Roman"/>
                <w:color w:val="000000"/>
                <w:sz w:val="24"/>
                <w:szCs w:val="24"/>
                <w:lang w:eastAsia="ru-RU"/>
              </w:rPr>
              <w:t>мм и более</w:t>
            </w:r>
          </w:p>
        </w:tc>
        <w:tc>
          <w:tcPr>
            <w:tcW w:w="830"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61</w:t>
            </w:r>
          </w:p>
        </w:tc>
        <w:tc>
          <w:tcPr>
            <w:tcW w:w="84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77,2</w:t>
            </w:r>
          </w:p>
        </w:tc>
        <w:tc>
          <w:tcPr>
            <w:tcW w:w="119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eastAsia="ru-RU"/>
              </w:rPr>
              <w:t>4</w:t>
            </w:r>
          </w:p>
        </w:tc>
        <w:tc>
          <w:tcPr>
            <w:tcW w:w="117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eastAsia="ru-RU"/>
              </w:rPr>
              <w:t>1,</w:t>
            </w:r>
            <w:r>
              <w:rPr>
                <w:rFonts w:ascii="Times New Roman" w:eastAsia="Times New Roman" w:hAnsi="Times New Roman" w:cs="Times New Roman"/>
                <w:color w:val="000000"/>
                <w:sz w:val="24"/>
                <w:szCs w:val="24"/>
                <w:lang w:val="en-US" w:eastAsia="ru-RU"/>
              </w:rPr>
              <w:t>2</w:t>
            </w:r>
          </w:p>
        </w:tc>
        <w:tc>
          <w:tcPr>
            <w:tcW w:w="1358" w:type="dxa"/>
            <w:vMerge/>
            <w:tcBorders>
              <w:top w:val="nil"/>
              <w:left w:val="single" w:sz="4" w:space="0" w:color="auto"/>
              <w:bottom w:val="single" w:sz="4" w:space="0" w:color="auto"/>
              <w:right w:val="single" w:sz="4" w:space="0" w:color="auto"/>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r>
      <w:tr w:rsidR="00A75A8D">
        <w:trPr>
          <w:trHeight w:val="465"/>
        </w:trPr>
        <w:tc>
          <w:tcPr>
            <w:tcW w:w="2007" w:type="dxa"/>
            <w:vMerge w:val="restart"/>
            <w:tcBorders>
              <w:top w:val="nil"/>
              <w:left w:val="single" w:sz="4" w:space="0" w:color="auto"/>
              <w:bottom w:val="single" w:sz="4" w:space="0" w:color="auto"/>
              <w:right w:val="single" w:sz="4" w:space="0" w:color="auto"/>
            </w:tcBorders>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Плотность</w:t>
            </w:r>
          </w:p>
        </w:tc>
        <w:tc>
          <w:tcPr>
            <w:tcW w:w="2274"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10-35</w:t>
            </w:r>
          </w:p>
        </w:tc>
        <w:tc>
          <w:tcPr>
            <w:tcW w:w="830"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50</w:t>
            </w:r>
          </w:p>
        </w:tc>
        <w:tc>
          <w:tcPr>
            <w:tcW w:w="84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63,3</w:t>
            </w:r>
          </w:p>
        </w:tc>
        <w:tc>
          <w:tcPr>
            <w:tcW w:w="119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eastAsia="ru-RU"/>
              </w:rPr>
              <w:t>8</w:t>
            </w:r>
            <w:r>
              <w:rPr>
                <w:rFonts w:ascii="Times New Roman" w:eastAsia="Times New Roman" w:hAnsi="Times New Roman" w:cs="Times New Roman"/>
                <w:color w:val="000000"/>
                <w:sz w:val="24"/>
                <w:szCs w:val="24"/>
                <w:lang w:val="en-US" w:eastAsia="ru-RU"/>
              </w:rPr>
              <w:t>8</w:t>
            </w:r>
          </w:p>
        </w:tc>
        <w:tc>
          <w:tcPr>
            <w:tcW w:w="117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25,4</w:t>
            </w:r>
          </w:p>
        </w:tc>
        <w:tc>
          <w:tcPr>
            <w:tcW w:w="1358" w:type="dxa"/>
            <w:vMerge w:val="restart"/>
            <w:tcBorders>
              <w:top w:val="nil"/>
              <w:left w:val="single" w:sz="4" w:space="0" w:color="auto"/>
              <w:bottom w:val="single" w:sz="4" w:space="0" w:color="auto"/>
              <w:right w:val="single" w:sz="4" w:space="0" w:color="auto"/>
            </w:tcBorders>
            <w:shd w:val="clear" w:color="auto" w:fill="auto"/>
            <w:vAlign w:val="center"/>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χ2=7,070       df=1          </w:t>
            </w:r>
            <w:r>
              <w:rPr>
                <w:rFonts w:ascii="Times New Roman" w:eastAsia="Times New Roman" w:hAnsi="Times New Roman" w:cs="Times New Roman"/>
                <w:b/>
                <w:bCs/>
                <w:color w:val="000000"/>
                <w:sz w:val="24"/>
                <w:szCs w:val="24"/>
                <w:lang w:eastAsia="ru-RU"/>
              </w:rPr>
              <w:t>p=0,008</w:t>
            </w:r>
          </w:p>
        </w:tc>
      </w:tr>
      <w:tr w:rsidR="00A75A8D">
        <w:trPr>
          <w:trHeight w:val="525"/>
        </w:trPr>
        <w:tc>
          <w:tcPr>
            <w:tcW w:w="2007" w:type="dxa"/>
            <w:vMerge/>
            <w:tcBorders>
              <w:top w:val="nil"/>
              <w:left w:val="single" w:sz="4" w:space="0" w:color="auto"/>
              <w:bottom w:val="single" w:sz="4" w:space="0" w:color="auto"/>
              <w:right w:val="single" w:sz="4" w:space="0" w:color="auto"/>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c>
          <w:tcPr>
            <w:tcW w:w="2274"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eastAsia="ru-RU"/>
              </w:rPr>
              <w:t>36-</w:t>
            </w:r>
            <w:r>
              <w:rPr>
                <w:rFonts w:ascii="Times New Roman" w:eastAsia="Times New Roman" w:hAnsi="Times New Roman" w:cs="Times New Roman"/>
                <w:color w:val="000000"/>
                <w:sz w:val="24"/>
                <w:szCs w:val="24"/>
                <w:lang w:val="en-US" w:eastAsia="ru-RU"/>
              </w:rPr>
              <w:t>73</w:t>
            </w:r>
          </w:p>
        </w:tc>
        <w:tc>
          <w:tcPr>
            <w:tcW w:w="830"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29</w:t>
            </w:r>
          </w:p>
        </w:tc>
        <w:tc>
          <w:tcPr>
            <w:tcW w:w="84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36,7</w:t>
            </w:r>
          </w:p>
        </w:tc>
        <w:tc>
          <w:tcPr>
            <w:tcW w:w="119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eastAsia="ru-RU"/>
              </w:rPr>
              <w:t>2</w:t>
            </w:r>
            <w:r>
              <w:rPr>
                <w:rFonts w:ascii="Times New Roman" w:eastAsia="Times New Roman" w:hAnsi="Times New Roman" w:cs="Times New Roman"/>
                <w:color w:val="000000"/>
                <w:sz w:val="24"/>
                <w:szCs w:val="24"/>
                <w:lang w:val="en-US" w:eastAsia="ru-RU"/>
              </w:rPr>
              <w:t>58</w:t>
            </w:r>
          </w:p>
        </w:tc>
        <w:tc>
          <w:tcPr>
            <w:tcW w:w="117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74,6</w:t>
            </w:r>
          </w:p>
        </w:tc>
        <w:tc>
          <w:tcPr>
            <w:tcW w:w="1358" w:type="dxa"/>
            <w:vMerge/>
            <w:tcBorders>
              <w:top w:val="nil"/>
              <w:left w:val="single" w:sz="4" w:space="0" w:color="auto"/>
              <w:bottom w:val="single" w:sz="4" w:space="0" w:color="auto"/>
              <w:right w:val="single" w:sz="4" w:space="0" w:color="auto"/>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r>
      <w:tr w:rsidR="00A75A8D">
        <w:trPr>
          <w:trHeight w:val="540"/>
        </w:trPr>
        <w:tc>
          <w:tcPr>
            <w:tcW w:w="2007" w:type="dxa"/>
            <w:vMerge w:val="restart"/>
            <w:tcBorders>
              <w:top w:val="nil"/>
              <w:left w:val="single" w:sz="4" w:space="0" w:color="auto"/>
              <w:bottom w:val="single" w:sz="4" w:space="0" w:color="auto"/>
              <w:right w:val="single" w:sz="4" w:space="0" w:color="auto"/>
            </w:tcBorders>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Реакция плевры</w:t>
            </w:r>
          </w:p>
        </w:tc>
        <w:tc>
          <w:tcPr>
            <w:tcW w:w="2274"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есть</w:t>
            </w:r>
          </w:p>
        </w:tc>
        <w:tc>
          <w:tcPr>
            <w:tcW w:w="830"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46</w:t>
            </w:r>
          </w:p>
        </w:tc>
        <w:tc>
          <w:tcPr>
            <w:tcW w:w="84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58,2</w:t>
            </w:r>
          </w:p>
        </w:tc>
        <w:tc>
          <w:tcPr>
            <w:tcW w:w="119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en-US" w:eastAsia="ru-RU"/>
              </w:rPr>
              <w:t>30</w:t>
            </w:r>
          </w:p>
        </w:tc>
        <w:tc>
          <w:tcPr>
            <w:tcW w:w="117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8,7</w:t>
            </w:r>
          </w:p>
        </w:tc>
        <w:tc>
          <w:tcPr>
            <w:tcW w:w="1358" w:type="dxa"/>
            <w:vMerge w:val="restart"/>
            <w:tcBorders>
              <w:top w:val="nil"/>
              <w:left w:val="single" w:sz="4" w:space="0" w:color="auto"/>
              <w:bottom w:val="single" w:sz="4" w:space="0" w:color="auto"/>
              <w:right w:val="single" w:sz="4" w:space="0" w:color="auto"/>
            </w:tcBorders>
            <w:shd w:val="clear" w:color="auto" w:fill="auto"/>
            <w:vAlign w:val="center"/>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χ2=129</w:t>
            </w:r>
            <w:r>
              <w:rPr>
                <w:rFonts w:ascii="Times New Roman" w:eastAsia="Times New Roman" w:hAnsi="Times New Roman" w:cs="Times New Roman"/>
                <w:color w:val="000000"/>
                <w:sz w:val="24"/>
                <w:szCs w:val="24"/>
                <w:lang w:val="en-US" w:eastAsia="ru-RU"/>
              </w:rPr>
              <w:t>,</w:t>
            </w:r>
            <w:r>
              <w:rPr>
                <w:rFonts w:ascii="Times New Roman" w:eastAsia="Times New Roman" w:hAnsi="Times New Roman" w:cs="Times New Roman"/>
                <w:color w:val="000000"/>
                <w:sz w:val="24"/>
                <w:szCs w:val="24"/>
                <w:lang w:eastAsia="ru-RU"/>
              </w:rPr>
              <w:t xml:space="preserve">130       df=1          </w:t>
            </w:r>
            <w:r>
              <w:rPr>
                <w:rFonts w:ascii="Times New Roman" w:eastAsia="Times New Roman" w:hAnsi="Times New Roman" w:cs="Times New Roman"/>
                <w:b/>
                <w:bCs/>
                <w:color w:val="000000"/>
                <w:sz w:val="24"/>
                <w:szCs w:val="24"/>
                <w:lang w:eastAsia="ru-RU"/>
              </w:rPr>
              <w:t>p&lt;0,001</w:t>
            </w:r>
          </w:p>
        </w:tc>
      </w:tr>
      <w:tr w:rsidR="00A75A8D">
        <w:trPr>
          <w:trHeight w:val="540"/>
        </w:trPr>
        <w:tc>
          <w:tcPr>
            <w:tcW w:w="2007" w:type="dxa"/>
            <w:vMerge/>
            <w:tcBorders>
              <w:top w:val="nil"/>
              <w:left w:val="single" w:sz="4" w:space="0" w:color="auto"/>
              <w:bottom w:val="single" w:sz="4" w:space="0" w:color="auto"/>
              <w:right w:val="single" w:sz="4" w:space="0" w:color="auto"/>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c>
          <w:tcPr>
            <w:tcW w:w="2274"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нет</w:t>
            </w:r>
          </w:p>
        </w:tc>
        <w:tc>
          <w:tcPr>
            <w:tcW w:w="830"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33</w:t>
            </w:r>
          </w:p>
        </w:tc>
        <w:tc>
          <w:tcPr>
            <w:tcW w:w="84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41,8</w:t>
            </w:r>
          </w:p>
        </w:tc>
        <w:tc>
          <w:tcPr>
            <w:tcW w:w="119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eastAsia="ru-RU"/>
              </w:rPr>
              <w:t>3</w:t>
            </w:r>
            <w:r>
              <w:rPr>
                <w:rFonts w:ascii="Times New Roman" w:eastAsia="Times New Roman" w:hAnsi="Times New Roman" w:cs="Times New Roman"/>
                <w:color w:val="000000"/>
                <w:sz w:val="24"/>
                <w:szCs w:val="24"/>
                <w:lang w:val="en-US" w:eastAsia="ru-RU"/>
              </w:rPr>
              <w:t>16</w:t>
            </w:r>
          </w:p>
        </w:tc>
        <w:tc>
          <w:tcPr>
            <w:tcW w:w="117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91,3</w:t>
            </w:r>
          </w:p>
        </w:tc>
        <w:tc>
          <w:tcPr>
            <w:tcW w:w="1358" w:type="dxa"/>
            <w:vMerge/>
            <w:tcBorders>
              <w:top w:val="nil"/>
              <w:left w:val="single" w:sz="4" w:space="0" w:color="auto"/>
              <w:bottom w:val="single" w:sz="4" w:space="0" w:color="auto"/>
              <w:right w:val="single" w:sz="4" w:space="0" w:color="auto"/>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r>
      <w:tr w:rsidR="00A75A8D">
        <w:trPr>
          <w:trHeight w:val="525"/>
        </w:trPr>
        <w:tc>
          <w:tcPr>
            <w:tcW w:w="2007" w:type="dxa"/>
            <w:vMerge w:val="restart"/>
            <w:tcBorders>
              <w:top w:val="nil"/>
              <w:left w:val="single" w:sz="4" w:space="0" w:color="auto"/>
              <w:bottom w:val="single" w:sz="4" w:space="0" w:color="auto"/>
              <w:right w:val="single" w:sz="4"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Перифокальная инфильтрация</w:t>
            </w:r>
          </w:p>
        </w:tc>
        <w:tc>
          <w:tcPr>
            <w:tcW w:w="2274"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есть</w:t>
            </w:r>
          </w:p>
        </w:tc>
        <w:tc>
          <w:tcPr>
            <w:tcW w:w="830"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84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22,8</w:t>
            </w:r>
          </w:p>
        </w:tc>
        <w:tc>
          <w:tcPr>
            <w:tcW w:w="119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117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w:t>
            </w:r>
          </w:p>
        </w:tc>
        <w:tc>
          <w:tcPr>
            <w:tcW w:w="1358" w:type="dxa"/>
            <w:vMerge w:val="restart"/>
            <w:tcBorders>
              <w:top w:val="nil"/>
              <w:left w:val="single" w:sz="4" w:space="0" w:color="auto"/>
              <w:bottom w:val="single" w:sz="4" w:space="0" w:color="auto"/>
              <w:right w:val="single" w:sz="4" w:space="0" w:color="auto"/>
            </w:tcBorders>
            <w:shd w:val="clear" w:color="auto" w:fill="auto"/>
            <w:vAlign w:val="center"/>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χ2=81</w:t>
            </w:r>
            <w:r>
              <w:rPr>
                <w:rFonts w:ascii="Times New Roman" w:eastAsia="Times New Roman" w:hAnsi="Times New Roman" w:cs="Times New Roman"/>
                <w:color w:val="000000"/>
                <w:sz w:val="24"/>
                <w:szCs w:val="24"/>
                <w:lang w:val="en-US" w:eastAsia="ru-RU"/>
              </w:rPr>
              <w:t>,</w:t>
            </w:r>
            <w:r>
              <w:rPr>
                <w:rFonts w:ascii="Times New Roman" w:eastAsia="Times New Roman" w:hAnsi="Times New Roman" w:cs="Times New Roman"/>
                <w:color w:val="000000"/>
                <w:sz w:val="24"/>
                <w:szCs w:val="24"/>
                <w:lang w:eastAsia="ru-RU"/>
              </w:rPr>
              <w:t xml:space="preserve">417       df=1          </w:t>
            </w:r>
            <w:r>
              <w:rPr>
                <w:rFonts w:ascii="Times New Roman" w:eastAsia="Times New Roman" w:hAnsi="Times New Roman" w:cs="Times New Roman"/>
                <w:b/>
                <w:bCs/>
                <w:color w:val="000000"/>
                <w:sz w:val="24"/>
                <w:szCs w:val="24"/>
                <w:lang w:eastAsia="ru-RU"/>
              </w:rPr>
              <w:t>p&lt;0,001</w:t>
            </w:r>
          </w:p>
        </w:tc>
      </w:tr>
      <w:tr w:rsidR="00A75A8D">
        <w:trPr>
          <w:trHeight w:val="495"/>
        </w:trPr>
        <w:tc>
          <w:tcPr>
            <w:tcW w:w="2007" w:type="dxa"/>
            <w:vMerge/>
            <w:tcBorders>
              <w:top w:val="nil"/>
              <w:left w:val="single" w:sz="4" w:space="0" w:color="auto"/>
              <w:bottom w:val="single" w:sz="4" w:space="0" w:color="auto"/>
              <w:right w:val="single" w:sz="4" w:space="0" w:color="auto"/>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c>
          <w:tcPr>
            <w:tcW w:w="2274"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нет</w:t>
            </w:r>
          </w:p>
        </w:tc>
        <w:tc>
          <w:tcPr>
            <w:tcW w:w="830"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61</w:t>
            </w:r>
          </w:p>
        </w:tc>
        <w:tc>
          <w:tcPr>
            <w:tcW w:w="84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77,2</w:t>
            </w:r>
          </w:p>
        </w:tc>
        <w:tc>
          <w:tcPr>
            <w:tcW w:w="119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eastAsia="ru-RU"/>
              </w:rPr>
              <w:t>3</w:t>
            </w:r>
            <w:r>
              <w:rPr>
                <w:rFonts w:ascii="Times New Roman" w:eastAsia="Times New Roman" w:hAnsi="Times New Roman" w:cs="Times New Roman"/>
                <w:color w:val="000000"/>
                <w:sz w:val="24"/>
                <w:szCs w:val="24"/>
                <w:lang w:val="en-US" w:eastAsia="ru-RU"/>
              </w:rPr>
              <w:t>39</w:t>
            </w:r>
          </w:p>
        </w:tc>
        <w:tc>
          <w:tcPr>
            <w:tcW w:w="1173" w:type="dxa"/>
            <w:tcBorders>
              <w:top w:val="nil"/>
              <w:left w:val="nil"/>
              <w:bottom w:val="single" w:sz="4" w:space="0" w:color="auto"/>
              <w:right w:val="single" w:sz="4" w:space="0" w:color="auto"/>
            </w:tcBorders>
            <w:shd w:val="clear" w:color="auto" w:fill="auto"/>
            <w:noWrap/>
            <w:vAlign w:val="bottom"/>
          </w:tcPr>
          <w:p w:rsidR="00A75A8D" w:rsidRDefault="008A6A5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97,9</w:t>
            </w:r>
          </w:p>
        </w:tc>
        <w:tc>
          <w:tcPr>
            <w:tcW w:w="1358" w:type="dxa"/>
            <w:vMerge/>
            <w:tcBorders>
              <w:top w:val="nil"/>
              <w:left w:val="single" w:sz="4" w:space="0" w:color="auto"/>
              <w:bottom w:val="single" w:sz="4" w:space="0" w:color="auto"/>
              <w:right w:val="single" w:sz="4" w:space="0" w:color="auto"/>
            </w:tcBorders>
            <w:vAlign w:val="center"/>
          </w:tcPr>
          <w:p w:rsidR="00A75A8D" w:rsidRDefault="00A75A8D">
            <w:pPr>
              <w:spacing w:after="0" w:line="240" w:lineRule="auto"/>
              <w:rPr>
                <w:rFonts w:ascii="Times New Roman" w:eastAsia="Times New Roman" w:hAnsi="Times New Roman" w:cs="Times New Roman"/>
                <w:color w:val="000000"/>
                <w:sz w:val="24"/>
                <w:szCs w:val="24"/>
                <w:lang w:eastAsia="ru-RU"/>
              </w:rPr>
            </w:pPr>
          </w:p>
        </w:tc>
      </w:tr>
    </w:tbl>
    <w:p w:rsidR="00A75A8D" w:rsidRDefault="00A75A8D">
      <w:pPr>
        <w:pStyle w:val="af3"/>
        <w:rPr>
          <w:lang w:eastAsia="ru-RU"/>
        </w:rPr>
      </w:pPr>
    </w:p>
    <w:p w:rsidR="00A75A8D" w:rsidRDefault="008A6A51">
      <w:pPr>
        <w:pStyle w:val="af3"/>
        <w:rPr>
          <w:lang w:eastAsia="ru-RU"/>
        </w:rPr>
      </w:pPr>
      <w:r>
        <w:rPr>
          <w:lang w:eastAsia="ru-RU"/>
        </w:rPr>
        <w:t xml:space="preserve">Как видно из таблицы 13, </w:t>
      </w:r>
      <w:r>
        <w:rPr>
          <w:color w:val="000000" w:themeColor="text1"/>
          <w:lang w:eastAsia="ru-RU"/>
        </w:rPr>
        <w:t xml:space="preserve">локализация легочных узлов </w:t>
      </w:r>
      <w:r>
        <w:rPr>
          <w:lang w:eastAsia="ru-RU"/>
        </w:rPr>
        <w:t xml:space="preserve">на низкодозно-томографических изображениях в верхней доле правого легкого примерно одинаково часто встречалась как при раке </w:t>
      </w:r>
      <w:r>
        <w:rPr>
          <w:lang w:eastAsia="ru-RU"/>
        </w:rPr>
        <w:t>легкого 30,4% (24/79), так и при доброкачественных легочных узлах 28,6% (99/346). Наименьшее количество узлов выявлено в средней доле правого легкого, как при раке, так при доброкачественных изменениях, что составило 5,1% и 1,5% соответственно.</w:t>
      </w:r>
    </w:p>
    <w:p w:rsidR="00A75A8D" w:rsidRDefault="008A6A51">
      <w:pPr>
        <w:pStyle w:val="af3"/>
        <w:rPr>
          <w:lang w:eastAsia="ru-RU"/>
        </w:rPr>
      </w:pPr>
      <w:r>
        <w:rPr>
          <w:lang w:eastAsia="ru-RU"/>
        </w:rPr>
        <w:t>Таким образ</w:t>
      </w:r>
      <w:r>
        <w:rPr>
          <w:lang w:eastAsia="ru-RU"/>
        </w:rPr>
        <w:t>ом, локализация узлов при злокачественных и доброкачественных процессах в легких не имеет статистически достоверной разницы (</w:t>
      </w:r>
      <w:r>
        <w:rPr>
          <w:rFonts w:eastAsia="Times New Roman"/>
          <w:bCs/>
          <w:color w:val="000000"/>
          <w:lang w:eastAsia="ru-RU"/>
        </w:rPr>
        <w:t>p=0,083</w:t>
      </w:r>
      <w:r>
        <w:rPr>
          <w:lang w:eastAsia="ru-RU"/>
        </w:rPr>
        <w:t xml:space="preserve">). </w:t>
      </w:r>
    </w:p>
    <w:p w:rsidR="00A75A8D" w:rsidRDefault="008A6A51">
      <w:pPr>
        <w:pStyle w:val="af3"/>
        <w:rPr>
          <w:lang w:eastAsia="ru-RU"/>
        </w:rPr>
      </w:pPr>
      <w:r>
        <w:rPr>
          <w:lang w:eastAsia="ru-RU"/>
        </w:rPr>
        <w:t>Важным признаком при изучении узлов в легких на низкодозно-томографических изображениях является его структурный тип. Та</w:t>
      </w:r>
      <w:r>
        <w:rPr>
          <w:lang w:eastAsia="ru-RU"/>
        </w:rPr>
        <w:t xml:space="preserve">к, по результатам нашего исследования рак легкого наиболее часто представлял </w:t>
      </w:r>
      <w:r>
        <w:rPr>
          <w:lang w:eastAsia="ru-RU"/>
        </w:rPr>
        <w:lastRenderedPageBreak/>
        <w:t>солидный тип, что составило 84,8% (67/79), в то время как субсолидный тип встречался в 20,3% случаев (12/79). Доброкачественные узлы также в своем большинстве представляли солидны</w:t>
      </w:r>
      <w:r>
        <w:rPr>
          <w:lang w:eastAsia="ru-RU"/>
        </w:rPr>
        <w:t xml:space="preserve">й тип 98,8% (342/346), в то время как субсолидные узелки были выявлены в 1,2% случаев (4/346). Однако, субсолидный тип узлов при раке легкого встречался в 3 раза чаще, чем при доброкачественных узлах, что было статистически достоверно, </w:t>
      </w:r>
      <w:r>
        <w:rPr>
          <w:rFonts w:eastAsia="Times New Roman"/>
          <w:bCs/>
          <w:color w:val="000000"/>
          <w:lang w:eastAsia="ru-RU"/>
        </w:rPr>
        <w:t>p&lt;0,001.</w:t>
      </w:r>
      <w:r>
        <w:rPr>
          <w:lang w:eastAsia="ru-RU"/>
        </w:rPr>
        <w:t xml:space="preserve">  </w:t>
      </w:r>
    </w:p>
    <w:p w:rsidR="00A75A8D" w:rsidRDefault="008A6A51">
      <w:pPr>
        <w:pStyle w:val="af3"/>
        <w:rPr>
          <w:lang w:eastAsia="ru-RU"/>
        </w:rPr>
      </w:pPr>
      <w:r>
        <w:rPr>
          <w:lang w:eastAsia="ru-RU"/>
        </w:rPr>
        <w:t xml:space="preserve">В нашем </w:t>
      </w:r>
      <w:r>
        <w:rPr>
          <w:lang w:eastAsia="ru-RU"/>
        </w:rPr>
        <w:t xml:space="preserve">исследовании злокачественные легочные узлы наиболее часто характеризовались неправильной формой - 72,2% (57/79) случаев, и в 27,8% (22/79) случаев имели овальную или округлую форму, тогда как доброкачественные легочные узлы наиболее часто имели овальную и </w:t>
      </w:r>
      <w:r>
        <w:rPr>
          <w:lang w:eastAsia="ru-RU"/>
        </w:rPr>
        <w:t>округлую форму – 94,2% (326/346) случаев. При оценке формы, статистически достоверным признаком рака легкого была неправильная форма узлов, р&lt;0,001.</w:t>
      </w:r>
    </w:p>
    <w:p w:rsidR="00A75A8D" w:rsidRDefault="008A6A51">
      <w:pPr>
        <w:pStyle w:val="af3"/>
        <w:rPr>
          <w:lang w:eastAsia="ru-RU"/>
        </w:rPr>
      </w:pPr>
      <w:r>
        <w:rPr>
          <w:lang w:eastAsia="ru-RU"/>
        </w:rPr>
        <w:t>При проведении низкодозной компьютерной томографии легких нечеткие, неровные контуры в 7 раз чаще визуализи</w:t>
      </w:r>
      <w:r>
        <w:rPr>
          <w:lang w:eastAsia="ru-RU"/>
        </w:rPr>
        <w:t>ровались при раке легкого – 39,2% (31/79) по сравнению с доброкачественными узлами – 5,2% (18/346). Спикулообразные контуры также характерны для рака легкого, что встречалось в 38,0% (30/79) случаев, в то время как при доброкачественных узлах данный призна</w:t>
      </w:r>
      <w:r>
        <w:rPr>
          <w:lang w:eastAsia="ru-RU"/>
        </w:rPr>
        <w:t>к выявлен только в 1,4% случаев (5/346). Четкие, ровные контуры чаще визуализировались в контрольной группе – 90,2% (312/346), чем в основной – 3,8% (3/79). Контуры легочных узлов являются статистически значимым признаком: нечеткие, неровные и спикулообраз</w:t>
      </w:r>
      <w:r>
        <w:rPr>
          <w:lang w:eastAsia="ru-RU"/>
        </w:rPr>
        <w:t>ные контуры патогномоничны для рака легкого (p&lt;0,001).</w:t>
      </w:r>
    </w:p>
    <w:p w:rsidR="00A75A8D" w:rsidRDefault="008A6A51">
      <w:pPr>
        <w:pStyle w:val="af3"/>
        <w:rPr>
          <w:lang w:eastAsia="ru-RU"/>
        </w:rPr>
      </w:pPr>
      <w:r>
        <w:rPr>
          <w:lang w:eastAsia="ru-RU"/>
        </w:rPr>
        <w:t>При изучении размеров узлов в легких выявлены статистически значимые различия между значениями частоты встречаемости данного признака в основной и контрольной группах. Размеры узлов в легких были разде</w:t>
      </w:r>
      <w:r>
        <w:rPr>
          <w:lang w:eastAsia="ru-RU"/>
        </w:rPr>
        <w:t xml:space="preserve">лены на группы: 6-8 мм, 9-15 мм, 16-30 мм и более 31 мм (что сопоставимо с классификацией </w:t>
      </w:r>
      <w:r>
        <w:rPr>
          <w:lang w:val="en-US" w:eastAsia="ru-RU"/>
        </w:rPr>
        <w:t>Lung</w:t>
      </w:r>
      <w:r>
        <w:rPr>
          <w:lang w:eastAsia="ru-RU"/>
        </w:rPr>
        <w:t>-</w:t>
      </w:r>
      <w:r>
        <w:rPr>
          <w:lang w:val="en-US" w:eastAsia="ru-RU"/>
        </w:rPr>
        <w:t>RADS</w:t>
      </w:r>
      <w:r>
        <w:rPr>
          <w:lang w:eastAsia="ru-RU"/>
        </w:rPr>
        <w:t>). При анализе данного признака, установлено, что размеры 31 мм и больше в 77,2% (61/79) случаев встречались при раке легкого, в то время как при доброкачест</w:t>
      </w:r>
      <w:r>
        <w:rPr>
          <w:lang w:eastAsia="ru-RU"/>
        </w:rPr>
        <w:t>венных узлах этот признак встречался в 1,2% (4/346) случаев. В контрольной группе превалировали размеры легочных узлов 6-8 мм, что составило 86,7% (300/346) случаев, в то время как в основной группе узлы данных размеров встречались в 3,8% (3/79) случаев. Т</w:t>
      </w:r>
      <w:r>
        <w:rPr>
          <w:lang w:eastAsia="ru-RU"/>
        </w:rPr>
        <w:t>аким образом, размеры легочных узлов при злокачественных и доброкачественных процессах в легких имеют статистически достоверную разницу (</w:t>
      </w:r>
      <w:r>
        <w:rPr>
          <w:rFonts w:eastAsia="Times New Roman"/>
          <w:bCs/>
          <w:color w:val="000000"/>
          <w:lang w:eastAsia="ru-RU"/>
        </w:rPr>
        <w:t>p&lt;0,001).</w:t>
      </w:r>
    </w:p>
    <w:p w:rsidR="00A75A8D" w:rsidRDefault="008A6A51">
      <w:pPr>
        <w:pStyle w:val="af3"/>
        <w:rPr>
          <w:rFonts w:eastAsia="Times New Roman"/>
          <w:bCs/>
          <w:color w:val="000000"/>
          <w:lang w:eastAsia="ru-RU"/>
        </w:rPr>
      </w:pPr>
      <w:r>
        <w:rPr>
          <w:lang w:eastAsia="ru-RU"/>
        </w:rPr>
        <w:t xml:space="preserve">Среди радиологических признаков также изучена плотность узлов в легких на низкодозно-томографических изображениях. Для этого легочные узлы были разделены на 2 группы в зависимости от средних показателей плотности в узлах: 10-35 </w:t>
      </w:r>
      <w:r>
        <w:rPr>
          <w:lang w:val="en-US" w:eastAsia="ru-RU"/>
        </w:rPr>
        <w:t>HU</w:t>
      </w:r>
      <w:r>
        <w:rPr>
          <w:lang w:eastAsia="ru-RU"/>
        </w:rPr>
        <w:t xml:space="preserve"> и 36-73 </w:t>
      </w:r>
      <w:r>
        <w:rPr>
          <w:lang w:val="en-US" w:eastAsia="ru-RU"/>
        </w:rPr>
        <w:t>HU</w:t>
      </w:r>
      <w:r>
        <w:rPr>
          <w:lang w:eastAsia="ru-RU"/>
        </w:rPr>
        <w:t>. По результата</w:t>
      </w:r>
      <w:r>
        <w:rPr>
          <w:lang w:eastAsia="ru-RU"/>
        </w:rPr>
        <w:t xml:space="preserve">м нашего исследования рак легкого в 2,5 раза чаще имел плотность 10-35 </w:t>
      </w:r>
      <w:r>
        <w:rPr>
          <w:lang w:val="en-US" w:eastAsia="ru-RU"/>
        </w:rPr>
        <w:t>HU</w:t>
      </w:r>
      <w:r>
        <w:rPr>
          <w:lang w:eastAsia="ru-RU"/>
        </w:rPr>
        <w:t xml:space="preserve"> (63,2% (50/79)), в сравнении с доброкачественными узлами (25,4% (88/346)). Доброкачественные узлы в 2 раза чаще демонстрировали плотность 36-73 </w:t>
      </w:r>
      <w:r>
        <w:rPr>
          <w:lang w:val="en-US" w:eastAsia="ru-RU"/>
        </w:rPr>
        <w:t>HU</w:t>
      </w:r>
      <w:r>
        <w:rPr>
          <w:lang w:eastAsia="ru-RU"/>
        </w:rPr>
        <w:t xml:space="preserve"> (74,6% (258/346)), в сравнении со з</w:t>
      </w:r>
      <w:r>
        <w:rPr>
          <w:lang w:eastAsia="ru-RU"/>
        </w:rPr>
        <w:t xml:space="preserve">локачественными узлами (36,7% (29/79)). Показатели плотности легочных узлов 10-35 </w:t>
      </w:r>
      <w:r>
        <w:rPr>
          <w:lang w:val="en-US" w:eastAsia="ru-RU"/>
        </w:rPr>
        <w:t>HU</w:t>
      </w:r>
      <w:r>
        <w:rPr>
          <w:lang w:eastAsia="ru-RU"/>
        </w:rPr>
        <w:t xml:space="preserve"> являлись статистически значимым признаком рака легкого (</w:t>
      </w:r>
      <w:r>
        <w:rPr>
          <w:rFonts w:eastAsia="Times New Roman"/>
          <w:bCs/>
          <w:color w:val="000000"/>
          <w:lang w:eastAsia="ru-RU"/>
        </w:rPr>
        <w:t>p=0,008).</w:t>
      </w:r>
    </w:p>
    <w:p w:rsidR="00A75A8D" w:rsidRDefault="008A6A51">
      <w:pPr>
        <w:pStyle w:val="af3"/>
        <w:rPr>
          <w:lang w:eastAsia="ru-RU"/>
        </w:rPr>
      </w:pPr>
      <w:r>
        <w:rPr>
          <w:lang w:eastAsia="ru-RU"/>
        </w:rPr>
        <w:lastRenderedPageBreak/>
        <w:t xml:space="preserve">Реакция прилежащей плевры в нашем исследовании встречалась в 76/425 случаях, что составило 17,9%. Из них </w:t>
      </w:r>
      <w:r>
        <w:rPr>
          <w:lang w:eastAsia="ru-RU"/>
        </w:rPr>
        <w:t>58,2% (46/79) случаев выявлено в основной группе и 8,7% (30/346) случаев в контрольной группе. Наличие реакции прилежащей плевры в 6,6 раза чаще встречалось при раке легкого, чем при доброкачественных изменениях, что имело статистически достоверную значимо</w:t>
      </w:r>
      <w:r>
        <w:rPr>
          <w:lang w:eastAsia="ru-RU"/>
        </w:rPr>
        <w:t xml:space="preserve">сть (p&lt;0,001).   </w:t>
      </w:r>
    </w:p>
    <w:p w:rsidR="00A75A8D" w:rsidRDefault="008A6A51">
      <w:pPr>
        <w:pStyle w:val="af3"/>
        <w:rPr>
          <w:lang w:eastAsia="ru-RU"/>
        </w:rPr>
      </w:pPr>
      <w:r>
        <w:rPr>
          <w:lang w:eastAsia="ru-RU"/>
        </w:rPr>
        <w:t>Перифокальная инфильтрация обнаружена в 25 из 425 случаев, что составило 5,9%. При раке легкого перифокальная инфильтрация наблюдалась в 10 раз чаще, чем при доброкачественных узлах. Наличие перифокальной инфильтрации является патогномони</w:t>
      </w:r>
      <w:r>
        <w:rPr>
          <w:lang w:eastAsia="ru-RU"/>
        </w:rPr>
        <w:t xml:space="preserve">чным признаком рака легкого, p&lt;0,001. </w:t>
      </w:r>
    </w:p>
    <w:p w:rsidR="00A75A8D" w:rsidRDefault="008A6A51">
      <w:pPr>
        <w:pStyle w:val="af3"/>
        <w:rPr>
          <w:rFonts w:eastAsia="Times New Roman"/>
          <w:bCs/>
          <w:color w:val="000000"/>
          <w:lang w:eastAsia="ru-RU"/>
        </w:rPr>
      </w:pPr>
      <w:r>
        <w:rPr>
          <w:rFonts w:eastAsia="Times New Roman"/>
          <w:bCs/>
          <w:color w:val="000000"/>
          <w:lang w:eastAsia="ru-RU"/>
        </w:rPr>
        <w:t>Таким образом, рак легкого характеризуется патогномоничными НДКТ признаками</w:t>
      </w:r>
      <w:r>
        <w:rPr>
          <w:lang w:eastAsia="ru-RU"/>
        </w:rPr>
        <w:t>: субсолидный тип структуры, неправильная форма, нечеткие, неровные и спикулообразные контуры, размеры более 31 мм, показатели плотности 10-35</w:t>
      </w:r>
      <w:r>
        <w:rPr>
          <w:lang w:eastAsia="ru-RU"/>
        </w:rPr>
        <w:t xml:space="preserve"> </w:t>
      </w:r>
      <w:r>
        <w:rPr>
          <w:lang w:val="en-US" w:eastAsia="ru-RU"/>
        </w:rPr>
        <w:t>HU</w:t>
      </w:r>
      <w:r>
        <w:rPr>
          <w:lang w:eastAsia="ru-RU"/>
        </w:rPr>
        <w:t>, наличие реакции прилежащей плевры и перифокальной инфильтрации</w:t>
      </w:r>
      <w:r>
        <w:rPr>
          <w:rFonts w:eastAsia="Times New Roman"/>
          <w:bCs/>
          <w:color w:val="000000"/>
          <w:lang w:eastAsia="ru-RU"/>
        </w:rPr>
        <w:t>.</w:t>
      </w:r>
    </w:p>
    <w:p w:rsidR="00A75A8D" w:rsidRDefault="008A6A51">
      <w:pPr>
        <w:pStyle w:val="af3"/>
      </w:pPr>
      <w:r>
        <w:t>Нами изучен показатель частоты выявления рака легкого в зависимости от медико-демографических факторов (пол, возраст, статус курения, семейный анамнез по РЛ) (таблица 14).</w:t>
      </w:r>
    </w:p>
    <w:p w:rsidR="00A75A8D" w:rsidRDefault="00A75A8D">
      <w:pPr>
        <w:pStyle w:val="af3"/>
      </w:pPr>
    </w:p>
    <w:p w:rsidR="00A75A8D" w:rsidRDefault="008A6A51">
      <w:pPr>
        <w:pStyle w:val="af3"/>
        <w:ind w:hanging="34"/>
      </w:pPr>
      <w:r>
        <w:t>Таблица 14 - О</w:t>
      </w:r>
      <w:r>
        <w:t>тношение шансов в зависимости от медико-демографических факторов и радиологических признаков</w:t>
      </w:r>
    </w:p>
    <w:p w:rsidR="00A75A8D" w:rsidRDefault="00A75A8D">
      <w:pPr>
        <w:pStyle w:val="af3"/>
      </w:pPr>
    </w:p>
    <w:tbl>
      <w:tblPr>
        <w:tblW w:w="9625" w:type="dxa"/>
        <w:tblInd w:w="93" w:type="dxa"/>
        <w:tblLayout w:type="fixed"/>
        <w:tblLook w:val="04A0" w:firstRow="1" w:lastRow="0" w:firstColumn="1" w:lastColumn="0" w:noHBand="0" w:noVBand="1"/>
      </w:tblPr>
      <w:tblGrid>
        <w:gridCol w:w="5564"/>
        <w:gridCol w:w="2378"/>
        <w:gridCol w:w="1683"/>
      </w:tblGrid>
      <w:tr w:rsidR="00A75A8D">
        <w:trPr>
          <w:trHeight w:val="491"/>
        </w:trPr>
        <w:tc>
          <w:tcPr>
            <w:tcW w:w="5564" w:type="dxa"/>
            <w:vMerge w:val="restart"/>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8A6A51">
            <w:pPr>
              <w:spacing w:after="0" w:line="240" w:lineRule="auto"/>
              <w:jc w:val="center"/>
              <w:textAlignment w:val="bottom"/>
              <w:rPr>
                <w:rFonts w:ascii="Times New Roman" w:eastAsia="SimSun" w:hAnsi="Times New Roman" w:cs="Times New Roman"/>
                <w:color w:val="000000"/>
                <w:sz w:val="24"/>
                <w:szCs w:val="24"/>
                <w:lang w:val="en-US" w:eastAsia="zh-CN" w:bidi="ar"/>
              </w:rPr>
            </w:pPr>
            <w:r>
              <w:rPr>
                <w:rFonts w:ascii="Times New Roman" w:eastAsia="SimSun" w:hAnsi="Times New Roman" w:cs="Times New Roman"/>
                <w:color w:val="000000"/>
                <w:sz w:val="24"/>
                <w:szCs w:val="24"/>
                <w:lang w:val="en-US" w:eastAsia="zh-CN" w:bidi="ar"/>
              </w:rPr>
              <w:t>Факторы</w:t>
            </w:r>
          </w:p>
          <w:p w:rsidR="00A75A8D" w:rsidRDefault="00A75A8D">
            <w:pPr>
              <w:spacing w:after="0" w:line="240" w:lineRule="auto"/>
              <w:jc w:val="center"/>
              <w:textAlignment w:val="bottom"/>
              <w:rPr>
                <w:rFonts w:ascii="Times New Roman" w:hAnsi="Times New Roman" w:cs="Times New Roman"/>
                <w:color w:val="000000"/>
              </w:rPr>
            </w:pPr>
          </w:p>
        </w:tc>
        <w:tc>
          <w:tcPr>
            <w:tcW w:w="2378" w:type="dxa"/>
            <w:vMerge w:val="restart"/>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8A6A51">
            <w:pPr>
              <w:spacing w:after="0" w:line="240" w:lineRule="auto"/>
              <w:jc w:val="center"/>
              <w:textAlignment w:val="bottom"/>
              <w:rPr>
                <w:rFonts w:ascii="Times New Roman" w:eastAsia="SimSun" w:hAnsi="Times New Roman" w:cs="Times New Roman"/>
                <w:color w:val="000000"/>
                <w:sz w:val="24"/>
                <w:szCs w:val="24"/>
                <w:lang w:val="en-US" w:eastAsia="zh-CN" w:bidi="ar"/>
              </w:rPr>
            </w:pPr>
            <w:r>
              <w:rPr>
                <w:rFonts w:ascii="Times New Roman" w:eastAsia="SimSun" w:hAnsi="Times New Roman" w:cs="Times New Roman"/>
                <w:color w:val="000000"/>
                <w:sz w:val="24"/>
                <w:szCs w:val="24"/>
                <w:lang w:val="en-US" w:eastAsia="zh-CN" w:bidi="ar"/>
              </w:rPr>
              <w:t>Отношение шансов (95% ДИ)</w:t>
            </w:r>
          </w:p>
          <w:p w:rsidR="00A75A8D" w:rsidRDefault="00A75A8D">
            <w:pPr>
              <w:spacing w:after="0" w:line="240" w:lineRule="auto"/>
              <w:jc w:val="center"/>
              <w:textAlignment w:val="bottom"/>
              <w:rPr>
                <w:rFonts w:ascii="Times New Roman" w:hAnsi="Times New Roman" w:cs="Times New Roman"/>
                <w:color w:val="000000"/>
              </w:rPr>
            </w:pPr>
          </w:p>
        </w:tc>
        <w:tc>
          <w:tcPr>
            <w:tcW w:w="1683" w:type="dxa"/>
            <w:vMerge w:val="restart"/>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8A6A51">
            <w:pPr>
              <w:spacing w:after="0" w:line="240" w:lineRule="auto"/>
              <w:jc w:val="center"/>
              <w:textAlignment w:val="bottom"/>
              <w:rPr>
                <w:rFonts w:ascii="Times New Roman" w:eastAsia="SimSun" w:hAnsi="Times New Roman" w:cs="Times New Roman"/>
                <w:color w:val="000000"/>
                <w:sz w:val="24"/>
                <w:szCs w:val="24"/>
                <w:lang w:val="en-US" w:eastAsia="zh-CN" w:bidi="ar"/>
              </w:rPr>
            </w:pPr>
            <w:r>
              <w:rPr>
                <w:rFonts w:ascii="Times New Roman" w:eastAsia="SimSun" w:hAnsi="Times New Roman" w:cs="Times New Roman"/>
                <w:color w:val="000000"/>
                <w:sz w:val="24"/>
                <w:szCs w:val="24"/>
                <w:lang w:val="en-US" w:eastAsia="zh-CN" w:bidi="ar"/>
              </w:rPr>
              <w:t>P value</w:t>
            </w:r>
          </w:p>
          <w:p w:rsidR="00A75A8D" w:rsidRDefault="00A75A8D">
            <w:pPr>
              <w:spacing w:after="0" w:line="240" w:lineRule="auto"/>
              <w:jc w:val="center"/>
              <w:textAlignment w:val="bottom"/>
              <w:rPr>
                <w:rFonts w:ascii="Times New Roman" w:hAnsi="Times New Roman" w:cs="Times New Roman"/>
                <w:color w:val="000000"/>
              </w:rPr>
            </w:pPr>
          </w:p>
        </w:tc>
      </w:tr>
      <w:tr w:rsidR="00A75A8D">
        <w:trPr>
          <w:trHeight w:val="517"/>
        </w:trPr>
        <w:tc>
          <w:tcPr>
            <w:tcW w:w="5564" w:type="dxa"/>
            <w:vMerge/>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A75A8D">
            <w:pPr>
              <w:rPr>
                <w:rFonts w:ascii="Times New Roman" w:hAnsi="Times New Roman" w:cs="Times New Roman"/>
                <w:color w:val="000000"/>
                <w:sz w:val="24"/>
                <w:szCs w:val="24"/>
              </w:rPr>
            </w:pPr>
          </w:p>
        </w:tc>
        <w:tc>
          <w:tcPr>
            <w:tcW w:w="2378" w:type="dxa"/>
            <w:vMerge/>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A75A8D">
            <w:pPr>
              <w:jc w:val="center"/>
              <w:rPr>
                <w:rFonts w:ascii="Times New Roman" w:hAnsi="Times New Roman" w:cs="Times New Roman"/>
                <w:color w:val="000000"/>
                <w:sz w:val="24"/>
                <w:szCs w:val="24"/>
              </w:rPr>
            </w:pPr>
          </w:p>
        </w:tc>
        <w:tc>
          <w:tcPr>
            <w:tcW w:w="1683" w:type="dxa"/>
            <w:vMerge/>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A75A8D">
            <w:pPr>
              <w:jc w:val="center"/>
              <w:rPr>
                <w:rFonts w:ascii="Times New Roman" w:hAnsi="Times New Roman" w:cs="Times New Roman"/>
                <w:color w:val="000000"/>
                <w:sz w:val="24"/>
                <w:szCs w:val="24"/>
              </w:rPr>
            </w:pPr>
          </w:p>
        </w:tc>
      </w:tr>
      <w:tr w:rsidR="00A75A8D">
        <w:trPr>
          <w:trHeight w:val="192"/>
        </w:trPr>
        <w:tc>
          <w:tcPr>
            <w:tcW w:w="9625" w:type="dxa"/>
            <w:gridSpan w:val="3"/>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8A6A51">
            <w:pPr>
              <w:spacing w:after="0" w:line="240" w:lineRule="auto"/>
              <w:textAlignment w:val="bottom"/>
              <w:rPr>
                <w:rFonts w:ascii="Times New Roman" w:hAnsi="Times New Roman" w:cs="Times New Roman"/>
                <w:i/>
                <w:iCs/>
                <w:color w:val="000000"/>
              </w:rPr>
            </w:pPr>
            <w:r>
              <w:rPr>
                <w:rFonts w:ascii="Times New Roman" w:eastAsia="SimSun" w:hAnsi="Times New Roman" w:cs="Times New Roman"/>
                <w:i/>
                <w:iCs/>
                <w:color w:val="000000"/>
                <w:sz w:val="24"/>
                <w:szCs w:val="24"/>
                <w:lang w:val="en-US" w:eastAsia="zh-CN" w:bidi="ar"/>
              </w:rPr>
              <w:t>Общие:</w:t>
            </w:r>
          </w:p>
        </w:tc>
      </w:tr>
      <w:tr w:rsidR="00A75A8D">
        <w:trPr>
          <w:trHeight w:val="320"/>
        </w:trPr>
        <w:tc>
          <w:tcPr>
            <w:tcW w:w="5564" w:type="dxa"/>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8A6A51">
            <w:pPr>
              <w:spacing w:after="0" w:line="240" w:lineRule="auto"/>
              <w:textAlignment w:val="bottom"/>
              <w:rPr>
                <w:rFonts w:ascii="Times New Roman" w:hAnsi="Times New Roman" w:cs="Times New Roman"/>
                <w:color w:val="000000"/>
              </w:rPr>
            </w:pPr>
            <w:r>
              <w:rPr>
                <w:rFonts w:ascii="Times New Roman" w:eastAsia="SimSun" w:hAnsi="Times New Roman" w:cs="Times New Roman"/>
                <w:color w:val="000000"/>
                <w:sz w:val="24"/>
                <w:szCs w:val="24"/>
                <w:lang w:val="en-US" w:eastAsia="zh-CN" w:bidi="ar"/>
              </w:rPr>
              <w:t>Пол: мужчины vs женщины</w:t>
            </w:r>
          </w:p>
        </w:tc>
        <w:tc>
          <w:tcPr>
            <w:tcW w:w="2378" w:type="dxa"/>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8A6A51">
            <w:pPr>
              <w:spacing w:after="0" w:line="240" w:lineRule="auto"/>
              <w:jc w:val="center"/>
              <w:textAlignment w:val="bottom"/>
              <w:rPr>
                <w:rFonts w:ascii="Times New Roman" w:hAnsi="Times New Roman" w:cs="Times New Roman"/>
                <w:color w:val="000000"/>
              </w:rPr>
            </w:pPr>
            <w:r>
              <w:rPr>
                <w:rFonts w:ascii="Times New Roman" w:eastAsia="SimSun" w:hAnsi="Times New Roman" w:cs="Times New Roman"/>
                <w:color w:val="000000"/>
                <w:sz w:val="24"/>
                <w:szCs w:val="24"/>
                <w:lang w:val="en-US" w:eastAsia="zh-CN" w:bidi="ar"/>
              </w:rPr>
              <w:t>2.808 (1,718-4,589)</w:t>
            </w:r>
          </w:p>
        </w:tc>
        <w:tc>
          <w:tcPr>
            <w:tcW w:w="1683" w:type="dxa"/>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8A6A51">
            <w:pPr>
              <w:spacing w:after="0" w:line="240" w:lineRule="auto"/>
              <w:jc w:val="center"/>
              <w:textAlignment w:val="bottom"/>
              <w:rPr>
                <w:rFonts w:ascii="Times New Roman" w:hAnsi="Times New Roman" w:cs="Times New Roman"/>
                <w:color w:val="000000"/>
              </w:rPr>
            </w:pPr>
            <w:r>
              <w:rPr>
                <w:rFonts w:ascii="Times New Roman" w:eastAsia="SimSun" w:hAnsi="Times New Roman" w:cs="Times New Roman"/>
                <w:color w:val="000000"/>
                <w:sz w:val="24"/>
                <w:szCs w:val="24"/>
                <w:lang w:val="en-US" w:eastAsia="zh-CN" w:bidi="ar"/>
              </w:rPr>
              <w:t>р&lt;0,05</w:t>
            </w:r>
          </w:p>
        </w:tc>
      </w:tr>
      <w:tr w:rsidR="00A75A8D">
        <w:trPr>
          <w:trHeight w:val="300"/>
        </w:trPr>
        <w:tc>
          <w:tcPr>
            <w:tcW w:w="5564" w:type="dxa"/>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8A6A51">
            <w:pPr>
              <w:spacing w:after="0" w:line="240" w:lineRule="auto"/>
              <w:textAlignment w:val="bottom"/>
              <w:rPr>
                <w:rFonts w:ascii="Times New Roman" w:hAnsi="Times New Roman" w:cs="Times New Roman"/>
                <w:color w:val="000000"/>
              </w:rPr>
            </w:pPr>
            <w:r>
              <w:rPr>
                <w:rFonts w:ascii="Times New Roman" w:eastAsia="SimSun" w:hAnsi="Times New Roman" w:cs="Times New Roman"/>
                <w:color w:val="000000"/>
                <w:sz w:val="24"/>
                <w:szCs w:val="24"/>
                <w:lang w:val="en-US" w:eastAsia="zh-CN" w:bidi="ar"/>
              </w:rPr>
              <w:t>Возраст: 50-59 vs 60-69</w:t>
            </w:r>
          </w:p>
        </w:tc>
        <w:tc>
          <w:tcPr>
            <w:tcW w:w="2378" w:type="dxa"/>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8A6A51">
            <w:pPr>
              <w:spacing w:after="0" w:line="240" w:lineRule="auto"/>
              <w:jc w:val="center"/>
              <w:textAlignment w:val="bottom"/>
              <w:rPr>
                <w:rFonts w:ascii="Times New Roman" w:hAnsi="Times New Roman" w:cs="Times New Roman"/>
                <w:color w:val="000000"/>
              </w:rPr>
            </w:pPr>
            <w:r>
              <w:rPr>
                <w:rFonts w:ascii="Times New Roman" w:eastAsia="SimSun" w:hAnsi="Times New Roman" w:cs="Times New Roman"/>
                <w:color w:val="000000"/>
                <w:sz w:val="24"/>
                <w:szCs w:val="24"/>
                <w:lang w:val="en-US" w:eastAsia="zh-CN" w:bidi="ar"/>
              </w:rPr>
              <w:t>1,382 (0,755-2,528)</w:t>
            </w:r>
          </w:p>
        </w:tc>
        <w:tc>
          <w:tcPr>
            <w:tcW w:w="1683" w:type="dxa"/>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8A6A51">
            <w:pPr>
              <w:spacing w:after="0" w:line="240" w:lineRule="auto"/>
              <w:jc w:val="center"/>
              <w:textAlignment w:val="bottom"/>
              <w:rPr>
                <w:rFonts w:ascii="Times New Roman" w:hAnsi="Times New Roman" w:cs="Times New Roman"/>
                <w:color w:val="000000"/>
              </w:rPr>
            </w:pPr>
            <w:r>
              <w:rPr>
                <w:rFonts w:ascii="Times New Roman" w:eastAsia="SimSun" w:hAnsi="Times New Roman" w:cs="Times New Roman"/>
                <w:color w:val="000000"/>
                <w:sz w:val="24"/>
                <w:szCs w:val="24"/>
                <w:lang w:val="en-US" w:eastAsia="zh-CN" w:bidi="ar"/>
              </w:rPr>
              <w:t>р&gt;0,05</w:t>
            </w:r>
          </w:p>
        </w:tc>
      </w:tr>
      <w:tr w:rsidR="00A75A8D">
        <w:trPr>
          <w:trHeight w:val="300"/>
        </w:trPr>
        <w:tc>
          <w:tcPr>
            <w:tcW w:w="5564" w:type="dxa"/>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8A6A51">
            <w:pPr>
              <w:spacing w:after="0" w:line="240" w:lineRule="auto"/>
              <w:textAlignment w:val="bottom"/>
              <w:rPr>
                <w:rFonts w:ascii="Times New Roman" w:hAnsi="Times New Roman" w:cs="Times New Roman"/>
                <w:color w:val="000000"/>
              </w:rPr>
            </w:pPr>
            <w:r>
              <w:rPr>
                <w:rFonts w:ascii="Times New Roman" w:eastAsia="SimSun" w:hAnsi="Times New Roman" w:cs="Times New Roman"/>
                <w:color w:val="000000"/>
                <w:sz w:val="24"/>
                <w:szCs w:val="24"/>
                <w:lang w:val="en-US" w:eastAsia="zh-CN" w:bidi="ar"/>
              </w:rPr>
              <w:t xml:space="preserve">                60-69 vs 70-75</w:t>
            </w:r>
          </w:p>
        </w:tc>
        <w:tc>
          <w:tcPr>
            <w:tcW w:w="2378" w:type="dxa"/>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8A6A51">
            <w:pPr>
              <w:spacing w:after="0" w:line="240" w:lineRule="auto"/>
              <w:jc w:val="center"/>
              <w:textAlignment w:val="bottom"/>
              <w:rPr>
                <w:rFonts w:ascii="Times New Roman" w:hAnsi="Times New Roman" w:cs="Times New Roman"/>
                <w:color w:val="000000"/>
              </w:rPr>
            </w:pPr>
            <w:r>
              <w:rPr>
                <w:rFonts w:ascii="Times New Roman" w:eastAsia="SimSun" w:hAnsi="Times New Roman" w:cs="Times New Roman"/>
                <w:color w:val="000000"/>
                <w:sz w:val="24"/>
                <w:szCs w:val="24"/>
                <w:lang w:val="en-US" w:eastAsia="zh-CN" w:bidi="ar"/>
              </w:rPr>
              <w:t>0,327 (0,168-0,636)</w:t>
            </w:r>
          </w:p>
        </w:tc>
        <w:tc>
          <w:tcPr>
            <w:tcW w:w="1683" w:type="dxa"/>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8A6A51">
            <w:pPr>
              <w:spacing w:after="0" w:line="240" w:lineRule="auto"/>
              <w:jc w:val="center"/>
              <w:textAlignment w:val="bottom"/>
              <w:rPr>
                <w:rFonts w:ascii="Times New Roman" w:hAnsi="Times New Roman" w:cs="Times New Roman"/>
                <w:color w:val="000000"/>
              </w:rPr>
            </w:pPr>
            <w:r>
              <w:rPr>
                <w:rFonts w:ascii="Times New Roman" w:eastAsia="SimSun" w:hAnsi="Times New Roman" w:cs="Times New Roman"/>
                <w:color w:val="000000"/>
                <w:sz w:val="24"/>
                <w:szCs w:val="24"/>
                <w:lang w:val="en-US" w:eastAsia="zh-CN" w:bidi="ar"/>
              </w:rPr>
              <w:t>р&lt;0,05</w:t>
            </w:r>
          </w:p>
        </w:tc>
      </w:tr>
      <w:tr w:rsidR="00A75A8D">
        <w:trPr>
          <w:trHeight w:val="300"/>
        </w:trPr>
        <w:tc>
          <w:tcPr>
            <w:tcW w:w="5564" w:type="dxa"/>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8A6A51">
            <w:pPr>
              <w:spacing w:after="0" w:line="240" w:lineRule="auto"/>
              <w:textAlignment w:val="bottom"/>
              <w:rPr>
                <w:rFonts w:ascii="Times New Roman" w:hAnsi="Times New Roman" w:cs="Times New Roman"/>
                <w:color w:val="000000"/>
              </w:rPr>
            </w:pPr>
            <w:r>
              <w:rPr>
                <w:rFonts w:ascii="Times New Roman" w:eastAsia="SimSun" w:hAnsi="Times New Roman" w:cs="Times New Roman"/>
                <w:color w:val="000000"/>
                <w:sz w:val="24"/>
                <w:szCs w:val="24"/>
                <w:lang w:val="en-US" w:eastAsia="zh-CN" w:bidi="ar"/>
              </w:rPr>
              <w:t xml:space="preserve">                50-59 vs 70-75</w:t>
            </w:r>
          </w:p>
        </w:tc>
        <w:tc>
          <w:tcPr>
            <w:tcW w:w="2378" w:type="dxa"/>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8A6A51">
            <w:pPr>
              <w:spacing w:after="0" w:line="240" w:lineRule="auto"/>
              <w:jc w:val="center"/>
              <w:textAlignment w:val="bottom"/>
              <w:rPr>
                <w:rFonts w:ascii="Times New Roman" w:hAnsi="Times New Roman" w:cs="Times New Roman"/>
                <w:color w:val="000000"/>
              </w:rPr>
            </w:pPr>
            <w:r>
              <w:rPr>
                <w:rFonts w:ascii="Times New Roman" w:eastAsia="SimSun" w:hAnsi="Times New Roman" w:cs="Times New Roman"/>
                <w:color w:val="000000"/>
                <w:sz w:val="24"/>
                <w:szCs w:val="24"/>
                <w:lang w:val="en-US" w:eastAsia="zh-CN" w:bidi="ar"/>
              </w:rPr>
              <w:t>0,452 (0,251-0,815)</w:t>
            </w:r>
          </w:p>
        </w:tc>
        <w:tc>
          <w:tcPr>
            <w:tcW w:w="1683" w:type="dxa"/>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8A6A51">
            <w:pPr>
              <w:spacing w:after="0" w:line="240" w:lineRule="auto"/>
              <w:jc w:val="center"/>
              <w:textAlignment w:val="bottom"/>
              <w:rPr>
                <w:rFonts w:ascii="Times New Roman" w:hAnsi="Times New Roman" w:cs="Times New Roman"/>
                <w:color w:val="000000"/>
              </w:rPr>
            </w:pPr>
            <w:r>
              <w:rPr>
                <w:rFonts w:ascii="Times New Roman" w:eastAsia="SimSun" w:hAnsi="Times New Roman" w:cs="Times New Roman"/>
                <w:color w:val="000000"/>
                <w:sz w:val="24"/>
                <w:szCs w:val="24"/>
                <w:lang w:val="en-US" w:eastAsia="zh-CN" w:bidi="ar"/>
              </w:rPr>
              <w:t>р&lt;0,05</w:t>
            </w:r>
          </w:p>
        </w:tc>
      </w:tr>
      <w:tr w:rsidR="00A75A8D">
        <w:trPr>
          <w:trHeight w:val="300"/>
        </w:trPr>
        <w:tc>
          <w:tcPr>
            <w:tcW w:w="5564" w:type="dxa"/>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8A6A51">
            <w:pPr>
              <w:spacing w:after="0" w:line="240" w:lineRule="auto"/>
              <w:textAlignment w:val="bottom"/>
              <w:rPr>
                <w:rFonts w:ascii="Times New Roman" w:hAnsi="Times New Roman" w:cs="Times New Roman"/>
                <w:color w:val="000000"/>
              </w:rPr>
            </w:pPr>
            <w:r>
              <w:rPr>
                <w:rFonts w:ascii="Times New Roman" w:eastAsia="SimSun" w:hAnsi="Times New Roman" w:cs="Times New Roman"/>
                <w:color w:val="000000"/>
                <w:sz w:val="24"/>
                <w:szCs w:val="24"/>
                <w:lang w:eastAsia="zh-CN" w:bidi="ar"/>
              </w:rPr>
              <w:t xml:space="preserve">Статус курения: курящие </w:t>
            </w:r>
            <w:r>
              <w:rPr>
                <w:rFonts w:ascii="Times New Roman" w:eastAsia="SimSun" w:hAnsi="Times New Roman" w:cs="Times New Roman"/>
                <w:color w:val="000000"/>
                <w:sz w:val="24"/>
                <w:szCs w:val="24"/>
                <w:lang w:val="en-US" w:eastAsia="zh-CN" w:bidi="ar"/>
              </w:rPr>
              <w:t>vs</w:t>
            </w:r>
            <w:r>
              <w:rPr>
                <w:rFonts w:ascii="Times New Roman" w:eastAsia="SimSun" w:hAnsi="Times New Roman" w:cs="Times New Roman"/>
                <w:color w:val="000000"/>
                <w:sz w:val="24"/>
                <w:szCs w:val="24"/>
                <w:lang w:eastAsia="zh-CN" w:bidi="ar"/>
              </w:rPr>
              <w:t xml:space="preserve"> не курящие</w:t>
            </w:r>
          </w:p>
        </w:tc>
        <w:tc>
          <w:tcPr>
            <w:tcW w:w="2378" w:type="dxa"/>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8A6A51">
            <w:pPr>
              <w:spacing w:after="0" w:line="240" w:lineRule="auto"/>
              <w:jc w:val="center"/>
              <w:textAlignment w:val="bottom"/>
              <w:rPr>
                <w:rFonts w:ascii="Times New Roman" w:hAnsi="Times New Roman" w:cs="Times New Roman"/>
                <w:color w:val="000000"/>
              </w:rPr>
            </w:pPr>
            <w:r>
              <w:rPr>
                <w:rFonts w:ascii="Times New Roman" w:eastAsia="SimSun" w:hAnsi="Times New Roman" w:cs="Times New Roman"/>
                <w:color w:val="000000"/>
                <w:sz w:val="24"/>
                <w:szCs w:val="24"/>
                <w:lang w:val="en-US" w:eastAsia="zh-CN" w:bidi="ar"/>
              </w:rPr>
              <w:t>2,488 (1,526-4,056)</w:t>
            </w:r>
          </w:p>
        </w:tc>
        <w:tc>
          <w:tcPr>
            <w:tcW w:w="1683" w:type="dxa"/>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8A6A51">
            <w:pPr>
              <w:spacing w:after="0" w:line="240" w:lineRule="auto"/>
              <w:jc w:val="center"/>
              <w:textAlignment w:val="bottom"/>
              <w:rPr>
                <w:rFonts w:ascii="Times New Roman" w:hAnsi="Times New Roman" w:cs="Times New Roman"/>
                <w:color w:val="000000"/>
              </w:rPr>
            </w:pPr>
            <w:r>
              <w:rPr>
                <w:rFonts w:ascii="Times New Roman" w:eastAsia="SimSun" w:hAnsi="Times New Roman" w:cs="Times New Roman"/>
                <w:color w:val="000000"/>
                <w:sz w:val="24"/>
                <w:szCs w:val="24"/>
                <w:lang w:val="en-US" w:eastAsia="zh-CN" w:bidi="ar"/>
              </w:rPr>
              <w:t>р&lt;0,05</w:t>
            </w:r>
          </w:p>
        </w:tc>
      </w:tr>
      <w:tr w:rsidR="00A75A8D">
        <w:trPr>
          <w:trHeight w:val="300"/>
        </w:trPr>
        <w:tc>
          <w:tcPr>
            <w:tcW w:w="5564" w:type="dxa"/>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8A6A51">
            <w:pPr>
              <w:spacing w:after="0" w:line="240" w:lineRule="auto"/>
              <w:textAlignment w:val="bottom"/>
              <w:rPr>
                <w:rFonts w:ascii="Times New Roman" w:hAnsi="Times New Roman" w:cs="Times New Roman"/>
                <w:color w:val="000000"/>
              </w:rPr>
            </w:pPr>
            <w:r>
              <w:rPr>
                <w:rFonts w:ascii="Times New Roman" w:eastAsia="SimSun" w:hAnsi="Times New Roman" w:cs="Times New Roman"/>
                <w:color w:val="000000"/>
                <w:sz w:val="24"/>
                <w:szCs w:val="24"/>
                <w:lang w:val="en-US" w:eastAsia="zh-CN" w:bidi="ar"/>
              </w:rPr>
              <w:t xml:space="preserve">                            курящие vs бывшие курильщики</w:t>
            </w:r>
          </w:p>
        </w:tc>
        <w:tc>
          <w:tcPr>
            <w:tcW w:w="2378" w:type="dxa"/>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8A6A51">
            <w:pPr>
              <w:spacing w:after="0" w:line="240" w:lineRule="auto"/>
              <w:jc w:val="center"/>
              <w:textAlignment w:val="bottom"/>
              <w:rPr>
                <w:rFonts w:ascii="Times New Roman" w:hAnsi="Times New Roman" w:cs="Times New Roman"/>
                <w:color w:val="000000"/>
              </w:rPr>
            </w:pPr>
            <w:r>
              <w:rPr>
                <w:rFonts w:ascii="Times New Roman" w:eastAsia="SimSun" w:hAnsi="Times New Roman" w:cs="Times New Roman"/>
                <w:color w:val="000000"/>
                <w:sz w:val="24"/>
                <w:szCs w:val="24"/>
                <w:lang w:val="en-US" w:eastAsia="zh-CN" w:bidi="ar"/>
              </w:rPr>
              <w:t>2,325 (1,068-5.</w:t>
            </w:r>
            <w:r>
              <w:rPr>
                <w:rFonts w:ascii="Times New Roman" w:eastAsia="SimSun" w:hAnsi="Times New Roman" w:cs="Times New Roman"/>
                <w:color w:val="000000"/>
                <w:sz w:val="24"/>
                <w:szCs w:val="24"/>
                <w:lang w:val="en-US" w:eastAsia="zh-CN" w:bidi="ar"/>
              </w:rPr>
              <w:t>060)</w:t>
            </w:r>
          </w:p>
        </w:tc>
        <w:tc>
          <w:tcPr>
            <w:tcW w:w="1683" w:type="dxa"/>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8A6A51">
            <w:pPr>
              <w:spacing w:after="0" w:line="240" w:lineRule="auto"/>
              <w:jc w:val="center"/>
              <w:textAlignment w:val="bottom"/>
              <w:rPr>
                <w:rFonts w:ascii="Times New Roman" w:hAnsi="Times New Roman" w:cs="Times New Roman"/>
                <w:color w:val="000000"/>
              </w:rPr>
            </w:pPr>
            <w:r>
              <w:rPr>
                <w:rFonts w:ascii="Times New Roman" w:eastAsia="SimSun" w:hAnsi="Times New Roman" w:cs="Times New Roman"/>
                <w:color w:val="000000"/>
                <w:sz w:val="24"/>
                <w:szCs w:val="24"/>
                <w:lang w:val="en-US" w:eastAsia="zh-CN" w:bidi="ar"/>
              </w:rPr>
              <w:t>р&lt;0,05</w:t>
            </w:r>
          </w:p>
        </w:tc>
      </w:tr>
      <w:tr w:rsidR="00A75A8D">
        <w:trPr>
          <w:trHeight w:val="300"/>
        </w:trPr>
        <w:tc>
          <w:tcPr>
            <w:tcW w:w="5564" w:type="dxa"/>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8A6A51">
            <w:pPr>
              <w:spacing w:after="0" w:line="240" w:lineRule="auto"/>
              <w:textAlignment w:val="bottom"/>
              <w:rPr>
                <w:rFonts w:ascii="Times New Roman" w:hAnsi="Times New Roman" w:cs="Times New Roman"/>
                <w:color w:val="000000"/>
              </w:rPr>
            </w:pPr>
            <w:r>
              <w:rPr>
                <w:rFonts w:ascii="Times New Roman" w:eastAsia="SimSun" w:hAnsi="Times New Roman" w:cs="Times New Roman"/>
                <w:color w:val="000000"/>
                <w:sz w:val="24"/>
                <w:szCs w:val="24"/>
                <w:lang w:eastAsia="zh-CN" w:bidi="ar"/>
              </w:rPr>
              <w:t xml:space="preserve">                            бывшие курильщики </w:t>
            </w:r>
            <w:r>
              <w:rPr>
                <w:rFonts w:ascii="Times New Roman" w:eastAsia="SimSun" w:hAnsi="Times New Roman" w:cs="Times New Roman"/>
                <w:color w:val="000000"/>
                <w:sz w:val="24"/>
                <w:szCs w:val="24"/>
                <w:lang w:val="en-US" w:eastAsia="zh-CN" w:bidi="ar"/>
              </w:rPr>
              <w:t>vs</w:t>
            </w:r>
            <w:r>
              <w:rPr>
                <w:rFonts w:ascii="Times New Roman" w:eastAsia="SimSun" w:hAnsi="Times New Roman" w:cs="Times New Roman"/>
                <w:color w:val="000000"/>
                <w:sz w:val="24"/>
                <w:szCs w:val="24"/>
                <w:lang w:eastAsia="zh-CN" w:bidi="ar"/>
              </w:rPr>
              <w:t xml:space="preserve"> не курящие</w:t>
            </w:r>
          </w:p>
        </w:tc>
        <w:tc>
          <w:tcPr>
            <w:tcW w:w="2378" w:type="dxa"/>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8A6A51">
            <w:pPr>
              <w:spacing w:after="0" w:line="240" w:lineRule="auto"/>
              <w:jc w:val="center"/>
              <w:textAlignment w:val="bottom"/>
              <w:rPr>
                <w:rFonts w:ascii="Times New Roman" w:hAnsi="Times New Roman" w:cs="Times New Roman"/>
                <w:color w:val="000000"/>
              </w:rPr>
            </w:pPr>
            <w:r>
              <w:rPr>
                <w:rFonts w:ascii="Times New Roman" w:eastAsia="SimSun" w:hAnsi="Times New Roman" w:cs="Times New Roman"/>
                <w:color w:val="000000"/>
                <w:sz w:val="24"/>
                <w:szCs w:val="24"/>
                <w:lang w:val="en-US" w:eastAsia="zh-CN" w:bidi="ar"/>
              </w:rPr>
              <w:t>0.921 (0.422-2.010)</w:t>
            </w:r>
          </w:p>
        </w:tc>
        <w:tc>
          <w:tcPr>
            <w:tcW w:w="1683" w:type="dxa"/>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8A6A51">
            <w:pPr>
              <w:spacing w:after="0" w:line="240" w:lineRule="auto"/>
              <w:jc w:val="center"/>
              <w:textAlignment w:val="bottom"/>
              <w:rPr>
                <w:rFonts w:ascii="Times New Roman" w:hAnsi="Times New Roman" w:cs="Times New Roman"/>
                <w:color w:val="000000"/>
              </w:rPr>
            </w:pPr>
            <w:r>
              <w:rPr>
                <w:rFonts w:ascii="Times New Roman" w:eastAsia="SimSun" w:hAnsi="Times New Roman" w:cs="Times New Roman"/>
                <w:color w:val="000000"/>
                <w:sz w:val="24"/>
                <w:szCs w:val="24"/>
                <w:lang w:val="en-US" w:eastAsia="zh-CN" w:bidi="ar"/>
              </w:rPr>
              <w:t>р&gt;0,05</w:t>
            </w:r>
          </w:p>
        </w:tc>
      </w:tr>
      <w:tr w:rsidR="00A75A8D">
        <w:trPr>
          <w:trHeight w:val="300"/>
        </w:trPr>
        <w:tc>
          <w:tcPr>
            <w:tcW w:w="5564" w:type="dxa"/>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8A6A51">
            <w:pPr>
              <w:spacing w:after="0" w:line="240" w:lineRule="auto"/>
              <w:textAlignment w:val="bottom"/>
              <w:rPr>
                <w:rFonts w:ascii="Times New Roman" w:hAnsi="Times New Roman" w:cs="Times New Roman"/>
                <w:color w:val="000000"/>
              </w:rPr>
            </w:pPr>
            <w:r>
              <w:rPr>
                <w:rFonts w:ascii="Times New Roman" w:eastAsia="SimSun" w:hAnsi="Times New Roman" w:cs="Times New Roman"/>
                <w:color w:val="000000"/>
                <w:sz w:val="24"/>
                <w:szCs w:val="24"/>
                <w:lang w:eastAsia="zh-CN" w:bidi="ar"/>
              </w:rPr>
              <w:t xml:space="preserve">Семейный анамнез по РЛ: есть </w:t>
            </w:r>
            <w:r>
              <w:rPr>
                <w:rFonts w:ascii="Times New Roman" w:eastAsia="SimSun" w:hAnsi="Times New Roman" w:cs="Times New Roman"/>
                <w:color w:val="000000"/>
                <w:sz w:val="24"/>
                <w:szCs w:val="24"/>
                <w:lang w:val="en-US" w:eastAsia="zh-CN" w:bidi="ar"/>
              </w:rPr>
              <w:t>vs</w:t>
            </w:r>
            <w:r>
              <w:rPr>
                <w:rFonts w:ascii="Times New Roman" w:eastAsia="SimSun" w:hAnsi="Times New Roman" w:cs="Times New Roman"/>
                <w:color w:val="000000"/>
                <w:sz w:val="24"/>
                <w:szCs w:val="24"/>
                <w:lang w:eastAsia="zh-CN" w:bidi="ar"/>
              </w:rPr>
              <w:t xml:space="preserve"> нет</w:t>
            </w:r>
          </w:p>
        </w:tc>
        <w:tc>
          <w:tcPr>
            <w:tcW w:w="2378" w:type="dxa"/>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8A6A51">
            <w:pPr>
              <w:spacing w:after="0" w:line="240" w:lineRule="auto"/>
              <w:jc w:val="center"/>
              <w:textAlignment w:val="bottom"/>
              <w:rPr>
                <w:rFonts w:ascii="Times New Roman" w:hAnsi="Times New Roman" w:cs="Times New Roman"/>
                <w:color w:val="000000"/>
              </w:rPr>
            </w:pPr>
            <w:r>
              <w:rPr>
                <w:rFonts w:ascii="Times New Roman" w:eastAsia="SimSun" w:hAnsi="Times New Roman" w:cs="Times New Roman"/>
                <w:color w:val="000000"/>
                <w:sz w:val="24"/>
                <w:szCs w:val="24"/>
                <w:lang w:val="en-US" w:eastAsia="zh-CN" w:bidi="ar"/>
              </w:rPr>
              <w:t>0,885 (0,338-2,021)</w:t>
            </w:r>
          </w:p>
        </w:tc>
        <w:tc>
          <w:tcPr>
            <w:tcW w:w="1683" w:type="dxa"/>
            <w:tcBorders>
              <w:top w:val="single" w:sz="2" w:space="0" w:color="000000"/>
              <w:left w:val="single" w:sz="2" w:space="0" w:color="000000"/>
              <w:bottom w:val="single" w:sz="2" w:space="0" w:color="000000"/>
              <w:right w:val="single" w:sz="2" w:space="0" w:color="000000"/>
            </w:tcBorders>
            <w:shd w:val="clear" w:color="auto" w:fill="auto"/>
            <w:noWrap/>
            <w:vAlign w:val="bottom"/>
          </w:tcPr>
          <w:p w:rsidR="00A75A8D" w:rsidRDefault="008A6A51">
            <w:pPr>
              <w:spacing w:after="0" w:line="240" w:lineRule="auto"/>
              <w:jc w:val="center"/>
              <w:textAlignment w:val="bottom"/>
              <w:rPr>
                <w:rFonts w:ascii="Times New Roman" w:hAnsi="Times New Roman" w:cs="Times New Roman"/>
                <w:color w:val="000000"/>
              </w:rPr>
            </w:pPr>
            <w:r>
              <w:rPr>
                <w:rFonts w:ascii="Times New Roman" w:eastAsia="SimSun" w:hAnsi="Times New Roman" w:cs="Times New Roman"/>
                <w:color w:val="000000"/>
                <w:sz w:val="24"/>
                <w:szCs w:val="24"/>
                <w:lang w:val="en-US" w:eastAsia="zh-CN" w:bidi="ar"/>
              </w:rPr>
              <w:t>р&gt;0,05</w:t>
            </w:r>
          </w:p>
        </w:tc>
      </w:tr>
    </w:tbl>
    <w:p w:rsidR="00A75A8D" w:rsidRDefault="00A75A8D">
      <w:pPr>
        <w:pStyle w:val="af3"/>
      </w:pPr>
    </w:p>
    <w:p w:rsidR="00A75A8D" w:rsidRDefault="008A6A51">
      <w:pPr>
        <w:pStyle w:val="af3"/>
      </w:pPr>
      <w:r>
        <w:t xml:space="preserve">В результате анализа данных из таблицы 14 получены статистически достоверные результаты при расчете отношения шансов возникновения рака легкого в зависимости от пола, возраста и статуса курения. Так, отношение шансов выявления рака </w:t>
      </w:r>
      <w:r>
        <w:rPr>
          <w:lang w:eastAsia="zh-CN"/>
        </w:rPr>
        <w:t xml:space="preserve">легкого </w:t>
      </w:r>
      <w:r>
        <w:t>у мужчин в 2,8 р</w:t>
      </w:r>
      <w:r>
        <w:t xml:space="preserve">аза выше, чем среди женщин (ОШ=2,808, 95% ДИ: </w:t>
      </w:r>
      <w:r>
        <w:rPr>
          <w:color w:val="000000"/>
          <w:lang w:eastAsia="zh-CN" w:bidi="ar"/>
        </w:rPr>
        <w:t>1,718-4,589, р&lt;0,05</w:t>
      </w:r>
      <w:r>
        <w:t xml:space="preserve">). </w:t>
      </w:r>
    </w:p>
    <w:p w:rsidR="00A75A8D" w:rsidRDefault="008A6A51">
      <w:pPr>
        <w:pStyle w:val="af3"/>
      </w:pPr>
      <w:r>
        <w:t xml:space="preserve">В возрастном аспекте статистически достоверные данные получены при сравнении возрастных групп 60-69 лет против 70-75 </w:t>
      </w:r>
      <w:r>
        <w:rPr>
          <w:lang w:eastAsia="ru-RU"/>
        </w:rPr>
        <w:t xml:space="preserve">лет </w:t>
      </w:r>
      <w:r>
        <w:t xml:space="preserve">и 50-59 лет против 70-75 лет. По результатам нашего исследования, </w:t>
      </w:r>
      <w:r>
        <w:t>риск рака легкого среди участников возрастной категории 70-75 выше, чем в группах 50-59 лет и 60-69 лет (ОШ=</w:t>
      </w:r>
      <w:r>
        <w:rPr>
          <w:lang w:eastAsia="zh-CN"/>
        </w:rPr>
        <w:t xml:space="preserve">0,452, </w:t>
      </w:r>
      <w:r>
        <w:rPr>
          <w:lang w:eastAsia="zh-CN"/>
        </w:rPr>
        <w:lastRenderedPageBreak/>
        <w:t xml:space="preserve">95% ДИ: 0,251-0,815 и </w:t>
      </w:r>
      <w:r>
        <w:t>ОШ=</w:t>
      </w:r>
      <w:r>
        <w:rPr>
          <w:lang w:eastAsia="zh-CN"/>
        </w:rPr>
        <w:t>0,327, 95% ДИ: 0,168-0,636 соответственно, р&lt;0,05</w:t>
      </w:r>
      <w:r>
        <w:t>). Однако, при сравнении возрастной категории 50-59 лет с 60-69 лет</w:t>
      </w:r>
      <w:r>
        <w:t xml:space="preserve"> нами не выявлено статистически значимой связи, </w:t>
      </w:r>
      <w:r>
        <w:rPr>
          <w:color w:val="000000"/>
          <w:lang w:eastAsia="zh-CN" w:bidi="ar"/>
        </w:rPr>
        <w:t>р&gt;0,05</w:t>
      </w:r>
      <w:r>
        <w:t xml:space="preserve">.     </w:t>
      </w:r>
    </w:p>
    <w:p w:rsidR="00A75A8D" w:rsidRDefault="008A6A51">
      <w:pPr>
        <w:pStyle w:val="af3"/>
      </w:pPr>
      <w:r>
        <w:t xml:space="preserve">Анализ данных касательно статуса курения показал, что отношение шансов выявления рака легкого у курильщиков выше, чем у не курящих (ОШ =2,448, 95% ДИ: </w:t>
      </w:r>
      <w:r>
        <w:rPr>
          <w:lang w:eastAsia="zh-CN"/>
        </w:rPr>
        <w:t>1,526-4,056</w:t>
      </w:r>
      <w:r>
        <w:t xml:space="preserve">, </w:t>
      </w:r>
      <w:r>
        <w:rPr>
          <w:color w:val="000000"/>
          <w:lang w:eastAsia="zh-CN" w:bidi="ar"/>
        </w:rPr>
        <w:t>р&lt;0,05</w:t>
      </w:r>
      <w:r>
        <w:t xml:space="preserve">) и у бывших курильщиков </w:t>
      </w:r>
      <w:r>
        <w:t>(ОШ =</w:t>
      </w:r>
      <w:r>
        <w:rPr>
          <w:lang w:eastAsia="zh-CN"/>
        </w:rPr>
        <w:t>2,325</w:t>
      </w:r>
      <w:r>
        <w:t xml:space="preserve">, 95% ДИ: </w:t>
      </w:r>
      <w:r>
        <w:rPr>
          <w:lang w:eastAsia="zh-CN"/>
        </w:rPr>
        <w:t>1,068-5.060</w:t>
      </w:r>
      <w:r>
        <w:t xml:space="preserve">, </w:t>
      </w:r>
      <w:r>
        <w:rPr>
          <w:color w:val="000000"/>
          <w:lang w:eastAsia="zh-CN" w:bidi="ar"/>
        </w:rPr>
        <w:t>р&lt;0,05</w:t>
      </w:r>
      <w:r>
        <w:t>), в то время как между группами бывших курильщиков и не курящими не обнаружено статистически значимых различий (ОШ=</w:t>
      </w:r>
      <w:r>
        <w:rPr>
          <w:color w:val="000000"/>
          <w:lang w:eastAsia="zh-CN" w:bidi="ar"/>
        </w:rPr>
        <w:t>0.921,</w:t>
      </w:r>
      <w:r>
        <w:t xml:space="preserve"> 95% ДИ: </w:t>
      </w:r>
      <w:r>
        <w:rPr>
          <w:color w:val="000000"/>
          <w:lang w:eastAsia="zh-CN" w:bidi="ar"/>
        </w:rPr>
        <w:t>0.422-2,010,</w:t>
      </w:r>
      <w:r>
        <w:t xml:space="preserve"> </w:t>
      </w:r>
      <w:r>
        <w:rPr>
          <w:color w:val="000000"/>
          <w:lang w:eastAsia="zh-CN" w:bidi="ar"/>
        </w:rPr>
        <w:t>р&gt;0,05</w:t>
      </w:r>
      <w:r>
        <w:t xml:space="preserve">). </w:t>
      </w:r>
    </w:p>
    <w:p w:rsidR="00A75A8D" w:rsidRDefault="008A6A51">
      <w:pPr>
        <w:pStyle w:val="af3"/>
      </w:pPr>
      <w:r>
        <w:rPr>
          <w:lang w:eastAsia="ru-RU"/>
        </w:rPr>
        <w:t>Как показало наше исследование при анализе наличия/отсутствия с</w:t>
      </w:r>
      <w:r>
        <w:rPr>
          <w:lang w:eastAsia="ru-RU"/>
        </w:rPr>
        <w:t>емейного анамнеза по раку легкого по линии первого родства, с</w:t>
      </w:r>
      <w:r>
        <w:t>татистически значимых различий не выявлено (ОШ=</w:t>
      </w:r>
      <w:r>
        <w:rPr>
          <w:color w:val="000000"/>
          <w:lang w:eastAsia="zh-CN" w:bidi="ar"/>
        </w:rPr>
        <w:t>0,885,</w:t>
      </w:r>
      <w:r>
        <w:t xml:space="preserve"> 95% ДИ: </w:t>
      </w:r>
      <w:r>
        <w:rPr>
          <w:lang w:eastAsia="zh-CN"/>
        </w:rPr>
        <w:t>0,338-2,021</w:t>
      </w:r>
      <w:r>
        <w:rPr>
          <w:color w:val="000000"/>
          <w:lang w:eastAsia="zh-CN" w:bidi="ar"/>
        </w:rPr>
        <w:t>,</w:t>
      </w:r>
      <w:r>
        <w:t xml:space="preserve"> </w:t>
      </w:r>
      <w:r>
        <w:rPr>
          <w:color w:val="000000"/>
          <w:lang w:eastAsia="zh-CN" w:bidi="ar"/>
        </w:rPr>
        <w:t>р&gt;0,05</w:t>
      </w:r>
      <w:r>
        <w:t>).</w:t>
      </w:r>
    </w:p>
    <w:p w:rsidR="00A75A8D" w:rsidRDefault="008A6A51">
      <w:pPr>
        <w:pStyle w:val="af3"/>
      </w:pPr>
      <w:r>
        <w:t xml:space="preserve"> Таким образом, наше исследование показало, что высокому риску возникновения рака легкого способствуют такие фа</w:t>
      </w:r>
      <w:r>
        <w:t>кторы как: курение, мужской пол, возраст 70-75 лет</w:t>
      </w:r>
      <w:r>
        <w:rPr>
          <w:color w:val="000000"/>
          <w:lang w:eastAsia="zh-CN" w:bidi="ar"/>
        </w:rPr>
        <w:t>.</w:t>
      </w:r>
      <w:r>
        <w:t xml:space="preserve"> </w:t>
      </w:r>
    </w:p>
    <w:p w:rsidR="00A75A8D" w:rsidRDefault="008A6A51">
      <w:pPr>
        <w:pStyle w:val="af3"/>
        <w:rPr>
          <w:color w:val="000000" w:themeColor="text1"/>
        </w:rPr>
      </w:pPr>
      <w:bookmarkStart w:id="23" w:name="_Toc186925742"/>
      <w:r>
        <w:rPr>
          <w:rStyle w:val="af5"/>
          <w:rFonts w:ascii="Times New Roman" w:eastAsia="SimSun" w:hAnsi="Times New Roman"/>
          <w:b/>
          <w:sz w:val="28"/>
        </w:rPr>
        <w:t xml:space="preserve">3.4 Оптимизация ранней диагностики рака легкого с </w:t>
      </w:r>
      <w:r>
        <w:rPr>
          <w:rStyle w:val="af5"/>
          <w:rFonts w:eastAsia="SimSun"/>
          <w:b/>
          <w:sz w:val="28"/>
        </w:rPr>
        <w:t xml:space="preserve">применением </w:t>
      </w:r>
      <w:r>
        <w:rPr>
          <w:rStyle w:val="af5"/>
          <w:rFonts w:ascii="Times New Roman" w:eastAsia="SimSun" w:hAnsi="Times New Roman"/>
          <w:b/>
          <w:sz w:val="28"/>
        </w:rPr>
        <w:t>низкодозной компьютерной томографии и DL-CАD</w:t>
      </w:r>
      <w:bookmarkEnd w:id="23"/>
    </w:p>
    <w:p w:rsidR="00A75A8D" w:rsidRDefault="008A6A51">
      <w:pPr>
        <w:pStyle w:val="af3"/>
      </w:pPr>
      <w:r>
        <w:t xml:space="preserve">В настоящее время, в связи с увеличением количества низкодозных компьютерно-томографических </w:t>
      </w:r>
      <w:r>
        <w:t>исследований легких, появилась необходимость в применении системы автоматического обнаружения (</w:t>
      </w:r>
      <w:r>
        <w:rPr>
          <w:bCs/>
          <w:lang w:val="en-US"/>
        </w:rPr>
        <w:t>DL</w:t>
      </w:r>
      <w:r>
        <w:rPr>
          <w:bCs/>
        </w:rPr>
        <w:t>-</w:t>
      </w:r>
      <w:r>
        <w:rPr>
          <w:bCs/>
          <w:lang w:val="en-US"/>
        </w:rPr>
        <w:t>C</w:t>
      </w:r>
      <w:r>
        <w:rPr>
          <w:bCs/>
        </w:rPr>
        <w:t>А</w:t>
      </w:r>
      <w:r>
        <w:rPr>
          <w:bCs/>
          <w:lang w:val="en-US"/>
        </w:rPr>
        <w:t>D</w:t>
      </w:r>
      <w:r>
        <w:t xml:space="preserve">), которая идентифицирует легочные узлы на изображениях с помощью компьютерного алгоритма. При низкодозной компьютерной томографии легких системы </w:t>
      </w:r>
      <w:r>
        <w:rPr>
          <w:bCs/>
          <w:lang w:val="en-US"/>
        </w:rPr>
        <w:t>DL</w:t>
      </w:r>
      <w:r>
        <w:rPr>
          <w:bCs/>
        </w:rPr>
        <w:t>-</w:t>
      </w:r>
      <w:r>
        <w:rPr>
          <w:bCs/>
          <w:lang w:val="en-US"/>
        </w:rPr>
        <w:t>C</w:t>
      </w:r>
      <w:r>
        <w:rPr>
          <w:bCs/>
        </w:rPr>
        <w:t>А</w:t>
      </w:r>
      <w:r>
        <w:rPr>
          <w:bCs/>
          <w:lang w:val="en-US"/>
        </w:rPr>
        <w:t>D</w:t>
      </w:r>
      <w:r>
        <w:t xml:space="preserve"> мо</w:t>
      </w:r>
      <w:r>
        <w:t>гут выступать в качестве помощника в выявлении пропущенных узлов и повышать чувствительность путем обнаружения узлов маленьких размеров, а также сокращать время, необходимое для интерпретации изображений. Однако, результаты проведенных исследований демонст</w:t>
      </w:r>
      <w:r>
        <w:t xml:space="preserve">рируют высокое количество ложноположительных результатов, что является предметом дальнейшего изучения и совершенствования методики применения </w:t>
      </w:r>
      <w:r>
        <w:rPr>
          <w:bCs/>
          <w:lang w:val="en-US"/>
        </w:rPr>
        <w:t>DL</w:t>
      </w:r>
      <w:r>
        <w:rPr>
          <w:bCs/>
        </w:rPr>
        <w:t>-</w:t>
      </w:r>
      <w:r>
        <w:rPr>
          <w:bCs/>
          <w:lang w:val="en-US"/>
        </w:rPr>
        <w:t>C</w:t>
      </w:r>
      <w:r>
        <w:rPr>
          <w:bCs/>
        </w:rPr>
        <w:t>А</w:t>
      </w:r>
      <w:r>
        <w:rPr>
          <w:bCs/>
          <w:lang w:val="en-US"/>
        </w:rPr>
        <w:t>D</w:t>
      </w:r>
      <w:r>
        <w:t xml:space="preserve"> при проведении скрининга рака легкого.</w:t>
      </w:r>
    </w:p>
    <w:p w:rsidR="00A75A8D" w:rsidRDefault="008A6A51">
      <w:pPr>
        <w:pStyle w:val="af3"/>
      </w:pPr>
      <w:r>
        <w:t xml:space="preserve">Имеется ограниченное количество публикаций, посвященных применению </w:t>
      </w:r>
      <w:r>
        <w:rPr>
          <w:bCs/>
          <w:lang w:val="en-US"/>
        </w:rPr>
        <w:t>D</w:t>
      </w:r>
      <w:r>
        <w:rPr>
          <w:bCs/>
          <w:lang w:val="en-US"/>
        </w:rPr>
        <w:t>L</w:t>
      </w:r>
      <w:r>
        <w:rPr>
          <w:bCs/>
        </w:rPr>
        <w:t>-</w:t>
      </w:r>
      <w:r>
        <w:rPr>
          <w:bCs/>
          <w:lang w:val="en-US"/>
        </w:rPr>
        <w:t>C</w:t>
      </w:r>
      <w:r>
        <w:rPr>
          <w:bCs/>
        </w:rPr>
        <w:t>А</w:t>
      </w:r>
      <w:r>
        <w:rPr>
          <w:bCs/>
          <w:lang w:val="en-US"/>
        </w:rPr>
        <w:t>D</w:t>
      </w:r>
      <w:r>
        <w:t xml:space="preserve"> в скрининге рака легкого с применением низкодозной компьютерной томографии. В казахстанских источниках информация о применении </w:t>
      </w:r>
      <w:r>
        <w:rPr>
          <w:bCs/>
          <w:lang w:val="en-US"/>
        </w:rPr>
        <w:t>DL</w:t>
      </w:r>
      <w:r>
        <w:rPr>
          <w:bCs/>
        </w:rPr>
        <w:t>-</w:t>
      </w:r>
      <w:r>
        <w:rPr>
          <w:bCs/>
          <w:lang w:val="en-US"/>
        </w:rPr>
        <w:t>C</w:t>
      </w:r>
      <w:r>
        <w:rPr>
          <w:bCs/>
        </w:rPr>
        <w:t>А</w:t>
      </w:r>
      <w:r>
        <w:rPr>
          <w:bCs/>
          <w:lang w:val="en-US"/>
        </w:rPr>
        <w:t>D</w:t>
      </w:r>
      <w:r>
        <w:t xml:space="preserve"> в скрининге рака легкого отсутствует. Данный аспект обусловливает актуальность рассмотрения возможности для расширен</w:t>
      </w:r>
      <w:r>
        <w:t>ия стратегии скрининговой программы</w:t>
      </w:r>
      <w:r>
        <w:rPr>
          <w:color w:val="FF0000"/>
        </w:rPr>
        <w:t xml:space="preserve"> </w:t>
      </w:r>
      <w:r>
        <w:t xml:space="preserve">рака легкого с использованием </w:t>
      </w:r>
      <w:r>
        <w:rPr>
          <w:bCs/>
          <w:lang w:val="en-US"/>
        </w:rPr>
        <w:t>DL</w:t>
      </w:r>
      <w:r>
        <w:rPr>
          <w:bCs/>
        </w:rPr>
        <w:t>-</w:t>
      </w:r>
      <w:r>
        <w:rPr>
          <w:bCs/>
          <w:lang w:val="en-US"/>
        </w:rPr>
        <w:t>C</w:t>
      </w:r>
      <w:r>
        <w:rPr>
          <w:bCs/>
        </w:rPr>
        <w:t>А</w:t>
      </w:r>
      <w:r>
        <w:rPr>
          <w:bCs/>
          <w:lang w:val="en-US"/>
        </w:rPr>
        <w:t>D</w:t>
      </w:r>
      <w:r>
        <w:t>.</w:t>
      </w:r>
    </w:p>
    <w:p w:rsidR="00A75A8D" w:rsidRDefault="008A6A51">
      <w:pPr>
        <w:pStyle w:val="af3"/>
      </w:pPr>
      <w:r>
        <w:t xml:space="preserve">В нашем исследовании мы поставили задачу изучить особенности применения </w:t>
      </w:r>
      <w:r>
        <w:rPr>
          <w:bCs/>
          <w:lang w:val="en-US"/>
        </w:rPr>
        <w:t>DL</w:t>
      </w:r>
      <w:r>
        <w:rPr>
          <w:bCs/>
        </w:rPr>
        <w:t>-</w:t>
      </w:r>
      <w:r>
        <w:rPr>
          <w:bCs/>
          <w:lang w:val="en-US"/>
        </w:rPr>
        <w:t>C</w:t>
      </w:r>
      <w:r>
        <w:rPr>
          <w:bCs/>
        </w:rPr>
        <w:t>А</w:t>
      </w:r>
      <w:r>
        <w:rPr>
          <w:bCs/>
          <w:lang w:val="en-US"/>
        </w:rPr>
        <w:t>D</w:t>
      </w:r>
      <w:r>
        <w:t xml:space="preserve"> в ранней диагностике рака легкого с применением низкодозной компьютерной томографии, оценить чувствител</w:t>
      </w:r>
      <w:r>
        <w:t>ьность данной системы в качестве первого, второго и параллельного чтения, а также оценить временные затраты на интерпретацию низкодозных компьютерно-томографических изображений с применением</w:t>
      </w:r>
      <w:r>
        <w:rPr>
          <w:color w:val="FF0000"/>
        </w:rPr>
        <w:t xml:space="preserve"> </w:t>
      </w:r>
      <w:r>
        <w:rPr>
          <w:bCs/>
          <w:lang w:val="en-US"/>
        </w:rPr>
        <w:t>DL</w:t>
      </w:r>
      <w:r>
        <w:rPr>
          <w:bCs/>
        </w:rPr>
        <w:t>-</w:t>
      </w:r>
      <w:r>
        <w:rPr>
          <w:bCs/>
          <w:lang w:val="en-US"/>
        </w:rPr>
        <w:t>C</w:t>
      </w:r>
      <w:r>
        <w:rPr>
          <w:bCs/>
        </w:rPr>
        <w:t>А</w:t>
      </w:r>
      <w:r>
        <w:rPr>
          <w:bCs/>
          <w:lang w:val="en-US"/>
        </w:rPr>
        <w:t>D</w:t>
      </w:r>
      <w:r>
        <w:t xml:space="preserve">. Различают три варианта применения </w:t>
      </w:r>
      <w:r>
        <w:rPr>
          <w:bCs/>
          <w:lang w:val="en-US"/>
        </w:rPr>
        <w:t>DL</w:t>
      </w:r>
      <w:r>
        <w:rPr>
          <w:bCs/>
        </w:rPr>
        <w:t>-</w:t>
      </w:r>
      <w:r>
        <w:rPr>
          <w:bCs/>
          <w:lang w:val="en-US"/>
        </w:rPr>
        <w:t>C</w:t>
      </w:r>
      <w:r>
        <w:rPr>
          <w:bCs/>
        </w:rPr>
        <w:t>А</w:t>
      </w:r>
      <w:r>
        <w:rPr>
          <w:bCs/>
          <w:lang w:val="en-US"/>
        </w:rPr>
        <w:t>D</w:t>
      </w:r>
      <w:r>
        <w:t xml:space="preserve"> (рисунок 22).</w:t>
      </w:r>
    </w:p>
    <w:p w:rsidR="00A75A8D" w:rsidRDefault="00A75A8D">
      <w:pPr>
        <w:pStyle w:val="af3"/>
      </w:pPr>
    </w:p>
    <w:p w:rsidR="00A75A8D" w:rsidRDefault="008A6A51">
      <w:pPr>
        <w:rPr>
          <w:rFonts w:ascii="Times New Roman" w:hAnsi="Times New Roman" w:cs="Times New Roman"/>
          <w:sz w:val="28"/>
        </w:rPr>
      </w:pPr>
      <w:r>
        <w:rPr>
          <w:noProof/>
          <w:lang w:eastAsia="ru-RU"/>
        </w:rPr>
        <w:lastRenderedPageBreak/>
        <w:drawing>
          <wp:inline distT="0" distB="0" distL="114300" distR="114300">
            <wp:extent cx="6301105" cy="3611245"/>
            <wp:effectExtent l="0" t="0" r="4445" b="8255"/>
            <wp:docPr id="22"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Изображение 1"/>
                    <pic:cNvPicPr>
                      <a:picLocks noChangeAspect="1"/>
                    </pic:cNvPicPr>
                  </pic:nvPicPr>
                  <pic:blipFill>
                    <a:blip r:embed="rId33"/>
                    <a:stretch>
                      <a:fillRect/>
                    </a:stretch>
                  </pic:blipFill>
                  <pic:spPr>
                    <a:xfrm>
                      <a:off x="0" y="0"/>
                      <a:ext cx="6301105" cy="3611245"/>
                    </a:xfrm>
                    <a:prstGeom prst="rect">
                      <a:avLst/>
                    </a:prstGeom>
                    <a:noFill/>
                    <a:ln>
                      <a:noFill/>
                    </a:ln>
                  </pic:spPr>
                </pic:pic>
              </a:graphicData>
            </a:graphic>
          </wp:inline>
        </w:drawing>
      </w:r>
    </w:p>
    <w:p w:rsidR="00A75A8D" w:rsidRDefault="008A6A51">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22 - Варианты применения </w:t>
      </w:r>
      <w:r>
        <w:rPr>
          <w:rFonts w:ascii="Times New Roman" w:hAnsi="Times New Roman" w:cs="Times New Roman"/>
          <w:bCs/>
          <w:sz w:val="28"/>
          <w:szCs w:val="28"/>
          <w:lang w:val="en-US"/>
        </w:rPr>
        <w:t>DL</w:t>
      </w:r>
      <w:r>
        <w:rPr>
          <w:rFonts w:ascii="Times New Roman" w:hAnsi="Times New Roman" w:cs="Times New Roman"/>
          <w:bCs/>
          <w:sz w:val="28"/>
          <w:szCs w:val="28"/>
        </w:rPr>
        <w:t>-</w:t>
      </w:r>
      <w:r>
        <w:rPr>
          <w:rFonts w:ascii="Times New Roman" w:hAnsi="Times New Roman" w:cs="Times New Roman"/>
          <w:bCs/>
          <w:sz w:val="28"/>
          <w:szCs w:val="28"/>
          <w:lang w:val="en-US"/>
        </w:rPr>
        <w:t>C</w:t>
      </w:r>
      <w:r>
        <w:rPr>
          <w:rFonts w:ascii="Times New Roman" w:hAnsi="Times New Roman" w:cs="Times New Roman"/>
          <w:bCs/>
          <w:sz w:val="28"/>
          <w:szCs w:val="28"/>
        </w:rPr>
        <w:t>А</w:t>
      </w:r>
      <w:r>
        <w:rPr>
          <w:rFonts w:ascii="Times New Roman" w:hAnsi="Times New Roman" w:cs="Times New Roman"/>
          <w:bCs/>
          <w:sz w:val="28"/>
          <w:szCs w:val="28"/>
          <w:lang w:val="en-US"/>
        </w:rPr>
        <w:t>D</w:t>
      </w:r>
      <w:r>
        <w:rPr>
          <w:rFonts w:ascii="Times New Roman" w:hAnsi="Times New Roman" w:cs="Times New Roman"/>
          <w:sz w:val="28"/>
        </w:rPr>
        <w:t xml:space="preserve"> при интерпретации НДКТ изображений</w:t>
      </w:r>
    </w:p>
    <w:p w:rsidR="00A75A8D" w:rsidRDefault="00A75A8D">
      <w:pPr>
        <w:spacing w:after="0" w:line="240" w:lineRule="auto"/>
        <w:jc w:val="center"/>
        <w:rPr>
          <w:rFonts w:ascii="Times New Roman" w:hAnsi="Times New Roman" w:cs="Times New Roman"/>
          <w:sz w:val="28"/>
        </w:rPr>
      </w:pPr>
    </w:p>
    <w:p w:rsidR="00A75A8D" w:rsidRDefault="008A6A51">
      <w:pPr>
        <w:pStyle w:val="af3"/>
      </w:pPr>
      <w:r>
        <w:rPr>
          <w:lang w:val="en-US"/>
        </w:rPr>
        <w:t>A</w:t>
      </w:r>
      <w:r>
        <w:t xml:space="preserve">. </w:t>
      </w:r>
      <w:r>
        <w:rPr>
          <w:bCs/>
          <w:lang w:val="en-US"/>
        </w:rPr>
        <w:t>DL</w:t>
      </w:r>
      <w:r>
        <w:rPr>
          <w:bCs/>
        </w:rPr>
        <w:t>-</w:t>
      </w:r>
      <w:r>
        <w:rPr>
          <w:bCs/>
          <w:lang w:val="en-US"/>
        </w:rPr>
        <w:t>C</w:t>
      </w:r>
      <w:r>
        <w:rPr>
          <w:bCs/>
        </w:rPr>
        <w:t>А</w:t>
      </w:r>
      <w:r>
        <w:rPr>
          <w:bCs/>
          <w:lang w:val="en-US"/>
        </w:rPr>
        <w:t>D</w:t>
      </w:r>
      <w:r>
        <w:t xml:space="preserve"> в роли первой читки - когда после обработки системой CAD врачу-радиологу предоставляется информация об обнаруженных легочных узлах. </w:t>
      </w:r>
    </w:p>
    <w:p w:rsidR="00A75A8D" w:rsidRDefault="008A6A51">
      <w:pPr>
        <w:pStyle w:val="af3"/>
      </w:pPr>
      <w:r>
        <w:rPr>
          <w:lang w:val="en-US"/>
        </w:rPr>
        <w:t>B</w:t>
      </w:r>
      <w:r>
        <w:t xml:space="preserve">. </w:t>
      </w:r>
      <w:r>
        <w:rPr>
          <w:bCs/>
          <w:lang w:val="en-US"/>
        </w:rPr>
        <w:t>DL</w:t>
      </w:r>
      <w:r>
        <w:rPr>
          <w:bCs/>
        </w:rPr>
        <w:t>-</w:t>
      </w:r>
      <w:r>
        <w:rPr>
          <w:bCs/>
          <w:lang w:val="en-US"/>
        </w:rPr>
        <w:t>C</w:t>
      </w:r>
      <w:r>
        <w:rPr>
          <w:bCs/>
        </w:rPr>
        <w:t>А</w:t>
      </w:r>
      <w:r>
        <w:rPr>
          <w:bCs/>
          <w:lang w:val="en-US"/>
        </w:rPr>
        <w:t>D</w:t>
      </w:r>
      <w:r>
        <w:t xml:space="preserve"> в роли второй читки: врач-радиолог сначала самостоятельно интерпретирует компьютерно-томографические изображения, не зная результатов CAD. На следующем этапе он просматривает результаты CAD и решает, указывает ли каждая маркировка на ранее пропущенные узл</w:t>
      </w:r>
      <w:r>
        <w:t xml:space="preserve">ы. </w:t>
      </w:r>
    </w:p>
    <w:p w:rsidR="00A75A8D" w:rsidRDefault="008A6A51">
      <w:pPr>
        <w:pStyle w:val="af3"/>
      </w:pPr>
      <w:r>
        <w:rPr>
          <w:lang w:val="en-US"/>
        </w:rPr>
        <w:t>C</w:t>
      </w:r>
      <w:r>
        <w:t xml:space="preserve">. </w:t>
      </w:r>
      <w:r>
        <w:rPr>
          <w:bCs/>
          <w:lang w:val="en-US"/>
        </w:rPr>
        <w:t>DL</w:t>
      </w:r>
      <w:r>
        <w:rPr>
          <w:bCs/>
        </w:rPr>
        <w:t>-</w:t>
      </w:r>
      <w:r>
        <w:rPr>
          <w:bCs/>
          <w:lang w:val="en-US"/>
        </w:rPr>
        <w:t>C</w:t>
      </w:r>
      <w:r>
        <w:rPr>
          <w:bCs/>
        </w:rPr>
        <w:t>А</w:t>
      </w:r>
      <w:r>
        <w:rPr>
          <w:bCs/>
          <w:lang w:val="en-US"/>
        </w:rPr>
        <w:t>D</w:t>
      </w:r>
      <w:r>
        <w:t xml:space="preserve"> в роли параллельной читки: врач-радиолог интерпретирует изображения компьютерной томографии, в то время как на мониторе одновременно отображаются результаты </w:t>
      </w:r>
      <w:r>
        <w:rPr>
          <w:bCs/>
          <w:lang w:val="en-US"/>
        </w:rPr>
        <w:t>DL</w:t>
      </w:r>
      <w:r>
        <w:rPr>
          <w:bCs/>
        </w:rPr>
        <w:t>-</w:t>
      </w:r>
      <w:r>
        <w:rPr>
          <w:bCs/>
          <w:lang w:val="en-US"/>
        </w:rPr>
        <w:t>C</w:t>
      </w:r>
      <w:r>
        <w:rPr>
          <w:bCs/>
        </w:rPr>
        <w:t>А</w:t>
      </w:r>
      <w:r>
        <w:rPr>
          <w:bCs/>
          <w:lang w:val="en-US"/>
        </w:rPr>
        <w:t>D</w:t>
      </w:r>
      <w:r>
        <w:t xml:space="preserve">. Радиолог может принять или отклонить результаты </w:t>
      </w:r>
      <w:r>
        <w:rPr>
          <w:bCs/>
          <w:lang w:val="en-US"/>
        </w:rPr>
        <w:t>DL</w:t>
      </w:r>
      <w:r>
        <w:rPr>
          <w:bCs/>
        </w:rPr>
        <w:t>-</w:t>
      </w:r>
      <w:r>
        <w:rPr>
          <w:bCs/>
          <w:lang w:val="en-US"/>
        </w:rPr>
        <w:t>C</w:t>
      </w:r>
      <w:r>
        <w:rPr>
          <w:bCs/>
        </w:rPr>
        <w:t>А</w:t>
      </w:r>
      <w:r>
        <w:rPr>
          <w:bCs/>
          <w:lang w:val="en-US"/>
        </w:rPr>
        <w:t>D</w:t>
      </w:r>
      <w:r>
        <w:t xml:space="preserve"> и объединить их со сво</w:t>
      </w:r>
      <w:r>
        <w:t>ими собственными данными без необходимости повторного считывания.</w:t>
      </w:r>
    </w:p>
    <w:p w:rsidR="00A75A8D" w:rsidRDefault="008A6A51">
      <w:pPr>
        <w:pStyle w:val="af3"/>
        <w:rPr>
          <w:color w:val="FF0000"/>
        </w:rPr>
      </w:pPr>
      <w:r>
        <w:t xml:space="preserve">Наше исследование направлено на сравнение чувствительности и времени чтения при использовании </w:t>
      </w:r>
      <w:r>
        <w:rPr>
          <w:bCs/>
          <w:lang w:val="en-US"/>
        </w:rPr>
        <w:t>DL</w:t>
      </w:r>
      <w:r>
        <w:rPr>
          <w:bCs/>
        </w:rPr>
        <w:t>-</w:t>
      </w:r>
      <w:r>
        <w:rPr>
          <w:bCs/>
          <w:lang w:val="en-US"/>
        </w:rPr>
        <w:t>C</w:t>
      </w:r>
      <w:r>
        <w:rPr>
          <w:bCs/>
        </w:rPr>
        <w:t>А</w:t>
      </w:r>
      <w:r>
        <w:rPr>
          <w:bCs/>
          <w:lang w:val="en-US"/>
        </w:rPr>
        <w:t>D</w:t>
      </w:r>
      <w:r>
        <w:t xml:space="preserve"> в качестве первой читки, второй читки и параллельной читки с читкой без применения </w:t>
      </w:r>
      <w:r>
        <w:rPr>
          <w:bCs/>
          <w:lang w:val="en-US"/>
        </w:rPr>
        <w:t>DL</w:t>
      </w:r>
      <w:r>
        <w:rPr>
          <w:bCs/>
        </w:rPr>
        <w:t>-</w:t>
      </w:r>
      <w:r>
        <w:rPr>
          <w:bCs/>
          <w:lang w:val="en-US"/>
        </w:rPr>
        <w:t>C</w:t>
      </w:r>
      <w:r>
        <w:rPr>
          <w:bCs/>
        </w:rPr>
        <w:t>А</w:t>
      </w:r>
      <w:r>
        <w:rPr>
          <w:bCs/>
          <w:lang w:val="en-US"/>
        </w:rPr>
        <w:t>D</w:t>
      </w:r>
      <w:r>
        <w:t xml:space="preserve">, таким образом изучая влияние различных методов интеграции </w:t>
      </w:r>
      <w:r>
        <w:rPr>
          <w:bCs/>
          <w:lang w:val="en-US"/>
        </w:rPr>
        <w:t>DL</w:t>
      </w:r>
      <w:r>
        <w:rPr>
          <w:bCs/>
        </w:rPr>
        <w:t>-</w:t>
      </w:r>
      <w:r>
        <w:rPr>
          <w:bCs/>
          <w:lang w:val="en-US"/>
        </w:rPr>
        <w:t>C</w:t>
      </w:r>
      <w:r>
        <w:rPr>
          <w:bCs/>
        </w:rPr>
        <w:t>А</w:t>
      </w:r>
      <w:r>
        <w:rPr>
          <w:bCs/>
          <w:lang w:val="en-US"/>
        </w:rPr>
        <w:t>D</w:t>
      </w:r>
      <w:r>
        <w:t xml:space="preserve"> в рабочий процесс радиолога с целью ее оптимизации.</w:t>
      </w:r>
    </w:p>
    <w:p w:rsidR="00A75A8D" w:rsidRDefault="008A6A51">
      <w:pPr>
        <w:pStyle w:val="af3"/>
      </w:pPr>
      <w:r>
        <w:t xml:space="preserve">В нашем исследовании мы применили CAD систему на базе искусственного интеллекта IntelliSpace Portal, модуль </w:t>
      </w:r>
      <w:r>
        <w:rPr>
          <w:lang w:val="en-US"/>
        </w:rPr>
        <w:t>Lung</w:t>
      </w:r>
      <w:r>
        <w:t xml:space="preserve"> </w:t>
      </w:r>
      <w:r>
        <w:rPr>
          <w:lang w:val="en-US"/>
        </w:rPr>
        <w:t>Nodule</w:t>
      </w:r>
      <w:r>
        <w:t xml:space="preserve"> </w:t>
      </w:r>
      <w:r>
        <w:rPr>
          <w:lang w:val="en-US"/>
        </w:rPr>
        <w:t>Assesment</w:t>
      </w:r>
      <w:r>
        <w:t xml:space="preserve">. </w:t>
      </w:r>
    </w:p>
    <w:p w:rsidR="00A75A8D" w:rsidRDefault="008A6A51">
      <w:pPr>
        <w:pStyle w:val="af3"/>
      </w:pPr>
      <w:r>
        <w:t>Результаты всех вариантов чтения внесены в базу данных Excel. Время для анализа каждого НДКТ-исследования измерялось с помощью секундомера и записывалось в электронную таблицу.</w:t>
      </w:r>
    </w:p>
    <w:p w:rsidR="00A75A8D" w:rsidRDefault="008A6A51">
      <w:pPr>
        <w:pStyle w:val="af3"/>
      </w:pPr>
      <w:r>
        <w:t>Для определения количества «истинных» узлов 500 низкодозных компьютерно-томогра</w:t>
      </w:r>
      <w:r>
        <w:t xml:space="preserve">фических исследований ретроспективно проанализировано </w:t>
      </w:r>
      <w:r>
        <w:lastRenderedPageBreak/>
        <w:t xml:space="preserve">приглашенным экспертом с 35-летним стажем чтения компьютерно-томографических исследований легких.  </w:t>
      </w:r>
    </w:p>
    <w:p w:rsidR="00A75A8D" w:rsidRDefault="008A6A51">
      <w:pPr>
        <w:pStyle w:val="af3"/>
      </w:pPr>
      <w:r>
        <w:t>При интерпретации НДКТ изображений регистрировались все некальцинированные легочные узлы от 4 мм солид</w:t>
      </w:r>
      <w:r>
        <w:t>ной структуры и от 6 мм суб-солидной структуры. После интерпретации НДКТ изображений врачом-экспертом определено количество истинных узлов, что составило 420.</w:t>
      </w:r>
    </w:p>
    <w:p w:rsidR="00A75A8D" w:rsidRDefault="008A6A51">
      <w:pPr>
        <w:pStyle w:val="af3"/>
      </w:pPr>
      <w:r>
        <w:t xml:space="preserve">В результате интерпретации 500 НДКТ изображений без </w:t>
      </w:r>
      <w:r>
        <w:rPr>
          <w:lang w:val="en-US"/>
        </w:rPr>
        <w:t>DL</w:t>
      </w:r>
      <w:r>
        <w:t>-</w:t>
      </w:r>
      <w:r>
        <w:rPr>
          <w:lang w:val="en-US"/>
        </w:rPr>
        <w:t>CAD</w:t>
      </w:r>
      <w:r>
        <w:t xml:space="preserve"> выявлено 437 некальцинированных легочн</w:t>
      </w:r>
      <w:r>
        <w:t xml:space="preserve">ых узла размерами от 4 мм и больше. При интерпретации низкодозных компьютерно-томографических изображений с помощью </w:t>
      </w:r>
      <w:r>
        <w:rPr>
          <w:bCs/>
          <w:lang w:val="en-US"/>
        </w:rPr>
        <w:t>DL</w:t>
      </w:r>
      <w:r>
        <w:rPr>
          <w:bCs/>
        </w:rPr>
        <w:t>-</w:t>
      </w:r>
      <w:r>
        <w:rPr>
          <w:bCs/>
          <w:lang w:val="en-US"/>
        </w:rPr>
        <w:t>C</w:t>
      </w:r>
      <w:r>
        <w:rPr>
          <w:bCs/>
        </w:rPr>
        <w:t>А</w:t>
      </w:r>
      <w:r>
        <w:rPr>
          <w:bCs/>
          <w:lang w:val="en-US"/>
        </w:rPr>
        <w:t>D</w:t>
      </w:r>
      <w:r>
        <w:t xml:space="preserve"> в роли первичной читки обнаружено 1018 легочных узлов, в роли второго чтения зарегистрировано 463 легочных узла, а при интерпретации </w:t>
      </w:r>
      <w:r>
        <w:t xml:space="preserve">с помощью </w:t>
      </w:r>
      <w:r>
        <w:rPr>
          <w:bCs/>
          <w:lang w:val="en-US"/>
        </w:rPr>
        <w:t>DL</w:t>
      </w:r>
      <w:r>
        <w:rPr>
          <w:bCs/>
        </w:rPr>
        <w:t>-</w:t>
      </w:r>
      <w:r>
        <w:rPr>
          <w:bCs/>
          <w:lang w:val="en-US"/>
        </w:rPr>
        <w:t>C</w:t>
      </w:r>
      <w:r>
        <w:rPr>
          <w:bCs/>
        </w:rPr>
        <w:t>А</w:t>
      </w:r>
      <w:r>
        <w:rPr>
          <w:bCs/>
          <w:lang w:val="en-US"/>
        </w:rPr>
        <w:t>D</w:t>
      </w:r>
      <w:r>
        <w:t xml:space="preserve"> в роли параллельного чтения зарегистрировано 451 легочных узла.</w:t>
      </w:r>
    </w:p>
    <w:p w:rsidR="00A75A8D" w:rsidRDefault="008A6A51">
      <w:pPr>
        <w:pStyle w:val="af3"/>
      </w:pPr>
      <w:r>
        <w:t xml:space="preserve">При сопоставлении полученных данных выявлено 17 ложноположительных результата при чтении изображений без </w:t>
      </w:r>
      <w:r>
        <w:rPr>
          <w:bCs/>
          <w:lang w:val="en-US"/>
        </w:rPr>
        <w:t>DL</w:t>
      </w:r>
      <w:r>
        <w:rPr>
          <w:bCs/>
        </w:rPr>
        <w:t>-</w:t>
      </w:r>
      <w:r>
        <w:rPr>
          <w:bCs/>
          <w:lang w:val="en-US"/>
        </w:rPr>
        <w:t>C</w:t>
      </w:r>
      <w:r>
        <w:rPr>
          <w:bCs/>
        </w:rPr>
        <w:t>А</w:t>
      </w:r>
      <w:r>
        <w:rPr>
          <w:bCs/>
          <w:lang w:val="en-US"/>
        </w:rPr>
        <w:t>D</w:t>
      </w:r>
      <w:r>
        <w:t xml:space="preserve"> системы, 698 ложноположительных результата при использовании </w:t>
      </w:r>
      <w:r>
        <w:rPr>
          <w:bCs/>
          <w:lang w:val="en-US"/>
        </w:rPr>
        <w:t>DL</w:t>
      </w:r>
      <w:r>
        <w:rPr>
          <w:bCs/>
        </w:rPr>
        <w:t>-</w:t>
      </w:r>
      <w:r>
        <w:rPr>
          <w:bCs/>
          <w:lang w:val="en-US"/>
        </w:rPr>
        <w:t>C</w:t>
      </w:r>
      <w:r>
        <w:rPr>
          <w:bCs/>
        </w:rPr>
        <w:t>А</w:t>
      </w:r>
      <w:r>
        <w:rPr>
          <w:bCs/>
          <w:lang w:val="en-US"/>
        </w:rPr>
        <w:t>D</w:t>
      </w:r>
      <w:r>
        <w:t xml:space="preserve"> системы в роли первой читки, 43 ложно-положительных результата при применении </w:t>
      </w:r>
      <w:r>
        <w:rPr>
          <w:bCs/>
          <w:lang w:val="en-US"/>
        </w:rPr>
        <w:t>DL</w:t>
      </w:r>
      <w:r>
        <w:rPr>
          <w:bCs/>
        </w:rPr>
        <w:t>-</w:t>
      </w:r>
      <w:r>
        <w:rPr>
          <w:bCs/>
          <w:lang w:val="en-US"/>
        </w:rPr>
        <w:t>C</w:t>
      </w:r>
      <w:r>
        <w:rPr>
          <w:bCs/>
        </w:rPr>
        <w:t>А</w:t>
      </w:r>
      <w:r>
        <w:rPr>
          <w:bCs/>
          <w:lang w:val="en-US"/>
        </w:rPr>
        <w:t>D</w:t>
      </w:r>
      <w:r>
        <w:t xml:space="preserve"> системы в роли вторичной читки и 41 случай при параллельной читке. </w:t>
      </w:r>
    </w:p>
    <w:p w:rsidR="00A75A8D" w:rsidRDefault="008A6A51">
      <w:pPr>
        <w:pStyle w:val="af3"/>
      </w:pPr>
      <w:r>
        <w:t>Таким образом, на основании полученных данных рассчитана чувствительность к определению легочных у</w:t>
      </w:r>
      <w:r>
        <w:t xml:space="preserve">злов на низкодозных компьютерно-томографических изображениях в зависимости от варианта применения </w:t>
      </w:r>
      <w:r>
        <w:rPr>
          <w:bCs/>
          <w:lang w:val="en-US"/>
        </w:rPr>
        <w:t>DL</w:t>
      </w:r>
      <w:r>
        <w:rPr>
          <w:bCs/>
        </w:rPr>
        <w:t>-</w:t>
      </w:r>
      <w:r>
        <w:rPr>
          <w:bCs/>
          <w:lang w:val="en-US"/>
        </w:rPr>
        <w:t>C</w:t>
      </w:r>
      <w:r>
        <w:rPr>
          <w:bCs/>
        </w:rPr>
        <w:t>А</w:t>
      </w:r>
      <w:r>
        <w:rPr>
          <w:bCs/>
          <w:lang w:val="en-US"/>
        </w:rPr>
        <w:t>D</w:t>
      </w:r>
      <w:r>
        <w:t xml:space="preserve"> системы (таблица 15).</w:t>
      </w:r>
    </w:p>
    <w:p w:rsidR="00A75A8D" w:rsidRDefault="00A75A8D">
      <w:pPr>
        <w:pStyle w:val="af3"/>
      </w:pPr>
    </w:p>
    <w:p w:rsidR="00A75A8D" w:rsidRDefault="008A6A51">
      <w:pPr>
        <w:pStyle w:val="af3"/>
        <w:ind w:hanging="34"/>
        <w:rPr>
          <w:bCs/>
        </w:rPr>
      </w:pPr>
      <w:r>
        <w:t xml:space="preserve">Таблица 15 - Диагностические характеристики вариантов применения </w:t>
      </w:r>
      <w:r>
        <w:rPr>
          <w:bCs/>
          <w:lang w:val="en-US"/>
        </w:rPr>
        <w:t>DL</w:t>
      </w:r>
      <w:r>
        <w:rPr>
          <w:bCs/>
        </w:rPr>
        <w:t>-</w:t>
      </w:r>
      <w:r>
        <w:rPr>
          <w:bCs/>
          <w:lang w:val="en-US"/>
        </w:rPr>
        <w:t>C</w:t>
      </w:r>
      <w:r>
        <w:rPr>
          <w:bCs/>
        </w:rPr>
        <w:t>А</w:t>
      </w:r>
      <w:r>
        <w:rPr>
          <w:bCs/>
          <w:lang w:val="en-US"/>
        </w:rPr>
        <w:t>D</w:t>
      </w:r>
    </w:p>
    <w:p w:rsidR="00A75A8D" w:rsidRDefault="00A75A8D">
      <w:pPr>
        <w:pStyle w:val="af3"/>
      </w:pPr>
    </w:p>
    <w:tbl>
      <w:tblPr>
        <w:tblW w:w="9639" w:type="dxa"/>
        <w:tblInd w:w="-5" w:type="dxa"/>
        <w:tblLook w:val="04A0" w:firstRow="1" w:lastRow="0" w:firstColumn="1" w:lastColumn="0" w:noHBand="0" w:noVBand="1"/>
      </w:tblPr>
      <w:tblGrid>
        <w:gridCol w:w="3291"/>
        <w:gridCol w:w="1617"/>
        <w:gridCol w:w="2353"/>
        <w:gridCol w:w="2378"/>
      </w:tblGrid>
      <w:tr w:rsidR="00A75A8D">
        <w:trPr>
          <w:trHeight w:val="1140"/>
        </w:trPr>
        <w:tc>
          <w:tcPr>
            <w:tcW w:w="3392" w:type="dxa"/>
            <w:tcBorders>
              <w:top w:val="single" w:sz="4" w:space="0" w:color="auto"/>
              <w:left w:val="single" w:sz="4" w:space="0" w:color="auto"/>
              <w:bottom w:val="single" w:sz="4" w:space="0" w:color="auto"/>
              <w:right w:val="single" w:sz="4" w:space="0" w:color="auto"/>
            </w:tcBorders>
            <w:shd w:val="clear" w:color="auto" w:fill="auto"/>
            <w:vAlign w:val="center"/>
          </w:tcPr>
          <w:p w:rsidR="00A75A8D" w:rsidRDefault="008A6A51">
            <w:pPr>
              <w:spacing w:after="0" w:line="240" w:lineRule="auto"/>
              <w:rPr>
                <w:rFonts w:ascii="Times New Roman" w:eastAsia="Times New Roman" w:hAnsi="Times New Roman" w:cs="Times New Roman"/>
                <w:color w:val="000000"/>
                <w:sz w:val="28"/>
                <w:szCs w:val="26"/>
                <w:lang w:eastAsia="ru-RU"/>
              </w:rPr>
            </w:pPr>
            <w:r>
              <w:rPr>
                <w:rFonts w:ascii="Times New Roman" w:eastAsia="Times New Roman" w:hAnsi="Times New Roman" w:cs="Times New Roman"/>
                <w:color w:val="000000"/>
                <w:sz w:val="28"/>
                <w:szCs w:val="26"/>
                <w:lang w:eastAsia="ru-RU"/>
              </w:rPr>
              <w:t>Варианты интерпретации</w:t>
            </w:r>
          </w:p>
        </w:tc>
        <w:tc>
          <w:tcPr>
            <w:tcW w:w="1617" w:type="dxa"/>
            <w:tcBorders>
              <w:top w:val="single" w:sz="8" w:space="0" w:color="auto"/>
              <w:left w:val="nil"/>
              <w:bottom w:val="single" w:sz="8" w:space="0" w:color="auto"/>
              <w:right w:val="single" w:sz="8"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8"/>
                <w:szCs w:val="26"/>
                <w:lang w:eastAsia="ru-RU"/>
              </w:rPr>
            </w:pPr>
            <w:r>
              <w:rPr>
                <w:rFonts w:ascii="Times New Roman" w:eastAsia="Times New Roman" w:hAnsi="Times New Roman" w:cs="Times New Roman"/>
                <w:color w:val="000000" w:themeColor="text1"/>
                <w:sz w:val="28"/>
                <w:szCs w:val="26"/>
                <w:lang w:eastAsia="ru-RU"/>
              </w:rPr>
              <w:t>Количество узлов</w:t>
            </w:r>
          </w:p>
        </w:tc>
        <w:tc>
          <w:tcPr>
            <w:tcW w:w="2372" w:type="dxa"/>
            <w:tcBorders>
              <w:top w:val="single" w:sz="4" w:space="0" w:color="auto"/>
              <w:left w:val="single" w:sz="4" w:space="0" w:color="auto"/>
              <w:bottom w:val="single" w:sz="4" w:space="0" w:color="auto"/>
              <w:right w:val="single" w:sz="4"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8"/>
                <w:szCs w:val="26"/>
                <w:lang w:eastAsia="ru-RU"/>
              </w:rPr>
            </w:pPr>
            <w:r>
              <w:rPr>
                <w:rFonts w:ascii="Times New Roman" w:eastAsia="Times New Roman" w:hAnsi="Times New Roman" w:cs="Times New Roman"/>
                <w:color w:val="000000"/>
                <w:sz w:val="28"/>
                <w:szCs w:val="26"/>
                <w:lang w:eastAsia="ru-RU"/>
              </w:rPr>
              <w:t>Ложно-положительные результаты           абс (%)</w:t>
            </w:r>
          </w:p>
        </w:tc>
        <w:tc>
          <w:tcPr>
            <w:tcW w:w="2258" w:type="dxa"/>
            <w:tcBorders>
              <w:top w:val="single" w:sz="4" w:space="0" w:color="auto"/>
              <w:left w:val="nil"/>
              <w:bottom w:val="single" w:sz="4" w:space="0" w:color="auto"/>
              <w:right w:val="single" w:sz="4"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8"/>
                <w:szCs w:val="26"/>
                <w:lang w:eastAsia="ru-RU"/>
              </w:rPr>
            </w:pPr>
            <w:r>
              <w:rPr>
                <w:rFonts w:ascii="Times New Roman" w:eastAsia="Times New Roman" w:hAnsi="Times New Roman" w:cs="Times New Roman"/>
                <w:color w:val="000000"/>
                <w:sz w:val="28"/>
                <w:szCs w:val="26"/>
                <w:lang w:eastAsia="ru-RU"/>
              </w:rPr>
              <w:t>Чувствительность    (95% ДИ)</w:t>
            </w:r>
          </w:p>
        </w:tc>
      </w:tr>
      <w:tr w:rsidR="00A75A8D">
        <w:trPr>
          <w:trHeight w:val="675"/>
        </w:trPr>
        <w:tc>
          <w:tcPr>
            <w:tcW w:w="3392" w:type="dxa"/>
            <w:tcBorders>
              <w:top w:val="nil"/>
              <w:left w:val="single" w:sz="4" w:space="0" w:color="auto"/>
              <w:bottom w:val="single" w:sz="4" w:space="0" w:color="auto"/>
              <w:right w:val="single" w:sz="4" w:space="0" w:color="auto"/>
            </w:tcBorders>
            <w:shd w:val="clear" w:color="auto" w:fill="auto"/>
            <w:vAlign w:val="center"/>
          </w:tcPr>
          <w:p w:rsidR="00A75A8D" w:rsidRDefault="008A6A51">
            <w:pPr>
              <w:spacing w:after="0" w:line="240" w:lineRule="auto"/>
              <w:rPr>
                <w:rFonts w:ascii="Times New Roman" w:eastAsia="Times New Roman" w:hAnsi="Times New Roman" w:cs="Times New Roman"/>
                <w:color w:val="000000"/>
                <w:sz w:val="28"/>
                <w:szCs w:val="26"/>
                <w:lang w:eastAsia="ru-RU"/>
              </w:rPr>
            </w:pPr>
            <w:r>
              <w:rPr>
                <w:rFonts w:ascii="Times New Roman" w:eastAsia="Times New Roman" w:hAnsi="Times New Roman" w:cs="Times New Roman"/>
                <w:color w:val="000000"/>
                <w:sz w:val="28"/>
                <w:szCs w:val="26"/>
                <w:lang w:eastAsia="ru-RU"/>
              </w:rPr>
              <w:t xml:space="preserve">Без </w:t>
            </w:r>
            <w:r>
              <w:rPr>
                <w:rFonts w:ascii="Times New Roman" w:hAnsi="Times New Roman" w:cs="Times New Roman"/>
                <w:bCs/>
                <w:sz w:val="28"/>
                <w:szCs w:val="28"/>
                <w:lang w:val="en-US"/>
              </w:rPr>
              <w:t>DL</w:t>
            </w:r>
            <w:r>
              <w:rPr>
                <w:rFonts w:ascii="Times New Roman" w:hAnsi="Times New Roman" w:cs="Times New Roman"/>
                <w:bCs/>
                <w:sz w:val="28"/>
                <w:szCs w:val="28"/>
              </w:rPr>
              <w:t>-</w:t>
            </w:r>
            <w:r>
              <w:rPr>
                <w:rFonts w:ascii="Times New Roman" w:hAnsi="Times New Roman" w:cs="Times New Roman"/>
                <w:bCs/>
                <w:sz w:val="28"/>
                <w:szCs w:val="28"/>
                <w:lang w:val="en-US"/>
              </w:rPr>
              <w:t>C</w:t>
            </w:r>
            <w:r>
              <w:rPr>
                <w:rFonts w:ascii="Times New Roman" w:hAnsi="Times New Roman" w:cs="Times New Roman"/>
                <w:bCs/>
                <w:sz w:val="28"/>
                <w:szCs w:val="28"/>
              </w:rPr>
              <w:t>А</w:t>
            </w:r>
            <w:r>
              <w:rPr>
                <w:rFonts w:ascii="Times New Roman" w:hAnsi="Times New Roman" w:cs="Times New Roman"/>
                <w:bCs/>
                <w:sz w:val="28"/>
                <w:szCs w:val="28"/>
                <w:lang w:val="en-US"/>
              </w:rPr>
              <w:t>D</w:t>
            </w:r>
            <w:r>
              <w:rPr>
                <w:rFonts w:ascii="Times New Roman" w:eastAsia="Times New Roman" w:hAnsi="Times New Roman" w:cs="Times New Roman"/>
                <w:color w:val="000000"/>
                <w:sz w:val="28"/>
                <w:szCs w:val="26"/>
                <w:lang w:eastAsia="ru-RU"/>
              </w:rPr>
              <w:t xml:space="preserve"> </w:t>
            </w:r>
          </w:p>
        </w:tc>
        <w:tc>
          <w:tcPr>
            <w:tcW w:w="1617" w:type="dxa"/>
            <w:tcBorders>
              <w:top w:val="nil"/>
              <w:left w:val="single" w:sz="8" w:space="0" w:color="auto"/>
              <w:bottom w:val="single" w:sz="8" w:space="0" w:color="auto"/>
              <w:right w:val="single" w:sz="8" w:space="0" w:color="auto"/>
            </w:tcBorders>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6"/>
                <w:lang w:val="en-US" w:eastAsia="ru-RU"/>
              </w:rPr>
            </w:pPr>
            <w:r>
              <w:rPr>
                <w:rFonts w:ascii="Times New Roman" w:eastAsia="Times New Roman" w:hAnsi="Times New Roman" w:cs="Times New Roman"/>
                <w:color w:val="000000" w:themeColor="text1"/>
                <w:sz w:val="28"/>
                <w:szCs w:val="26"/>
                <w:lang w:eastAsia="ru-RU"/>
              </w:rPr>
              <w:t>4</w:t>
            </w:r>
            <w:r>
              <w:rPr>
                <w:rFonts w:ascii="Times New Roman" w:eastAsia="Times New Roman" w:hAnsi="Times New Roman" w:cs="Times New Roman"/>
                <w:color w:val="000000" w:themeColor="text1"/>
                <w:sz w:val="28"/>
                <w:szCs w:val="26"/>
                <w:lang w:val="en-US" w:eastAsia="ru-RU"/>
              </w:rPr>
              <w:t>59</w:t>
            </w:r>
          </w:p>
        </w:tc>
        <w:tc>
          <w:tcPr>
            <w:tcW w:w="2372" w:type="dxa"/>
            <w:tcBorders>
              <w:top w:val="nil"/>
              <w:left w:val="single" w:sz="4" w:space="0" w:color="auto"/>
              <w:bottom w:val="single" w:sz="4" w:space="0" w:color="auto"/>
              <w:right w:val="single" w:sz="4"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8"/>
                <w:szCs w:val="26"/>
                <w:lang w:eastAsia="ru-RU"/>
              </w:rPr>
            </w:pPr>
            <w:r>
              <w:rPr>
                <w:rFonts w:ascii="Times New Roman" w:eastAsia="Times New Roman" w:hAnsi="Times New Roman" w:cs="Times New Roman"/>
                <w:color w:val="000000"/>
                <w:sz w:val="28"/>
                <w:szCs w:val="26"/>
                <w:lang w:eastAsia="ru-RU"/>
              </w:rPr>
              <w:t>17 (3,9%)</w:t>
            </w:r>
          </w:p>
        </w:tc>
        <w:tc>
          <w:tcPr>
            <w:tcW w:w="2258" w:type="dxa"/>
            <w:tcBorders>
              <w:top w:val="nil"/>
              <w:left w:val="nil"/>
              <w:bottom w:val="single" w:sz="4" w:space="0" w:color="auto"/>
              <w:right w:val="single" w:sz="4" w:space="0" w:color="auto"/>
            </w:tcBorders>
            <w:shd w:val="clear" w:color="auto" w:fill="auto"/>
            <w:vAlign w:val="center"/>
          </w:tcPr>
          <w:p w:rsidR="00A75A8D" w:rsidRDefault="008A6A51">
            <w:pPr>
              <w:spacing w:after="0" w:line="240" w:lineRule="auto"/>
              <w:jc w:val="center"/>
              <w:rPr>
                <w:rFonts w:ascii="Times New Roman" w:eastAsia="Times New Roman" w:hAnsi="Times New Roman"/>
                <w:color w:val="000000"/>
                <w:sz w:val="28"/>
                <w:szCs w:val="26"/>
                <w:lang w:eastAsia="ru-RU"/>
              </w:rPr>
            </w:pPr>
            <w:r>
              <w:rPr>
                <w:rFonts w:ascii="Times New Roman" w:eastAsia="Times New Roman" w:hAnsi="Times New Roman"/>
                <w:color w:val="000000"/>
                <w:sz w:val="28"/>
                <w:szCs w:val="26"/>
                <w:lang w:eastAsia="ru-RU"/>
              </w:rPr>
              <w:t xml:space="preserve">91,5% </w:t>
            </w:r>
          </w:p>
          <w:p w:rsidR="00A75A8D" w:rsidRDefault="008A6A51">
            <w:pPr>
              <w:spacing w:after="0" w:line="240" w:lineRule="auto"/>
              <w:jc w:val="center"/>
              <w:rPr>
                <w:rFonts w:ascii="Times New Roman" w:eastAsia="Times New Roman" w:hAnsi="Times New Roman" w:cs="Times New Roman"/>
                <w:color w:val="000000"/>
                <w:sz w:val="28"/>
                <w:szCs w:val="26"/>
                <w:lang w:eastAsia="ru-RU"/>
              </w:rPr>
            </w:pPr>
            <w:r>
              <w:rPr>
                <w:rFonts w:ascii="Times New Roman" w:eastAsia="Times New Roman" w:hAnsi="Times New Roman"/>
                <w:color w:val="000000"/>
                <w:sz w:val="28"/>
                <w:szCs w:val="26"/>
                <w:lang w:eastAsia="ru-RU"/>
              </w:rPr>
              <w:t>(88,3 - 93,7)</w:t>
            </w:r>
          </w:p>
        </w:tc>
      </w:tr>
      <w:tr w:rsidR="00A75A8D">
        <w:trPr>
          <w:trHeight w:val="658"/>
        </w:trPr>
        <w:tc>
          <w:tcPr>
            <w:tcW w:w="3392" w:type="dxa"/>
            <w:tcBorders>
              <w:top w:val="nil"/>
              <w:left w:val="single" w:sz="4" w:space="0" w:color="auto"/>
              <w:bottom w:val="single" w:sz="4" w:space="0" w:color="auto"/>
              <w:right w:val="single" w:sz="4" w:space="0" w:color="auto"/>
            </w:tcBorders>
            <w:shd w:val="clear" w:color="auto" w:fill="auto"/>
            <w:vAlign w:val="center"/>
          </w:tcPr>
          <w:p w:rsidR="00A75A8D" w:rsidRDefault="008A6A51">
            <w:pPr>
              <w:spacing w:after="0" w:line="240" w:lineRule="auto"/>
              <w:rPr>
                <w:rFonts w:ascii="Times New Roman" w:eastAsia="Times New Roman" w:hAnsi="Times New Roman" w:cs="Times New Roman"/>
                <w:color w:val="000000"/>
                <w:sz w:val="28"/>
                <w:szCs w:val="26"/>
                <w:lang w:eastAsia="ru-RU"/>
              </w:rPr>
            </w:pPr>
            <w:r>
              <w:rPr>
                <w:rFonts w:ascii="Times New Roman" w:hAnsi="Times New Roman" w:cs="Times New Roman"/>
                <w:bCs/>
                <w:sz w:val="28"/>
                <w:szCs w:val="28"/>
                <w:lang w:val="en-US"/>
              </w:rPr>
              <w:t>DL</w:t>
            </w:r>
            <w:r>
              <w:rPr>
                <w:rFonts w:ascii="Times New Roman" w:hAnsi="Times New Roman" w:cs="Times New Roman"/>
                <w:bCs/>
                <w:sz w:val="28"/>
                <w:szCs w:val="28"/>
              </w:rPr>
              <w:t>-</w:t>
            </w:r>
            <w:r>
              <w:rPr>
                <w:rFonts w:ascii="Times New Roman" w:hAnsi="Times New Roman" w:cs="Times New Roman"/>
                <w:bCs/>
                <w:sz w:val="28"/>
                <w:szCs w:val="28"/>
                <w:lang w:val="en-US"/>
              </w:rPr>
              <w:t>C</w:t>
            </w:r>
            <w:r>
              <w:rPr>
                <w:rFonts w:ascii="Times New Roman" w:hAnsi="Times New Roman" w:cs="Times New Roman"/>
                <w:bCs/>
                <w:sz w:val="28"/>
                <w:szCs w:val="28"/>
              </w:rPr>
              <w:t>А</w:t>
            </w:r>
            <w:r>
              <w:rPr>
                <w:rFonts w:ascii="Times New Roman" w:hAnsi="Times New Roman" w:cs="Times New Roman"/>
                <w:bCs/>
                <w:sz w:val="28"/>
                <w:szCs w:val="28"/>
                <w:lang w:val="en-US"/>
              </w:rPr>
              <w:t>D</w:t>
            </w:r>
            <w:r>
              <w:rPr>
                <w:rFonts w:ascii="Times New Roman" w:eastAsia="Times New Roman" w:hAnsi="Times New Roman" w:cs="Times New Roman"/>
                <w:color w:val="000000"/>
                <w:sz w:val="28"/>
                <w:szCs w:val="26"/>
                <w:lang w:eastAsia="ru-RU"/>
              </w:rPr>
              <w:t xml:space="preserve"> - первая читка</w:t>
            </w:r>
          </w:p>
        </w:tc>
        <w:tc>
          <w:tcPr>
            <w:tcW w:w="1617" w:type="dxa"/>
            <w:tcBorders>
              <w:top w:val="nil"/>
              <w:left w:val="single" w:sz="8" w:space="0" w:color="auto"/>
              <w:bottom w:val="single" w:sz="8" w:space="0" w:color="auto"/>
              <w:right w:val="single" w:sz="8" w:space="0" w:color="auto"/>
            </w:tcBorders>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6"/>
                <w:lang w:eastAsia="ru-RU"/>
              </w:rPr>
            </w:pPr>
            <w:r>
              <w:rPr>
                <w:rFonts w:ascii="Times New Roman" w:eastAsia="Times New Roman" w:hAnsi="Times New Roman" w:cs="Times New Roman"/>
                <w:color w:val="000000" w:themeColor="text1"/>
                <w:sz w:val="28"/>
                <w:szCs w:val="26"/>
                <w:lang w:eastAsia="ru-RU"/>
              </w:rPr>
              <w:t>1018</w:t>
            </w:r>
          </w:p>
        </w:tc>
        <w:tc>
          <w:tcPr>
            <w:tcW w:w="2372" w:type="dxa"/>
            <w:tcBorders>
              <w:top w:val="nil"/>
              <w:left w:val="single" w:sz="4" w:space="0" w:color="auto"/>
              <w:bottom w:val="single" w:sz="4" w:space="0" w:color="auto"/>
              <w:right w:val="single" w:sz="4"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8"/>
                <w:szCs w:val="26"/>
                <w:lang w:eastAsia="ru-RU"/>
              </w:rPr>
            </w:pPr>
            <w:r>
              <w:rPr>
                <w:rFonts w:ascii="Times New Roman" w:eastAsia="Times New Roman" w:hAnsi="Times New Roman" w:cs="Times New Roman"/>
                <w:color w:val="000000"/>
                <w:sz w:val="28"/>
                <w:szCs w:val="26"/>
                <w:lang w:eastAsia="ru-RU"/>
              </w:rPr>
              <w:t>698 (68,5%)</w:t>
            </w:r>
          </w:p>
        </w:tc>
        <w:tc>
          <w:tcPr>
            <w:tcW w:w="2258" w:type="dxa"/>
            <w:tcBorders>
              <w:top w:val="nil"/>
              <w:left w:val="nil"/>
              <w:bottom w:val="single" w:sz="4" w:space="0" w:color="auto"/>
              <w:right w:val="single" w:sz="4" w:space="0" w:color="auto"/>
            </w:tcBorders>
            <w:shd w:val="clear" w:color="000000" w:fill="FFFFFF"/>
            <w:vAlign w:val="center"/>
          </w:tcPr>
          <w:p w:rsidR="00A75A8D" w:rsidRDefault="008A6A51">
            <w:pPr>
              <w:spacing w:after="0" w:line="240" w:lineRule="auto"/>
              <w:jc w:val="center"/>
              <w:rPr>
                <w:rFonts w:ascii="Times New Roman" w:eastAsia="Times New Roman" w:hAnsi="Times New Roman" w:cs="Times New Roman"/>
                <w:color w:val="000000"/>
                <w:sz w:val="28"/>
                <w:szCs w:val="26"/>
                <w:lang w:eastAsia="ru-RU"/>
              </w:rPr>
            </w:pPr>
            <w:r>
              <w:rPr>
                <w:rFonts w:ascii="Times New Roman" w:eastAsia="Times New Roman" w:hAnsi="Times New Roman" w:cs="Times New Roman"/>
                <w:color w:val="000000"/>
                <w:sz w:val="28"/>
                <w:szCs w:val="26"/>
                <w:lang w:eastAsia="ru-RU"/>
              </w:rPr>
              <w:t>37.5%                           (34.7 - 40.4)</w:t>
            </w:r>
          </w:p>
        </w:tc>
      </w:tr>
      <w:tr w:rsidR="00A75A8D">
        <w:trPr>
          <w:trHeight w:val="625"/>
        </w:trPr>
        <w:tc>
          <w:tcPr>
            <w:tcW w:w="3392" w:type="dxa"/>
            <w:tcBorders>
              <w:top w:val="nil"/>
              <w:left w:val="single" w:sz="4" w:space="0" w:color="auto"/>
              <w:bottom w:val="single" w:sz="4" w:space="0" w:color="auto"/>
              <w:right w:val="single" w:sz="4" w:space="0" w:color="auto"/>
            </w:tcBorders>
            <w:shd w:val="clear" w:color="auto" w:fill="auto"/>
            <w:vAlign w:val="center"/>
          </w:tcPr>
          <w:p w:rsidR="00A75A8D" w:rsidRDefault="008A6A51">
            <w:pPr>
              <w:spacing w:after="0" w:line="240" w:lineRule="auto"/>
              <w:rPr>
                <w:rFonts w:ascii="Times New Roman" w:eastAsia="Times New Roman" w:hAnsi="Times New Roman" w:cs="Times New Roman"/>
                <w:color w:val="000000"/>
                <w:sz w:val="28"/>
                <w:szCs w:val="26"/>
                <w:lang w:eastAsia="ru-RU"/>
              </w:rPr>
            </w:pPr>
            <w:r>
              <w:rPr>
                <w:rFonts w:ascii="Times New Roman" w:hAnsi="Times New Roman" w:cs="Times New Roman"/>
                <w:bCs/>
                <w:sz w:val="28"/>
                <w:szCs w:val="28"/>
                <w:lang w:val="en-US"/>
              </w:rPr>
              <w:t>DL</w:t>
            </w:r>
            <w:r>
              <w:rPr>
                <w:rFonts w:ascii="Times New Roman" w:hAnsi="Times New Roman" w:cs="Times New Roman"/>
                <w:bCs/>
                <w:sz w:val="28"/>
                <w:szCs w:val="28"/>
              </w:rPr>
              <w:t>-</w:t>
            </w:r>
            <w:r>
              <w:rPr>
                <w:rFonts w:ascii="Times New Roman" w:hAnsi="Times New Roman" w:cs="Times New Roman"/>
                <w:bCs/>
                <w:sz w:val="28"/>
                <w:szCs w:val="28"/>
                <w:lang w:val="en-US"/>
              </w:rPr>
              <w:t>C</w:t>
            </w:r>
            <w:r>
              <w:rPr>
                <w:rFonts w:ascii="Times New Roman" w:hAnsi="Times New Roman" w:cs="Times New Roman"/>
                <w:bCs/>
                <w:sz w:val="28"/>
                <w:szCs w:val="28"/>
              </w:rPr>
              <w:t>А</w:t>
            </w:r>
            <w:r>
              <w:rPr>
                <w:rFonts w:ascii="Times New Roman" w:hAnsi="Times New Roman" w:cs="Times New Roman"/>
                <w:bCs/>
                <w:sz w:val="28"/>
                <w:szCs w:val="28"/>
                <w:lang w:val="en-US"/>
              </w:rPr>
              <w:t>D</w:t>
            </w:r>
            <w:r>
              <w:rPr>
                <w:rFonts w:ascii="Times New Roman" w:eastAsia="Times New Roman" w:hAnsi="Times New Roman" w:cs="Times New Roman"/>
                <w:color w:val="000000"/>
                <w:sz w:val="28"/>
                <w:szCs w:val="26"/>
                <w:lang w:eastAsia="ru-RU"/>
              </w:rPr>
              <w:t xml:space="preserve"> - вторая читка</w:t>
            </w:r>
          </w:p>
        </w:tc>
        <w:tc>
          <w:tcPr>
            <w:tcW w:w="1617" w:type="dxa"/>
            <w:tcBorders>
              <w:top w:val="nil"/>
              <w:left w:val="single" w:sz="8" w:space="0" w:color="auto"/>
              <w:bottom w:val="single" w:sz="8" w:space="0" w:color="auto"/>
              <w:right w:val="single" w:sz="8" w:space="0" w:color="auto"/>
            </w:tcBorders>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6"/>
                <w:lang w:eastAsia="ru-RU"/>
              </w:rPr>
            </w:pPr>
            <w:r>
              <w:rPr>
                <w:rFonts w:ascii="Times New Roman" w:eastAsia="Times New Roman" w:hAnsi="Times New Roman" w:cs="Times New Roman"/>
                <w:color w:val="000000" w:themeColor="text1"/>
                <w:sz w:val="28"/>
                <w:szCs w:val="26"/>
                <w:lang w:eastAsia="ru-RU"/>
              </w:rPr>
              <w:t>461</w:t>
            </w:r>
          </w:p>
        </w:tc>
        <w:tc>
          <w:tcPr>
            <w:tcW w:w="2372" w:type="dxa"/>
            <w:tcBorders>
              <w:top w:val="nil"/>
              <w:left w:val="single" w:sz="4" w:space="0" w:color="auto"/>
              <w:bottom w:val="single" w:sz="4" w:space="0" w:color="auto"/>
              <w:right w:val="single" w:sz="4"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8"/>
                <w:szCs w:val="26"/>
                <w:lang w:eastAsia="ru-RU"/>
              </w:rPr>
            </w:pPr>
            <w:r>
              <w:rPr>
                <w:rFonts w:ascii="Times New Roman" w:eastAsia="Times New Roman" w:hAnsi="Times New Roman" w:cs="Times New Roman"/>
                <w:color w:val="000000"/>
                <w:sz w:val="28"/>
                <w:szCs w:val="26"/>
                <w:lang w:eastAsia="ru-RU"/>
              </w:rPr>
              <w:t>43 (9,3%)</w:t>
            </w:r>
          </w:p>
        </w:tc>
        <w:tc>
          <w:tcPr>
            <w:tcW w:w="2258" w:type="dxa"/>
            <w:tcBorders>
              <w:top w:val="nil"/>
              <w:left w:val="nil"/>
              <w:bottom w:val="single" w:sz="4" w:space="0" w:color="auto"/>
              <w:right w:val="single" w:sz="4" w:space="0" w:color="auto"/>
            </w:tcBorders>
            <w:shd w:val="clear" w:color="000000" w:fill="FFFFFF"/>
            <w:vAlign w:val="center"/>
          </w:tcPr>
          <w:p w:rsidR="00A75A8D" w:rsidRDefault="008A6A51">
            <w:pPr>
              <w:spacing w:after="0" w:line="240" w:lineRule="auto"/>
              <w:jc w:val="center"/>
              <w:rPr>
                <w:rFonts w:ascii="Times New Roman" w:eastAsia="Times New Roman" w:hAnsi="Times New Roman" w:cs="Times New Roman"/>
                <w:color w:val="000000"/>
                <w:sz w:val="28"/>
                <w:szCs w:val="26"/>
                <w:lang w:eastAsia="ru-RU"/>
              </w:rPr>
            </w:pPr>
            <w:r>
              <w:rPr>
                <w:rFonts w:ascii="Times New Roman" w:eastAsia="Times New Roman" w:hAnsi="Times New Roman" w:cs="Times New Roman"/>
                <w:color w:val="000000"/>
                <w:sz w:val="28"/>
                <w:szCs w:val="26"/>
                <w:lang w:eastAsia="ru-RU"/>
              </w:rPr>
              <w:t xml:space="preserve">90.7%  </w:t>
            </w:r>
            <w:r>
              <w:rPr>
                <w:rFonts w:ascii="Times New Roman" w:eastAsia="Times New Roman" w:hAnsi="Times New Roman" w:cs="Times New Roman"/>
                <w:color w:val="000000"/>
                <w:sz w:val="28"/>
                <w:szCs w:val="26"/>
                <w:lang w:eastAsia="ru-RU"/>
              </w:rPr>
              <w:t xml:space="preserve">                  (87.6 - 93.2)</w:t>
            </w:r>
          </w:p>
        </w:tc>
      </w:tr>
      <w:tr w:rsidR="00A75A8D">
        <w:trPr>
          <w:trHeight w:val="970"/>
        </w:trPr>
        <w:tc>
          <w:tcPr>
            <w:tcW w:w="3392" w:type="dxa"/>
            <w:tcBorders>
              <w:top w:val="nil"/>
              <w:left w:val="single" w:sz="4" w:space="0" w:color="auto"/>
              <w:bottom w:val="single" w:sz="4" w:space="0" w:color="auto"/>
              <w:right w:val="single" w:sz="4" w:space="0" w:color="auto"/>
            </w:tcBorders>
            <w:shd w:val="clear" w:color="auto" w:fill="auto"/>
            <w:vAlign w:val="center"/>
          </w:tcPr>
          <w:p w:rsidR="00A75A8D" w:rsidRDefault="008A6A51">
            <w:pPr>
              <w:spacing w:after="0" w:line="240" w:lineRule="auto"/>
              <w:rPr>
                <w:rFonts w:ascii="Times New Roman" w:eastAsia="Times New Roman" w:hAnsi="Times New Roman" w:cs="Times New Roman"/>
                <w:color w:val="000000"/>
                <w:sz w:val="28"/>
                <w:szCs w:val="26"/>
                <w:lang w:eastAsia="ru-RU"/>
              </w:rPr>
            </w:pPr>
            <w:r>
              <w:rPr>
                <w:rFonts w:ascii="Times New Roman" w:hAnsi="Times New Roman" w:cs="Times New Roman"/>
                <w:bCs/>
                <w:sz w:val="28"/>
                <w:szCs w:val="28"/>
                <w:lang w:val="en-US"/>
              </w:rPr>
              <w:t>DL</w:t>
            </w:r>
            <w:r>
              <w:rPr>
                <w:rFonts w:ascii="Times New Roman" w:hAnsi="Times New Roman" w:cs="Times New Roman"/>
                <w:bCs/>
                <w:sz w:val="28"/>
                <w:szCs w:val="28"/>
              </w:rPr>
              <w:t>-</w:t>
            </w:r>
            <w:r>
              <w:rPr>
                <w:rFonts w:ascii="Times New Roman" w:hAnsi="Times New Roman" w:cs="Times New Roman"/>
                <w:bCs/>
                <w:sz w:val="28"/>
                <w:szCs w:val="28"/>
                <w:lang w:val="en-US"/>
              </w:rPr>
              <w:t>C</w:t>
            </w:r>
            <w:r>
              <w:rPr>
                <w:rFonts w:ascii="Times New Roman" w:hAnsi="Times New Roman" w:cs="Times New Roman"/>
                <w:bCs/>
                <w:sz w:val="28"/>
                <w:szCs w:val="28"/>
              </w:rPr>
              <w:t>А</w:t>
            </w:r>
            <w:r>
              <w:rPr>
                <w:rFonts w:ascii="Times New Roman" w:hAnsi="Times New Roman" w:cs="Times New Roman"/>
                <w:bCs/>
                <w:sz w:val="28"/>
                <w:szCs w:val="28"/>
                <w:lang w:val="en-US"/>
              </w:rPr>
              <w:t>D</w:t>
            </w:r>
            <w:r>
              <w:rPr>
                <w:rFonts w:ascii="Times New Roman" w:eastAsia="Times New Roman" w:hAnsi="Times New Roman" w:cs="Times New Roman"/>
                <w:color w:val="000000"/>
                <w:sz w:val="28"/>
                <w:szCs w:val="26"/>
                <w:lang w:eastAsia="ru-RU"/>
              </w:rPr>
              <w:t xml:space="preserve"> - параллельная читка</w:t>
            </w:r>
          </w:p>
        </w:tc>
        <w:tc>
          <w:tcPr>
            <w:tcW w:w="1617" w:type="dxa"/>
            <w:tcBorders>
              <w:top w:val="nil"/>
              <w:left w:val="single" w:sz="8" w:space="0" w:color="auto"/>
              <w:bottom w:val="single" w:sz="8" w:space="0" w:color="auto"/>
              <w:right w:val="single" w:sz="8" w:space="0" w:color="auto"/>
            </w:tcBorders>
            <w:shd w:val="clear" w:color="auto" w:fill="auto"/>
            <w:noWrap/>
            <w:vAlign w:val="center"/>
          </w:tcPr>
          <w:p w:rsidR="00A75A8D" w:rsidRDefault="008A6A51">
            <w:pPr>
              <w:spacing w:after="0" w:line="240" w:lineRule="auto"/>
              <w:jc w:val="center"/>
              <w:rPr>
                <w:rFonts w:ascii="Times New Roman" w:eastAsia="Times New Roman" w:hAnsi="Times New Roman" w:cs="Times New Roman"/>
                <w:color w:val="000000"/>
                <w:sz w:val="28"/>
                <w:szCs w:val="26"/>
                <w:lang w:eastAsia="ru-RU"/>
              </w:rPr>
            </w:pPr>
            <w:r>
              <w:rPr>
                <w:rFonts w:ascii="Times New Roman" w:eastAsia="Times New Roman" w:hAnsi="Times New Roman" w:cs="Times New Roman"/>
                <w:color w:val="000000" w:themeColor="text1"/>
                <w:sz w:val="28"/>
                <w:szCs w:val="26"/>
                <w:lang w:eastAsia="ru-RU"/>
              </w:rPr>
              <w:t>463</w:t>
            </w:r>
          </w:p>
        </w:tc>
        <w:tc>
          <w:tcPr>
            <w:tcW w:w="2372" w:type="dxa"/>
            <w:tcBorders>
              <w:top w:val="nil"/>
              <w:left w:val="single" w:sz="4" w:space="0" w:color="auto"/>
              <w:bottom w:val="single" w:sz="4" w:space="0" w:color="auto"/>
              <w:right w:val="single" w:sz="4" w:space="0" w:color="auto"/>
            </w:tcBorders>
            <w:shd w:val="clear" w:color="auto" w:fill="auto"/>
            <w:vAlign w:val="center"/>
          </w:tcPr>
          <w:p w:rsidR="00A75A8D" w:rsidRDefault="008A6A51">
            <w:pPr>
              <w:spacing w:after="0" w:line="240" w:lineRule="auto"/>
              <w:jc w:val="center"/>
              <w:rPr>
                <w:rFonts w:ascii="Times New Roman" w:eastAsia="Times New Roman" w:hAnsi="Times New Roman" w:cs="Times New Roman"/>
                <w:color w:val="000000"/>
                <w:sz w:val="28"/>
                <w:szCs w:val="26"/>
                <w:lang w:eastAsia="ru-RU"/>
              </w:rPr>
            </w:pPr>
            <w:r>
              <w:rPr>
                <w:rFonts w:ascii="Times New Roman" w:eastAsia="Times New Roman" w:hAnsi="Times New Roman" w:cs="Times New Roman"/>
                <w:color w:val="000000"/>
                <w:sz w:val="28"/>
                <w:szCs w:val="26"/>
                <w:lang w:eastAsia="ru-RU"/>
              </w:rPr>
              <w:t>41 (8,8%)</w:t>
            </w:r>
          </w:p>
        </w:tc>
        <w:tc>
          <w:tcPr>
            <w:tcW w:w="2258" w:type="dxa"/>
            <w:tcBorders>
              <w:top w:val="nil"/>
              <w:left w:val="nil"/>
              <w:bottom w:val="single" w:sz="4" w:space="0" w:color="auto"/>
              <w:right w:val="single" w:sz="4" w:space="0" w:color="auto"/>
            </w:tcBorders>
            <w:shd w:val="clear" w:color="000000" w:fill="FFFFFF"/>
            <w:vAlign w:val="center"/>
          </w:tcPr>
          <w:p w:rsidR="00A75A8D" w:rsidRDefault="008A6A51">
            <w:pPr>
              <w:spacing w:after="0" w:line="240" w:lineRule="auto"/>
              <w:jc w:val="center"/>
              <w:rPr>
                <w:rFonts w:ascii="Times New Roman" w:eastAsia="Times New Roman" w:hAnsi="Times New Roman" w:cs="Times New Roman"/>
                <w:color w:val="000000"/>
                <w:sz w:val="28"/>
                <w:szCs w:val="26"/>
                <w:lang w:eastAsia="ru-RU"/>
              </w:rPr>
            </w:pPr>
            <w:r>
              <w:rPr>
                <w:rFonts w:ascii="Times New Roman" w:eastAsia="Times New Roman" w:hAnsi="Times New Roman" w:cs="Times New Roman"/>
                <w:color w:val="000000"/>
                <w:sz w:val="28"/>
                <w:szCs w:val="26"/>
                <w:lang w:eastAsia="ru-RU"/>
              </w:rPr>
              <w:t>94.8%                    (90.4 - 95.3)</w:t>
            </w:r>
          </w:p>
        </w:tc>
      </w:tr>
    </w:tbl>
    <w:p w:rsidR="00A75A8D" w:rsidRDefault="00A75A8D">
      <w:pPr>
        <w:pStyle w:val="af3"/>
      </w:pPr>
    </w:p>
    <w:p w:rsidR="00A75A8D" w:rsidRDefault="008A6A51">
      <w:pPr>
        <w:pStyle w:val="af3"/>
      </w:pPr>
      <w:r>
        <w:rPr>
          <w:color w:val="000000" w:themeColor="text1"/>
        </w:rPr>
        <w:t xml:space="preserve">Согласно полученным данным из таблицы 15 количество ложно-положительных результатов преобладало при применении </w:t>
      </w:r>
      <w:r>
        <w:rPr>
          <w:bCs/>
          <w:lang w:val="en-US"/>
        </w:rPr>
        <w:t>DL</w:t>
      </w:r>
      <w:r>
        <w:rPr>
          <w:bCs/>
        </w:rPr>
        <w:t>-</w:t>
      </w:r>
      <w:r>
        <w:rPr>
          <w:bCs/>
          <w:lang w:val="en-US"/>
        </w:rPr>
        <w:t>C</w:t>
      </w:r>
      <w:r>
        <w:rPr>
          <w:bCs/>
        </w:rPr>
        <w:t>А</w:t>
      </w:r>
      <w:r>
        <w:rPr>
          <w:bCs/>
          <w:lang w:val="en-US"/>
        </w:rPr>
        <w:t>D</w:t>
      </w:r>
      <w:r>
        <w:t xml:space="preserve"> в роли первой читки 698/1018 (68,5%), в сравнении с тремя другими вариантами применения и было статистически достоверным при применении теста МакНемара, р&lt;0,001.</w:t>
      </w:r>
    </w:p>
    <w:p w:rsidR="00A75A8D" w:rsidRDefault="008A6A51">
      <w:pPr>
        <w:pStyle w:val="af3"/>
        <w:rPr>
          <w:color w:val="000000" w:themeColor="text1"/>
        </w:rPr>
      </w:pPr>
      <w:r>
        <w:lastRenderedPageBreak/>
        <w:t xml:space="preserve">В результате сравнения чувствительности при различных вариантах использования </w:t>
      </w:r>
      <w:r>
        <w:rPr>
          <w:bCs/>
          <w:lang w:val="en-US"/>
        </w:rPr>
        <w:t>DL</w:t>
      </w:r>
      <w:r>
        <w:rPr>
          <w:bCs/>
        </w:rPr>
        <w:t>-</w:t>
      </w:r>
      <w:r>
        <w:rPr>
          <w:bCs/>
          <w:lang w:val="en-US"/>
        </w:rPr>
        <w:t>C</w:t>
      </w:r>
      <w:r>
        <w:rPr>
          <w:bCs/>
        </w:rPr>
        <w:t>А</w:t>
      </w:r>
      <w:r>
        <w:rPr>
          <w:bCs/>
          <w:lang w:val="en-US"/>
        </w:rPr>
        <w:t>D</w:t>
      </w:r>
      <w:r>
        <w:t xml:space="preserve"> не выявл</w:t>
      </w:r>
      <w:r>
        <w:t xml:space="preserve">ено статистически значимой разницы, однако применение </w:t>
      </w:r>
      <w:r>
        <w:rPr>
          <w:bCs/>
          <w:lang w:val="en-US"/>
        </w:rPr>
        <w:t>DL</w:t>
      </w:r>
      <w:r>
        <w:rPr>
          <w:bCs/>
        </w:rPr>
        <w:t>-</w:t>
      </w:r>
      <w:r>
        <w:rPr>
          <w:bCs/>
          <w:lang w:val="en-US"/>
        </w:rPr>
        <w:t>C</w:t>
      </w:r>
      <w:r>
        <w:rPr>
          <w:bCs/>
        </w:rPr>
        <w:t>А</w:t>
      </w:r>
      <w:r>
        <w:rPr>
          <w:bCs/>
          <w:lang w:val="en-US"/>
        </w:rPr>
        <w:t>D</w:t>
      </w:r>
      <w:r>
        <w:t xml:space="preserve"> в роли параллельного чтения показало наиболее эффективный результат с показателем чувствительности в 94,8%</w:t>
      </w:r>
      <w:r>
        <w:rPr>
          <w:color w:val="000000" w:themeColor="text1"/>
        </w:rPr>
        <w:t>, что связано с самым низким количеством ложноположительных результатов – 22/443 (5,2%).</w:t>
      </w:r>
    </w:p>
    <w:p w:rsidR="00A75A8D" w:rsidRDefault="008A6A51">
      <w:pPr>
        <w:pStyle w:val="af3"/>
      </w:pPr>
      <w:r>
        <w:t xml:space="preserve">Для изучения следующего этапа поставленной задачи мы определили время чтения для различных вариантов применения </w:t>
      </w:r>
      <w:r>
        <w:rPr>
          <w:bCs/>
          <w:lang w:val="en-US"/>
        </w:rPr>
        <w:t>DL</w:t>
      </w:r>
      <w:r>
        <w:rPr>
          <w:bCs/>
        </w:rPr>
        <w:t>-</w:t>
      </w:r>
      <w:r>
        <w:rPr>
          <w:bCs/>
          <w:lang w:val="en-US"/>
        </w:rPr>
        <w:t>C</w:t>
      </w:r>
      <w:r>
        <w:rPr>
          <w:bCs/>
        </w:rPr>
        <w:t>А</w:t>
      </w:r>
      <w:r>
        <w:rPr>
          <w:bCs/>
          <w:lang w:val="en-US"/>
        </w:rPr>
        <w:t>D</w:t>
      </w:r>
      <w:r>
        <w:t xml:space="preserve">: в качестве первой, второй и параллельной читки и без применения </w:t>
      </w:r>
      <w:r>
        <w:rPr>
          <w:bCs/>
          <w:lang w:val="en-US"/>
        </w:rPr>
        <w:t>DL</w:t>
      </w:r>
      <w:r>
        <w:rPr>
          <w:bCs/>
        </w:rPr>
        <w:t>-</w:t>
      </w:r>
      <w:r>
        <w:rPr>
          <w:bCs/>
          <w:lang w:val="en-US"/>
        </w:rPr>
        <w:t>C</w:t>
      </w:r>
      <w:r>
        <w:rPr>
          <w:bCs/>
        </w:rPr>
        <w:t>А</w:t>
      </w:r>
      <w:r>
        <w:rPr>
          <w:bCs/>
          <w:lang w:val="en-US"/>
        </w:rPr>
        <w:t>D</w:t>
      </w:r>
      <w:r>
        <w:t xml:space="preserve"> (таблица 16).</w:t>
      </w:r>
    </w:p>
    <w:p w:rsidR="00A75A8D" w:rsidRDefault="00A75A8D">
      <w:pPr>
        <w:pStyle w:val="af3"/>
      </w:pPr>
    </w:p>
    <w:p w:rsidR="00A75A8D" w:rsidRDefault="008A6A51">
      <w:pPr>
        <w:pStyle w:val="af3"/>
        <w:ind w:hanging="34"/>
        <w:rPr>
          <w:color w:val="FF0000"/>
        </w:rPr>
      </w:pPr>
      <w:r>
        <w:t xml:space="preserve">Таблица 16 - Временные затраты на читку НДКТ-изображений при различных вариантах применения </w:t>
      </w:r>
      <w:r>
        <w:rPr>
          <w:lang w:val="en-US"/>
        </w:rPr>
        <w:t>DL</w:t>
      </w:r>
      <w:r>
        <w:t xml:space="preserve">-CAD </w:t>
      </w:r>
    </w:p>
    <w:p w:rsidR="00A75A8D" w:rsidRDefault="00A75A8D">
      <w:pPr>
        <w:pStyle w:val="af3"/>
      </w:pPr>
    </w:p>
    <w:tbl>
      <w:tblPr>
        <w:tblW w:w="4956" w:type="pct"/>
        <w:tblInd w:w="83" w:type="dxa"/>
        <w:tblLayout w:type="fixed"/>
        <w:tblLook w:val="04A0" w:firstRow="1" w:lastRow="0" w:firstColumn="1" w:lastColumn="0" w:noHBand="0" w:noVBand="1"/>
      </w:tblPr>
      <w:tblGrid>
        <w:gridCol w:w="3258"/>
        <w:gridCol w:w="2395"/>
        <w:gridCol w:w="2074"/>
        <w:gridCol w:w="1858"/>
      </w:tblGrid>
      <w:tr w:rsidR="00A75A8D">
        <w:trPr>
          <w:trHeight w:val="400"/>
        </w:trPr>
        <w:tc>
          <w:tcPr>
            <w:tcW w:w="16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A75A8D" w:rsidRDefault="008A6A51">
            <w:pPr>
              <w:pStyle w:val="af3"/>
              <w:ind w:hanging="34"/>
              <w:rPr>
                <w:lang w:val="en-US" w:eastAsia="ru-RU"/>
              </w:rPr>
            </w:pPr>
            <w:r>
              <w:rPr>
                <w:lang w:val="en-US" w:eastAsia="ru-RU"/>
              </w:rPr>
              <w:t>Варианты применения DL-</w:t>
            </w:r>
            <w:r>
              <w:rPr>
                <w:lang w:val="en-US"/>
              </w:rPr>
              <w:t>CAD</w:t>
            </w:r>
          </w:p>
        </w:tc>
        <w:tc>
          <w:tcPr>
            <w:tcW w:w="1249" w:type="pct"/>
            <w:tcBorders>
              <w:top w:val="single" w:sz="4" w:space="0" w:color="auto"/>
              <w:left w:val="nil"/>
              <w:bottom w:val="single" w:sz="4" w:space="0" w:color="auto"/>
              <w:right w:val="single" w:sz="4" w:space="0" w:color="auto"/>
            </w:tcBorders>
            <w:shd w:val="clear" w:color="auto" w:fill="auto"/>
            <w:vAlign w:val="center"/>
          </w:tcPr>
          <w:p w:rsidR="00A75A8D" w:rsidRDefault="008A6A51">
            <w:pPr>
              <w:pStyle w:val="af3"/>
              <w:ind w:hanging="34"/>
              <w:jc w:val="center"/>
              <w:rPr>
                <w:lang w:val="en-US" w:eastAsia="ru-RU"/>
              </w:rPr>
            </w:pPr>
            <w:r>
              <w:rPr>
                <w:lang w:eastAsia="ru-RU"/>
              </w:rPr>
              <w:t>Минимальное</w:t>
            </w:r>
            <w:r>
              <w:rPr>
                <w:lang w:val="en-US" w:eastAsia="ru-RU"/>
              </w:rPr>
              <w:t xml:space="preserve"> время читки (с)</w:t>
            </w:r>
          </w:p>
        </w:tc>
        <w:tc>
          <w:tcPr>
            <w:tcW w:w="1082" w:type="pct"/>
            <w:tcBorders>
              <w:top w:val="single" w:sz="4" w:space="0" w:color="auto"/>
              <w:left w:val="nil"/>
              <w:bottom w:val="single" w:sz="4" w:space="0" w:color="auto"/>
              <w:right w:val="single" w:sz="4" w:space="0" w:color="auto"/>
            </w:tcBorders>
            <w:shd w:val="clear" w:color="auto" w:fill="auto"/>
            <w:vAlign w:val="center"/>
          </w:tcPr>
          <w:p w:rsidR="00A75A8D" w:rsidRDefault="008A6A51">
            <w:pPr>
              <w:pStyle w:val="af3"/>
              <w:ind w:hanging="34"/>
              <w:jc w:val="center"/>
              <w:rPr>
                <w:lang w:val="en-US" w:eastAsia="ru-RU"/>
              </w:rPr>
            </w:pPr>
            <w:r>
              <w:rPr>
                <w:lang w:val="en-US" w:eastAsia="ru-RU"/>
              </w:rPr>
              <w:t>Максимальное время читки (с)</w:t>
            </w:r>
          </w:p>
        </w:tc>
        <w:tc>
          <w:tcPr>
            <w:tcW w:w="969" w:type="pct"/>
            <w:tcBorders>
              <w:top w:val="single" w:sz="4" w:space="0" w:color="auto"/>
              <w:left w:val="nil"/>
              <w:bottom w:val="single" w:sz="4" w:space="0" w:color="auto"/>
              <w:right w:val="single" w:sz="4" w:space="0" w:color="auto"/>
            </w:tcBorders>
            <w:shd w:val="clear" w:color="auto" w:fill="auto"/>
            <w:noWrap/>
            <w:vAlign w:val="center"/>
          </w:tcPr>
          <w:p w:rsidR="00A75A8D" w:rsidRDefault="008A6A51">
            <w:pPr>
              <w:pStyle w:val="af3"/>
              <w:ind w:hanging="34"/>
              <w:jc w:val="center"/>
              <w:rPr>
                <w:lang w:val="en-US" w:eastAsia="ru-RU"/>
              </w:rPr>
            </w:pPr>
            <w:r>
              <w:rPr>
                <w:lang w:eastAsia="ru-RU"/>
              </w:rPr>
              <w:t>Среднее</w:t>
            </w:r>
            <w:r>
              <w:rPr>
                <w:lang w:val="en-US" w:eastAsia="ru-RU"/>
              </w:rPr>
              <w:t xml:space="preserve"> время читки (с)</w:t>
            </w:r>
          </w:p>
        </w:tc>
      </w:tr>
      <w:tr w:rsidR="00A75A8D">
        <w:trPr>
          <w:trHeight w:val="315"/>
        </w:trPr>
        <w:tc>
          <w:tcPr>
            <w:tcW w:w="1698" w:type="pct"/>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pStyle w:val="af3"/>
              <w:ind w:hanging="34"/>
              <w:rPr>
                <w:color w:val="000000" w:themeColor="text1"/>
                <w:lang w:eastAsia="ru-RU"/>
              </w:rPr>
            </w:pPr>
            <w:r>
              <w:rPr>
                <w:color w:val="000000" w:themeColor="text1"/>
                <w:lang w:eastAsia="ru-RU"/>
              </w:rPr>
              <w:t xml:space="preserve">Без </w:t>
            </w:r>
            <w:r>
              <w:rPr>
                <w:lang w:val="en-US"/>
              </w:rPr>
              <w:t>DL</w:t>
            </w:r>
            <w:r>
              <w:t>-</w:t>
            </w:r>
            <w:r>
              <w:rPr>
                <w:lang w:val="en-US"/>
              </w:rPr>
              <w:t>C</w:t>
            </w:r>
            <w:r>
              <w:t>А</w:t>
            </w:r>
            <w:r>
              <w:rPr>
                <w:lang w:val="en-US"/>
              </w:rPr>
              <w:t>D</w:t>
            </w:r>
          </w:p>
        </w:tc>
        <w:tc>
          <w:tcPr>
            <w:tcW w:w="1249" w:type="pct"/>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pStyle w:val="af3"/>
              <w:ind w:hanging="34"/>
              <w:jc w:val="center"/>
              <w:rPr>
                <w:lang w:val="en-US" w:eastAsia="ru-RU"/>
              </w:rPr>
            </w:pPr>
            <w:r>
              <w:rPr>
                <w:lang w:val="en-US" w:eastAsia="ru-RU"/>
              </w:rPr>
              <w:t>163</w:t>
            </w:r>
          </w:p>
        </w:tc>
        <w:tc>
          <w:tcPr>
            <w:tcW w:w="1082" w:type="pct"/>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pStyle w:val="af3"/>
              <w:ind w:hanging="34"/>
              <w:jc w:val="center"/>
              <w:rPr>
                <w:lang w:val="en-US" w:eastAsia="ru-RU"/>
              </w:rPr>
            </w:pPr>
            <w:r>
              <w:rPr>
                <w:lang w:val="en-US" w:eastAsia="ru-RU"/>
              </w:rPr>
              <w:t>386</w:t>
            </w:r>
          </w:p>
        </w:tc>
        <w:tc>
          <w:tcPr>
            <w:tcW w:w="969" w:type="pct"/>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pStyle w:val="af3"/>
              <w:ind w:hanging="34"/>
              <w:jc w:val="center"/>
              <w:rPr>
                <w:lang w:val="en-US" w:eastAsia="ru-RU"/>
              </w:rPr>
            </w:pPr>
            <w:r>
              <w:rPr>
                <w:lang w:val="en-US" w:eastAsia="ru-RU"/>
              </w:rPr>
              <w:t>293</w:t>
            </w:r>
          </w:p>
        </w:tc>
      </w:tr>
      <w:tr w:rsidR="00A75A8D">
        <w:trPr>
          <w:trHeight w:val="315"/>
        </w:trPr>
        <w:tc>
          <w:tcPr>
            <w:tcW w:w="1698" w:type="pct"/>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pStyle w:val="af3"/>
              <w:ind w:hanging="34"/>
              <w:rPr>
                <w:color w:val="000000" w:themeColor="text1"/>
                <w:lang w:eastAsia="ru-RU"/>
              </w:rPr>
            </w:pPr>
            <w:r>
              <w:rPr>
                <w:bCs/>
                <w:lang w:val="en-US"/>
              </w:rPr>
              <w:t>DL</w:t>
            </w:r>
            <w:r>
              <w:rPr>
                <w:bCs/>
              </w:rPr>
              <w:t>-</w:t>
            </w:r>
            <w:r>
              <w:rPr>
                <w:bCs/>
                <w:lang w:val="en-US"/>
              </w:rPr>
              <w:t>C</w:t>
            </w:r>
            <w:r>
              <w:rPr>
                <w:bCs/>
              </w:rPr>
              <w:t>А</w:t>
            </w:r>
            <w:r>
              <w:rPr>
                <w:bCs/>
                <w:lang w:val="en-US"/>
              </w:rPr>
              <w:t>D</w:t>
            </w:r>
            <w:r>
              <w:rPr>
                <w:lang w:eastAsia="ru-RU"/>
              </w:rPr>
              <w:t xml:space="preserve"> - первая читка</w:t>
            </w:r>
          </w:p>
        </w:tc>
        <w:tc>
          <w:tcPr>
            <w:tcW w:w="1249" w:type="pct"/>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pStyle w:val="af3"/>
              <w:ind w:hanging="34"/>
              <w:jc w:val="center"/>
              <w:rPr>
                <w:lang w:eastAsia="ru-RU"/>
              </w:rPr>
            </w:pPr>
            <w:r>
              <w:rPr>
                <w:lang w:eastAsia="ru-RU"/>
              </w:rPr>
              <w:t>12</w:t>
            </w:r>
          </w:p>
        </w:tc>
        <w:tc>
          <w:tcPr>
            <w:tcW w:w="1082" w:type="pct"/>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pStyle w:val="af3"/>
              <w:ind w:hanging="34"/>
              <w:jc w:val="center"/>
              <w:rPr>
                <w:lang w:eastAsia="ru-RU"/>
              </w:rPr>
            </w:pPr>
            <w:r>
              <w:rPr>
                <w:lang w:eastAsia="ru-RU"/>
              </w:rPr>
              <w:t>49</w:t>
            </w:r>
          </w:p>
        </w:tc>
        <w:tc>
          <w:tcPr>
            <w:tcW w:w="969" w:type="pct"/>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pStyle w:val="af3"/>
              <w:ind w:hanging="34"/>
              <w:jc w:val="center"/>
              <w:rPr>
                <w:lang w:eastAsia="ru-RU"/>
              </w:rPr>
            </w:pPr>
            <w:r>
              <w:rPr>
                <w:lang w:eastAsia="ru-RU"/>
              </w:rPr>
              <w:t>23</w:t>
            </w:r>
          </w:p>
        </w:tc>
      </w:tr>
      <w:tr w:rsidR="00A75A8D">
        <w:trPr>
          <w:trHeight w:val="315"/>
        </w:trPr>
        <w:tc>
          <w:tcPr>
            <w:tcW w:w="1698" w:type="pct"/>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pStyle w:val="af3"/>
              <w:ind w:hanging="34"/>
              <w:rPr>
                <w:lang w:val="en-US" w:eastAsia="ru-RU"/>
              </w:rPr>
            </w:pPr>
            <w:r>
              <w:rPr>
                <w:bCs/>
                <w:lang w:val="en-US"/>
              </w:rPr>
              <w:t>DL</w:t>
            </w:r>
            <w:r>
              <w:rPr>
                <w:bCs/>
              </w:rPr>
              <w:t>-</w:t>
            </w:r>
            <w:r>
              <w:rPr>
                <w:bCs/>
                <w:lang w:val="en-US"/>
              </w:rPr>
              <w:t>C</w:t>
            </w:r>
            <w:r>
              <w:rPr>
                <w:bCs/>
              </w:rPr>
              <w:t>А</w:t>
            </w:r>
            <w:r>
              <w:rPr>
                <w:bCs/>
                <w:lang w:val="en-US"/>
              </w:rPr>
              <w:t>D</w:t>
            </w:r>
            <w:r>
              <w:rPr>
                <w:lang w:val="en-US" w:eastAsia="ru-RU"/>
              </w:rPr>
              <w:t xml:space="preserve"> - второе чтение</w:t>
            </w:r>
          </w:p>
        </w:tc>
        <w:tc>
          <w:tcPr>
            <w:tcW w:w="1249" w:type="pct"/>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pStyle w:val="af3"/>
              <w:ind w:hanging="34"/>
              <w:jc w:val="center"/>
              <w:rPr>
                <w:lang w:val="en-US" w:eastAsia="ru-RU"/>
              </w:rPr>
            </w:pPr>
            <w:r>
              <w:rPr>
                <w:lang w:val="en-US" w:eastAsia="ru-RU"/>
              </w:rPr>
              <w:t>218</w:t>
            </w:r>
          </w:p>
        </w:tc>
        <w:tc>
          <w:tcPr>
            <w:tcW w:w="1082" w:type="pct"/>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pStyle w:val="af3"/>
              <w:ind w:hanging="34"/>
              <w:jc w:val="center"/>
              <w:rPr>
                <w:lang w:val="en-US" w:eastAsia="ru-RU"/>
              </w:rPr>
            </w:pPr>
            <w:r>
              <w:rPr>
                <w:lang w:val="en-US" w:eastAsia="ru-RU"/>
              </w:rPr>
              <w:t>435</w:t>
            </w:r>
          </w:p>
        </w:tc>
        <w:tc>
          <w:tcPr>
            <w:tcW w:w="969" w:type="pct"/>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pStyle w:val="af3"/>
              <w:ind w:hanging="34"/>
              <w:jc w:val="center"/>
              <w:rPr>
                <w:lang w:val="en-US" w:eastAsia="ru-RU"/>
              </w:rPr>
            </w:pPr>
            <w:r>
              <w:rPr>
                <w:lang w:val="en-US" w:eastAsia="ru-RU"/>
              </w:rPr>
              <w:t>322</w:t>
            </w:r>
          </w:p>
        </w:tc>
      </w:tr>
      <w:tr w:rsidR="00A75A8D">
        <w:trPr>
          <w:trHeight w:val="315"/>
        </w:trPr>
        <w:tc>
          <w:tcPr>
            <w:tcW w:w="1698" w:type="pct"/>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pStyle w:val="af3"/>
              <w:ind w:hanging="34"/>
              <w:rPr>
                <w:lang w:val="en-US" w:eastAsia="ru-RU"/>
              </w:rPr>
            </w:pPr>
            <w:r>
              <w:rPr>
                <w:bCs/>
                <w:lang w:val="en-US"/>
              </w:rPr>
              <w:t>DL</w:t>
            </w:r>
            <w:r>
              <w:rPr>
                <w:bCs/>
              </w:rPr>
              <w:t>-</w:t>
            </w:r>
            <w:r>
              <w:rPr>
                <w:bCs/>
                <w:lang w:val="en-US"/>
              </w:rPr>
              <w:t>C</w:t>
            </w:r>
            <w:r>
              <w:rPr>
                <w:bCs/>
              </w:rPr>
              <w:t>А</w:t>
            </w:r>
            <w:r>
              <w:rPr>
                <w:bCs/>
                <w:lang w:val="en-US"/>
              </w:rPr>
              <w:t>D</w:t>
            </w:r>
            <w:r>
              <w:rPr>
                <w:lang w:val="en-US" w:eastAsia="ru-RU"/>
              </w:rPr>
              <w:t xml:space="preserve"> - </w:t>
            </w:r>
            <w:r>
              <w:rPr>
                <w:lang w:eastAsia="ru-RU"/>
              </w:rPr>
              <w:t>параллельное</w:t>
            </w:r>
            <w:r>
              <w:rPr>
                <w:lang w:val="en-US" w:eastAsia="ru-RU"/>
              </w:rPr>
              <w:t xml:space="preserve"> чтение</w:t>
            </w:r>
          </w:p>
        </w:tc>
        <w:tc>
          <w:tcPr>
            <w:tcW w:w="1249" w:type="pct"/>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pStyle w:val="af3"/>
              <w:ind w:hanging="34"/>
              <w:jc w:val="center"/>
              <w:rPr>
                <w:lang w:val="en-US" w:eastAsia="ru-RU"/>
              </w:rPr>
            </w:pPr>
            <w:r>
              <w:rPr>
                <w:lang w:val="en-US" w:eastAsia="ru-RU"/>
              </w:rPr>
              <w:t>158</w:t>
            </w:r>
          </w:p>
        </w:tc>
        <w:tc>
          <w:tcPr>
            <w:tcW w:w="1082" w:type="pct"/>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pStyle w:val="af3"/>
              <w:ind w:hanging="34"/>
              <w:jc w:val="center"/>
              <w:rPr>
                <w:lang w:val="en-US" w:eastAsia="ru-RU"/>
              </w:rPr>
            </w:pPr>
            <w:r>
              <w:rPr>
                <w:lang w:val="en-US" w:eastAsia="ru-RU"/>
              </w:rPr>
              <w:t>365</w:t>
            </w:r>
          </w:p>
        </w:tc>
        <w:tc>
          <w:tcPr>
            <w:tcW w:w="969" w:type="pct"/>
            <w:tcBorders>
              <w:top w:val="single" w:sz="4" w:space="0" w:color="auto"/>
              <w:left w:val="single" w:sz="4" w:space="0" w:color="auto"/>
              <w:bottom w:val="single" w:sz="4" w:space="0" w:color="auto"/>
              <w:right w:val="single" w:sz="4" w:space="0" w:color="auto"/>
            </w:tcBorders>
            <w:shd w:val="clear" w:color="auto" w:fill="auto"/>
            <w:noWrap/>
            <w:vAlign w:val="bottom"/>
          </w:tcPr>
          <w:p w:rsidR="00A75A8D" w:rsidRDefault="008A6A51">
            <w:pPr>
              <w:pStyle w:val="af3"/>
              <w:ind w:hanging="34"/>
              <w:jc w:val="center"/>
              <w:rPr>
                <w:lang w:val="en-US" w:eastAsia="ru-RU"/>
              </w:rPr>
            </w:pPr>
            <w:r>
              <w:rPr>
                <w:lang w:val="en-US" w:eastAsia="ru-RU"/>
              </w:rPr>
              <w:t>254</w:t>
            </w:r>
          </w:p>
        </w:tc>
      </w:tr>
    </w:tbl>
    <w:p w:rsidR="00A75A8D" w:rsidRDefault="00A75A8D">
      <w:pPr>
        <w:pStyle w:val="af3"/>
      </w:pPr>
    </w:p>
    <w:p w:rsidR="00A75A8D" w:rsidRDefault="008A6A51">
      <w:pPr>
        <w:pStyle w:val="af3"/>
      </w:pPr>
      <w:r>
        <w:t xml:space="preserve">Данные из таблицы 16 показывают, что среднее время чтения без </w:t>
      </w:r>
      <w:r>
        <w:rPr>
          <w:bCs/>
          <w:lang w:val="en-US"/>
        </w:rPr>
        <w:t>DL</w:t>
      </w:r>
      <w:r>
        <w:rPr>
          <w:bCs/>
        </w:rPr>
        <w:t>-</w:t>
      </w:r>
      <w:r>
        <w:rPr>
          <w:bCs/>
          <w:lang w:val="en-US"/>
        </w:rPr>
        <w:t>C</w:t>
      </w:r>
      <w:r>
        <w:rPr>
          <w:bCs/>
        </w:rPr>
        <w:t>А</w:t>
      </w:r>
      <w:r>
        <w:rPr>
          <w:bCs/>
          <w:lang w:val="en-US"/>
        </w:rPr>
        <w:t>D</w:t>
      </w:r>
      <w:r>
        <w:t xml:space="preserve"> составило 293 ± 114 секунды. Это было значительно дольше по сравнению с </w:t>
      </w:r>
      <w:r>
        <w:rPr>
          <w:bCs/>
          <w:lang w:val="en-US"/>
        </w:rPr>
        <w:t>DL</w:t>
      </w:r>
      <w:r>
        <w:rPr>
          <w:bCs/>
        </w:rPr>
        <w:t>-</w:t>
      </w:r>
      <w:r>
        <w:rPr>
          <w:bCs/>
          <w:lang w:val="en-US"/>
        </w:rPr>
        <w:t>C</w:t>
      </w:r>
      <w:r>
        <w:rPr>
          <w:bCs/>
        </w:rPr>
        <w:t>А</w:t>
      </w:r>
      <w:r>
        <w:rPr>
          <w:bCs/>
          <w:lang w:val="en-US"/>
        </w:rPr>
        <w:t>D</w:t>
      </w:r>
      <w:r>
        <w:t xml:space="preserve"> в роли первой читки (среднее время 23 ± 12 секунд) и параллельной читки (среднее время 254 ± 127 секунд), </w:t>
      </w:r>
      <w:r>
        <w:rPr>
          <w:lang w:val="en-US"/>
        </w:rPr>
        <w:t>p</w:t>
      </w:r>
      <w:r>
        <w:t xml:space="preserve">=0,038. </w:t>
      </w:r>
      <w:r>
        <w:t>Применение</w:t>
      </w:r>
      <w:r>
        <w:t xml:space="preserve"> </w:t>
      </w:r>
      <w:r>
        <w:rPr>
          <w:bCs/>
          <w:lang w:val="en-US"/>
        </w:rPr>
        <w:t>DL</w:t>
      </w:r>
      <w:r>
        <w:rPr>
          <w:bCs/>
        </w:rPr>
        <w:t>-</w:t>
      </w:r>
      <w:r>
        <w:rPr>
          <w:bCs/>
          <w:lang w:val="en-US"/>
        </w:rPr>
        <w:t>C</w:t>
      </w:r>
      <w:r>
        <w:rPr>
          <w:bCs/>
        </w:rPr>
        <w:t>А</w:t>
      </w:r>
      <w:r>
        <w:rPr>
          <w:bCs/>
          <w:lang w:val="en-US"/>
        </w:rPr>
        <w:t>D</w:t>
      </w:r>
      <w:r>
        <w:t xml:space="preserve"> в качестве второй читки показало существенно более длительное времени чтения (322 ± 161 с), чем все другие варианты читок,</w:t>
      </w:r>
      <w:r>
        <w:t xml:space="preserve"> </w:t>
      </w:r>
      <w:r>
        <w:rPr>
          <w:lang w:val="en-US"/>
        </w:rPr>
        <w:t>p</w:t>
      </w:r>
      <w:r>
        <w:t xml:space="preserve">&lt;0,001. Самый быстрый вариант читки зарегистрирован при применении </w:t>
      </w:r>
      <w:r>
        <w:rPr>
          <w:bCs/>
          <w:lang w:val="en-US"/>
        </w:rPr>
        <w:t>DL</w:t>
      </w:r>
      <w:r>
        <w:rPr>
          <w:bCs/>
        </w:rPr>
        <w:t>-</w:t>
      </w:r>
      <w:r>
        <w:rPr>
          <w:bCs/>
          <w:lang w:val="en-US"/>
        </w:rPr>
        <w:t>C</w:t>
      </w:r>
      <w:r>
        <w:rPr>
          <w:bCs/>
        </w:rPr>
        <w:t>А</w:t>
      </w:r>
      <w:r>
        <w:rPr>
          <w:bCs/>
          <w:lang w:val="en-US"/>
        </w:rPr>
        <w:t>D</w:t>
      </w:r>
      <w:r>
        <w:rPr>
          <w:rFonts w:eastAsia="Times New Roman"/>
          <w:color w:val="000000"/>
          <w:lang w:eastAsia="ru-RU"/>
        </w:rPr>
        <w:t xml:space="preserve"> в роли первой читки, среднее время для читки одного исследования составило 23 секунды, что статистически достоверно, </w:t>
      </w:r>
      <w:r>
        <w:rPr>
          <w:lang w:val="en-US"/>
        </w:rPr>
        <w:t>p</w:t>
      </w:r>
      <w:r>
        <w:t>&lt;0,001.</w:t>
      </w:r>
      <w:r>
        <w:rPr>
          <w:rFonts w:eastAsia="Times New Roman"/>
          <w:color w:val="000000"/>
          <w:lang w:eastAsia="ru-RU"/>
        </w:rPr>
        <w:t xml:space="preserve"> </w:t>
      </w:r>
    </w:p>
    <w:p w:rsidR="00A75A8D" w:rsidRDefault="008A6A51">
      <w:pPr>
        <w:pStyle w:val="af3"/>
      </w:pPr>
      <w:r>
        <w:t>Таким образом, наиболее эффективным методом применени</w:t>
      </w:r>
      <w:r>
        <w:t xml:space="preserve">я </w:t>
      </w:r>
      <w:r>
        <w:rPr>
          <w:lang w:val="en-US"/>
        </w:rPr>
        <w:t>DL</w:t>
      </w:r>
      <w:r>
        <w:t>-</w:t>
      </w:r>
      <w:r>
        <w:rPr>
          <w:lang w:val="en-US"/>
        </w:rPr>
        <w:t>C</w:t>
      </w:r>
      <w:r>
        <w:t>А</w:t>
      </w:r>
      <w:r>
        <w:rPr>
          <w:lang w:val="en-US"/>
        </w:rPr>
        <w:t>D</w:t>
      </w:r>
      <w:r>
        <w:t xml:space="preserve"> является использование его в роли параллельной читки совместно с врачом-радиологом, что сокращает время на интерпретацию, сохраняя высокую чувствительность с наименьшим количеством ложно-положительных результатов. </w:t>
      </w:r>
    </w:p>
    <w:p w:rsidR="00A75A8D" w:rsidRDefault="00A75A8D">
      <w:pPr>
        <w:pStyle w:val="af3"/>
        <w:rPr>
          <w:lang w:eastAsia="ru-RU"/>
        </w:rPr>
      </w:pPr>
    </w:p>
    <w:p w:rsidR="00A75A8D" w:rsidRDefault="008A6A51">
      <w:pPr>
        <w:spacing w:after="0" w:line="240" w:lineRule="auto"/>
        <w:rPr>
          <w:rFonts w:ascii="Times New Roman" w:eastAsiaTheme="majorEastAsia" w:hAnsi="Times New Roman" w:cs="Times New Roman"/>
          <w:b/>
          <w:sz w:val="28"/>
          <w:szCs w:val="32"/>
        </w:rPr>
      </w:pPr>
      <w:r>
        <w:rPr>
          <w:rFonts w:ascii="Times New Roman" w:hAnsi="Times New Roman" w:cs="Times New Roman"/>
          <w:b/>
          <w:sz w:val="28"/>
        </w:rPr>
        <w:br w:type="page"/>
      </w:r>
    </w:p>
    <w:p w:rsidR="00A75A8D" w:rsidRDefault="008A6A51">
      <w:pPr>
        <w:pStyle w:val="1"/>
        <w:numPr>
          <w:ilvl w:val="0"/>
          <w:numId w:val="0"/>
        </w:numPr>
        <w:spacing w:before="0" w:line="240" w:lineRule="auto"/>
        <w:ind w:firstLine="567"/>
        <w:rPr>
          <w:rFonts w:ascii="Times New Roman" w:hAnsi="Times New Roman" w:cs="Times New Roman"/>
          <w:b/>
          <w:color w:val="FF0000"/>
          <w:sz w:val="28"/>
        </w:rPr>
      </w:pPr>
      <w:bookmarkStart w:id="24" w:name="_Toc186925743"/>
      <w:r>
        <w:rPr>
          <w:rFonts w:ascii="Times New Roman" w:hAnsi="Times New Roman" w:cs="Times New Roman"/>
          <w:b/>
          <w:color w:val="auto"/>
          <w:sz w:val="28"/>
        </w:rPr>
        <w:lastRenderedPageBreak/>
        <w:t>4 ОБСУЖДЕНИЕ</w:t>
      </w:r>
      <w:bookmarkEnd w:id="24"/>
      <w:r>
        <w:rPr>
          <w:rFonts w:ascii="Times New Roman" w:hAnsi="Times New Roman" w:cs="Times New Roman"/>
          <w:b/>
          <w:color w:val="auto"/>
          <w:sz w:val="28"/>
        </w:rPr>
        <w:t xml:space="preserve"> </w:t>
      </w:r>
    </w:p>
    <w:p w:rsidR="00A75A8D" w:rsidRDefault="00A75A8D">
      <w:pPr>
        <w:spacing w:after="0" w:line="240" w:lineRule="auto"/>
      </w:pP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 xml:space="preserve">По данным Международного агентства по изучению рака (IARC), в последние несколько десятилетий заболеваемость раком легкого в мире неуклонно растет [27, </w:t>
      </w:r>
      <w:r>
        <w:rPr>
          <w:rFonts w:ascii="Times New Roman" w:hAnsi="Times New Roman" w:cs="Times New Roman"/>
          <w:bCs/>
          <w:sz w:val="28"/>
          <w:szCs w:val="28"/>
          <w:lang w:val="en-US"/>
        </w:rPr>
        <w:t>p</w:t>
      </w:r>
      <w:r>
        <w:rPr>
          <w:rFonts w:ascii="Times New Roman" w:hAnsi="Times New Roman" w:cs="Times New Roman"/>
          <w:bCs/>
          <w:sz w:val="28"/>
          <w:szCs w:val="28"/>
        </w:rPr>
        <w:t>. 223]. Рак легкого имеет самую высокую заболеваемость в развивающихся странах, включая Россию, Китай и</w:t>
      </w:r>
      <w:r>
        <w:rPr>
          <w:rFonts w:ascii="Times New Roman" w:hAnsi="Times New Roman" w:cs="Times New Roman"/>
          <w:bCs/>
          <w:sz w:val="28"/>
          <w:szCs w:val="28"/>
        </w:rPr>
        <w:t xml:space="preserve"> большую часть Восточной Европы, Ближнего Востока и Юго-Восточной Азии, а также являлся основной причиной смерти в 93 странах мира, включая США, Россию и Китай по данным GLOBOCAN в 2020 году [160]. В Казахстане рак легкого также является актуальной проблем</w:t>
      </w:r>
      <w:r>
        <w:rPr>
          <w:rFonts w:ascii="Times New Roman" w:hAnsi="Times New Roman" w:cs="Times New Roman"/>
          <w:bCs/>
          <w:sz w:val="28"/>
          <w:szCs w:val="28"/>
        </w:rPr>
        <w:t>ой в связи с высокими показателями заболеваемости и смертности.</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В рамках нашей работы, мы изучили статистические показатели заболеваемости раком легкого в Казахстане за 10-летний период с 2009 по 2018 год. Средний стандартизированный по возрасту показатель</w:t>
      </w:r>
      <w:r>
        <w:rPr>
          <w:rFonts w:ascii="Times New Roman" w:hAnsi="Times New Roman" w:cs="Times New Roman"/>
          <w:bCs/>
          <w:sz w:val="28"/>
          <w:szCs w:val="28"/>
        </w:rPr>
        <w:t xml:space="preserve"> заболеваемости раком легкого в Казахстане составил 21,4 на 100 000 населения и был ниже, чем в некоторых развитых странах, таких как США, Канада, Франция, Нидерланды, где данный показатель варьирует от 35,2 до 49,5 на 100 000 населения. Однако, есть стран</w:t>
      </w:r>
      <w:r>
        <w:rPr>
          <w:rFonts w:ascii="Times New Roman" w:hAnsi="Times New Roman" w:cs="Times New Roman"/>
          <w:bCs/>
          <w:sz w:val="28"/>
          <w:szCs w:val="28"/>
        </w:rPr>
        <w:t>ы с более низкой заболеваемостью раком легкого, такие как Япония – 16,4 на 100 000 населения, Южная Корея – 21,1 на 100 000 населения, Сингапур – 18,3 на 100 000 населения [161], что свидетельствует о наличие различных факторов, влияющих на развитие рака л</w:t>
      </w:r>
      <w:r>
        <w:rPr>
          <w:rFonts w:ascii="Times New Roman" w:hAnsi="Times New Roman" w:cs="Times New Roman"/>
          <w:bCs/>
          <w:sz w:val="28"/>
          <w:szCs w:val="28"/>
        </w:rPr>
        <w:t xml:space="preserve">егкого.  </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Согласно литературным данным, наиболее значимыми предрасполагающими факторами развития рака легкого являются табакокурение, радоновое загрязнение окружающей среды и некоторые демографические характеристики населения. Понимание влияния данных факт</w:t>
      </w:r>
      <w:r>
        <w:rPr>
          <w:rFonts w:ascii="Times New Roman" w:hAnsi="Times New Roman" w:cs="Times New Roman"/>
          <w:bCs/>
          <w:sz w:val="28"/>
          <w:szCs w:val="28"/>
        </w:rPr>
        <w:t xml:space="preserve">оров в отдельных странах имеет решающее значение для разработки методов профилактики и улучшения раннего выявления рака легкого, что приведет к эффективному лечению и увеличению продолжительности жизни. </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По данным Всемирной организации здравоохранения, рак</w:t>
      </w:r>
      <w:r>
        <w:rPr>
          <w:rFonts w:ascii="Times New Roman" w:hAnsi="Times New Roman" w:cs="Times New Roman"/>
          <w:bCs/>
          <w:sz w:val="28"/>
          <w:szCs w:val="28"/>
        </w:rPr>
        <w:t xml:space="preserve"> легкого является наиболее распространенным видом рака у мужчин и третьим по распространенности видом рака у женщин после рака молочной железы и колоректального рака. Стандартизированный по возрасту показатель заболеваемости раком легкого в мире в 2020 год</w:t>
      </w:r>
      <w:r>
        <w:rPr>
          <w:rFonts w:ascii="Times New Roman" w:hAnsi="Times New Roman" w:cs="Times New Roman"/>
          <w:bCs/>
          <w:sz w:val="28"/>
          <w:szCs w:val="28"/>
        </w:rPr>
        <w:t xml:space="preserve">у составил 35,5 на 100 000 населения для мужчин и 14,3 на 100 000 для женщин [161, р. 25]. В Европе стандартизированный по возрасту уровень заболеваемости раком легкого у мужчин составляет 52,1 на 100 000 населения по сравнению с 19,4 на 100 000 у женщин, </w:t>
      </w:r>
      <w:r>
        <w:rPr>
          <w:rFonts w:ascii="Times New Roman" w:hAnsi="Times New Roman" w:cs="Times New Roman"/>
          <w:bCs/>
          <w:sz w:val="28"/>
          <w:szCs w:val="28"/>
        </w:rPr>
        <w:t>таким образом, заболеваемость раком легкого примерно в 2,7 раза выше у мужчин, чем у женщин в Европейских странах. В Азии соотношение заболеваемости раком легкого у мужчин и женщин более изменчиво, при этом в некоторых странах заболеваемость среди женщин в</w:t>
      </w:r>
      <w:r>
        <w:rPr>
          <w:rFonts w:ascii="Times New Roman" w:hAnsi="Times New Roman" w:cs="Times New Roman"/>
          <w:bCs/>
          <w:sz w:val="28"/>
          <w:szCs w:val="28"/>
        </w:rPr>
        <w:t>ыше, чем среди мужчин [160-162]. Показатели заболеваемости среди женщин в Китае (22,8 на 100 000 населения) не отличаются от показателей, наблюдаемых среди женщин в ряде западноевропейских стран, несмотря на существенные различия в распространенности курен</w:t>
      </w:r>
      <w:r>
        <w:rPr>
          <w:rFonts w:ascii="Times New Roman" w:hAnsi="Times New Roman" w:cs="Times New Roman"/>
          <w:bCs/>
          <w:sz w:val="28"/>
          <w:szCs w:val="28"/>
        </w:rPr>
        <w:t xml:space="preserve">ия между двумя популяциями. Считается, что высокие </w:t>
      </w:r>
      <w:r>
        <w:rPr>
          <w:rFonts w:ascii="Times New Roman" w:hAnsi="Times New Roman" w:cs="Times New Roman"/>
          <w:bCs/>
          <w:sz w:val="28"/>
          <w:szCs w:val="28"/>
        </w:rPr>
        <w:lastRenderedPageBreak/>
        <w:t>показатели заболеваемости раком легкого у женщин в Китае, несмотря на низкую распространенность курения, отражают повышенное воздействие дыма от сжигания древесного угля для обогрева и приготовления пищи [</w:t>
      </w:r>
      <w:r>
        <w:rPr>
          <w:rFonts w:ascii="Times New Roman" w:hAnsi="Times New Roman" w:cs="Times New Roman"/>
          <w:bCs/>
          <w:sz w:val="28"/>
          <w:szCs w:val="28"/>
        </w:rPr>
        <w:t xml:space="preserve">163,164]. </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Согласно исследованию Huang J. c соавторами, у мужчин наблюдалась тенденция снижения заболеваемости раком легкого, в то время как у женщин — тенденция роста. К странам с данной тенденцией отнесены: Италия, Словения и Чешская Республика, где было</w:t>
      </w:r>
      <w:r>
        <w:rPr>
          <w:rFonts w:ascii="Times New Roman" w:hAnsi="Times New Roman" w:cs="Times New Roman"/>
          <w:bCs/>
          <w:sz w:val="28"/>
          <w:szCs w:val="28"/>
        </w:rPr>
        <w:t xml:space="preserve"> зарегистрировано самое высокое снижение заболеваемости среди мужчин. В Норвегии, Италии и Австралии отмечался наибольший прирост заболеваемости у женщин [165].</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В рамках нашего исследования заболеваемость раком легкого в зависимости от пола в Казахстане за</w:t>
      </w:r>
      <w:r>
        <w:rPr>
          <w:rFonts w:ascii="Times New Roman" w:hAnsi="Times New Roman" w:cs="Times New Roman"/>
          <w:bCs/>
          <w:sz w:val="28"/>
          <w:szCs w:val="28"/>
        </w:rPr>
        <w:t xml:space="preserve"> изучаемый период у мужчин отмечалась выше, чем у женщин, что сопоставимо с мировыми данными. Однако, в динамике за 10-летний период среди заболевших раком легкого обоих полов отмечается увеличение доли женщин. В 2009 году доля женщин составила 18,4% проти</w:t>
      </w:r>
      <w:r>
        <w:rPr>
          <w:rFonts w:ascii="Times New Roman" w:hAnsi="Times New Roman" w:cs="Times New Roman"/>
          <w:bCs/>
          <w:sz w:val="28"/>
          <w:szCs w:val="28"/>
        </w:rPr>
        <w:t xml:space="preserve">в 81,6% мужчин, в то время как в 2018 году доля заболевших женщин возросла до 21% против 79% заболевших мужчин.    </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Согласно международным исследованиям в 2022 году зарегистрировано 1,8 миллиона новых случаев смерти от рака легкого, что составляет 18,7% всех летальных случаев в структуре онкопатологии. Распределение показателя смертности от рака легкого в мире аналогичн</w:t>
      </w:r>
      <w:r>
        <w:rPr>
          <w:rFonts w:ascii="Times New Roman" w:hAnsi="Times New Roman" w:cs="Times New Roman"/>
          <w:bCs/>
          <w:sz w:val="28"/>
          <w:szCs w:val="28"/>
        </w:rPr>
        <w:t xml:space="preserve">о распределению показателя  заболеваемости данной патологии [1, р 3]. </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В исследовании Huang J. c соавторами, изучающими мировые тренды в отношении заболеваемости и смертности от рака легкого, в 17 странах среди мужской популяции наблюдалась тенденция к сни</w:t>
      </w:r>
      <w:r>
        <w:rPr>
          <w:rFonts w:ascii="Times New Roman" w:hAnsi="Times New Roman" w:cs="Times New Roman"/>
          <w:bCs/>
          <w:sz w:val="28"/>
          <w:szCs w:val="28"/>
        </w:rPr>
        <w:t xml:space="preserve">жению, а у женщин - к увеличению показателя смертности от рака легкого [165 </w:t>
      </w:r>
      <w:r>
        <w:rPr>
          <w:rFonts w:ascii="Times New Roman" w:hAnsi="Times New Roman" w:cs="Times New Roman"/>
          <w:bCs/>
          <w:sz w:val="28"/>
          <w:szCs w:val="28"/>
          <w:lang w:val="en-US"/>
        </w:rPr>
        <w:t>p</w:t>
      </w:r>
      <w:r>
        <w:rPr>
          <w:rFonts w:ascii="Times New Roman" w:hAnsi="Times New Roman" w:cs="Times New Roman"/>
          <w:bCs/>
          <w:sz w:val="28"/>
          <w:szCs w:val="28"/>
        </w:rPr>
        <w:t xml:space="preserve"> 3]. </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Исследование Kim A. с соавторами показало, что 57,9% (22 из 38) и 83,3% (30 из 36) стран показали снижение смертности от рака легких у мужчин, а 50,0% (19 из 38) и 44,4% (16</w:t>
      </w:r>
      <w:r>
        <w:rPr>
          <w:rFonts w:ascii="Times New Roman" w:hAnsi="Times New Roman" w:cs="Times New Roman"/>
          <w:bCs/>
          <w:sz w:val="28"/>
          <w:szCs w:val="28"/>
        </w:rPr>
        <w:t xml:space="preserve"> из 36) стран имели тенденции к увеличению смертности среди женщин [166]. Исследование других авторов показало, что смертность от рака легкого в Соединенных Штатах Америки снизились среди мужчин и увеличились среди женщин в период с 1975 по 2005 год [167,1</w:t>
      </w:r>
      <w:r>
        <w:rPr>
          <w:rFonts w:ascii="Times New Roman" w:hAnsi="Times New Roman" w:cs="Times New Roman"/>
          <w:bCs/>
          <w:sz w:val="28"/>
          <w:szCs w:val="28"/>
        </w:rPr>
        <w:t xml:space="preserve">68]. </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Проведенный анализ показателя смертности за 2009-2018 годы показал тенденцию к снижению. Среднее значение за 10-летний период составило 16,5 на 100 000 населения среди обоих полов - 27,9 на 100 000 населения в мужской популяции и 5,8 на 100 000 насел</w:t>
      </w:r>
      <w:r>
        <w:rPr>
          <w:rFonts w:ascii="Times New Roman" w:hAnsi="Times New Roman" w:cs="Times New Roman"/>
          <w:bCs/>
          <w:sz w:val="28"/>
          <w:szCs w:val="28"/>
        </w:rPr>
        <w:t xml:space="preserve">ения среди женщин. </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Для анализа половозрастных особенностей заболеваемости раком легкого в РК, мы изучили все впервые диагностированные случаи за период с 2009 по 2018 год. За анализируемый период зарегистрировано 36 744 новых случаев рака легкого, при это</w:t>
      </w:r>
      <w:r>
        <w:rPr>
          <w:rFonts w:ascii="Times New Roman" w:hAnsi="Times New Roman" w:cs="Times New Roman"/>
          <w:bCs/>
          <w:sz w:val="28"/>
          <w:szCs w:val="28"/>
        </w:rPr>
        <w:t>м в возрастных категориях от 0 до 24 лет, выявлены единичные случаи рака легкого, что составило 0,12% случаев (46/36 744), в то время как начиная с возраста 25 лет наблюдается увеличение ежегодно регистрируемых новых случаев, с максимальными показателями в</w:t>
      </w:r>
      <w:r>
        <w:rPr>
          <w:rFonts w:ascii="Times New Roman" w:hAnsi="Times New Roman" w:cs="Times New Roman"/>
          <w:bCs/>
          <w:sz w:val="28"/>
          <w:szCs w:val="28"/>
        </w:rPr>
        <w:t xml:space="preserve"> возрастной группе 70 лет и старше – 29,7% случая (10 922/36 744), из них большинство приходится на мужскую популяцию – 75,5% случая (8 253/10 922). Превалирование впервые </w:t>
      </w:r>
      <w:r>
        <w:rPr>
          <w:rFonts w:ascii="Times New Roman" w:hAnsi="Times New Roman" w:cs="Times New Roman"/>
          <w:bCs/>
          <w:sz w:val="28"/>
          <w:szCs w:val="28"/>
        </w:rPr>
        <w:lastRenderedPageBreak/>
        <w:t>выявленных случаев рака легкого приходилось на возрастные группы 50-54 года - 9,9% (</w:t>
      </w:r>
      <w:r>
        <w:rPr>
          <w:rFonts w:ascii="Times New Roman" w:hAnsi="Times New Roman" w:cs="Times New Roman"/>
          <w:bCs/>
          <w:sz w:val="28"/>
          <w:szCs w:val="28"/>
        </w:rPr>
        <w:t xml:space="preserve">3 662/36 744), 55-59 лет - 16,3% (5 993/36 744), 60-64 года - 19,9% (7 340/36 744), 65-69 лет - 16,2% (5 982/36 744 и старше 70 лет - 29,7% (10 922/36 744), что составляет 92% от всех впервые зарегистрированных случаев. За анализируемый период в структуре </w:t>
      </w:r>
      <w:r>
        <w:rPr>
          <w:rFonts w:ascii="Times New Roman" w:hAnsi="Times New Roman" w:cs="Times New Roman"/>
          <w:bCs/>
          <w:sz w:val="28"/>
          <w:szCs w:val="28"/>
        </w:rPr>
        <w:t>заболевших раком легкого, мужчины всех возрастов составляли 75,8%, женщины – 24,2%.</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Проведенные исследования выявили тесную связь между пожилым возрастом и повышенной заболеваемостью раком легкого. По данным Американского онкологического общества (ACS), бо</w:t>
      </w:r>
      <w:r>
        <w:rPr>
          <w:rFonts w:ascii="Times New Roman" w:hAnsi="Times New Roman" w:cs="Times New Roman"/>
          <w:bCs/>
          <w:sz w:val="28"/>
          <w:szCs w:val="28"/>
        </w:rPr>
        <w:t>льшинство случаев рака легкого встречается у лиц старше 65 лет, а самые высокие показатели наблюдаются у лиц в возрасте 75 лет и старше. Пожилой возраст связан с развитием рака легкого из-за биологических факторов, которые включают повреждение ДНК с течени</w:t>
      </w:r>
      <w:r>
        <w:rPr>
          <w:rFonts w:ascii="Times New Roman" w:hAnsi="Times New Roman" w:cs="Times New Roman"/>
          <w:bCs/>
          <w:sz w:val="28"/>
          <w:szCs w:val="28"/>
        </w:rPr>
        <w:t xml:space="preserve">ем времени и укорочение теломер. Соответственно, средний возраст постановки диагноза рака легкого составляет 70 лет как для мужчин, так и для женщин [35, </w:t>
      </w:r>
      <w:r>
        <w:rPr>
          <w:rFonts w:ascii="Times New Roman" w:hAnsi="Times New Roman" w:cs="Times New Roman"/>
          <w:bCs/>
          <w:sz w:val="28"/>
          <w:szCs w:val="28"/>
          <w:lang w:val="en-US"/>
        </w:rPr>
        <w:t>p</w:t>
      </w:r>
      <w:r>
        <w:rPr>
          <w:rFonts w:ascii="Times New Roman" w:hAnsi="Times New Roman" w:cs="Times New Roman"/>
          <w:bCs/>
          <w:sz w:val="28"/>
          <w:szCs w:val="28"/>
        </w:rPr>
        <w:t>. 5]. Согласно мировой статистике, около 53% случаев приходится на лиц в возрасте от 55 до 74 лет и 3</w:t>
      </w:r>
      <w:r>
        <w:rPr>
          <w:rFonts w:ascii="Times New Roman" w:hAnsi="Times New Roman" w:cs="Times New Roman"/>
          <w:bCs/>
          <w:sz w:val="28"/>
          <w:szCs w:val="28"/>
        </w:rPr>
        <w:t>7% — старше 75 лет. Самая высокая заболеваемость раком легкого у мужчин составляет 585,9 на 100 000 населения в возрасте 85–89 лет, а самая высокая заболеваемость у женщин — 365,8 на 100 000 населения в возрасте 75–79 лет. Рак легкого в мире является ведущ</w:t>
      </w:r>
      <w:r>
        <w:rPr>
          <w:rFonts w:ascii="Times New Roman" w:hAnsi="Times New Roman" w:cs="Times New Roman"/>
          <w:bCs/>
          <w:sz w:val="28"/>
          <w:szCs w:val="28"/>
        </w:rPr>
        <w:t xml:space="preserve">ей причиной любой смерти мужчин старше 40 лет и женщин старше 59 лет [36, </w:t>
      </w:r>
      <w:r>
        <w:rPr>
          <w:rFonts w:ascii="Times New Roman" w:hAnsi="Times New Roman" w:cs="Times New Roman"/>
          <w:bCs/>
          <w:sz w:val="28"/>
          <w:szCs w:val="28"/>
          <w:lang w:val="en-US"/>
        </w:rPr>
        <w:t>p</w:t>
      </w:r>
      <w:r>
        <w:rPr>
          <w:rFonts w:ascii="Times New Roman" w:hAnsi="Times New Roman" w:cs="Times New Roman"/>
          <w:bCs/>
          <w:sz w:val="28"/>
          <w:szCs w:val="28"/>
        </w:rPr>
        <w:t>. 4].</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Согласно литературным данным, рак легкого наблюдается и у молодых людей. Десять процентов случаев приходится на пациентов моложе 55 лет. Исследования немелкоклеточного рака ле</w:t>
      </w:r>
      <w:r>
        <w:rPr>
          <w:rFonts w:ascii="Times New Roman" w:hAnsi="Times New Roman" w:cs="Times New Roman"/>
          <w:bCs/>
          <w:sz w:val="28"/>
          <w:szCs w:val="28"/>
        </w:rPr>
        <w:t xml:space="preserve">гкого (НМРЛ) у пациентов в возрасте 20–46 лет показали, что молодые пациенты с раком легкого чаще являются не курящими женщинами, имеют гистологический тип аденокарциномы и имеют более распространенные стадии болезни [169]. </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 xml:space="preserve">По данным нашего исследования, </w:t>
      </w:r>
      <w:r>
        <w:rPr>
          <w:rFonts w:ascii="Times New Roman" w:hAnsi="Times New Roman" w:cs="Times New Roman"/>
          <w:bCs/>
          <w:sz w:val="28"/>
          <w:szCs w:val="28"/>
        </w:rPr>
        <w:t xml:space="preserve">летальные случаи от рака легкого у женщин ежегодно регистрируются, начиная с возрастной категории 25-29 лет, у мужчин – с 30-34 лет, нарастают в каждой следующей возрастной группе и достигают максимальных значений у обоих полов в возрасте 70 лет и старше. </w:t>
      </w:r>
      <w:r>
        <w:rPr>
          <w:rFonts w:ascii="Times New Roman" w:hAnsi="Times New Roman" w:cs="Times New Roman"/>
          <w:bCs/>
          <w:sz w:val="28"/>
          <w:szCs w:val="28"/>
        </w:rPr>
        <w:t>При более детальном анализе, за исследуемый период, начиная с возрастной категории 40-44 года, отмечается более значительный темп увеличения летальных случаев. Наибольшая доля умерших от рака легкого приходится на возрастные группы 55-59 лет - 16,4%, (4 61</w:t>
      </w:r>
      <w:r>
        <w:rPr>
          <w:rFonts w:ascii="Times New Roman" w:hAnsi="Times New Roman" w:cs="Times New Roman"/>
          <w:bCs/>
          <w:sz w:val="28"/>
          <w:szCs w:val="28"/>
        </w:rPr>
        <w:t xml:space="preserve">4/28 077) случаев, 60-64 года - 20,1% (5 661/28 077), 65-69 лет - 16,3% (4 594/28 077), и старше 70 лет - 29,4% (8 256/28 077), что составляет 82,3% от всех летальных случаев от рака легкого. </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Несмотря на общую тенденцию снижения показателей заболеваемости</w:t>
      </w:r>
      <w:r>
        <w:rPr>
          <w:rFonts w:ascii="Times New Roman" w:hAnsi="Times New Roman" w:cs="Times New Roman"/>
          <w:bCs/>
          <w:sz w:val="28"/>
          <w:szCs w:val="28"/>
        </w:rPr>
        <w:t xml:space="preserve"> и смертности от рака легкого процент выявления данного заболевания на поздних стадиях остается высоким. На момент первичной диагностики, около 75% пациентов имеют поражение регионарных лимфатических узлов или отдаленное метастазирование, а 5-летняя выжива</w:t>
      </w:r>
      <w:r>
        <w:rPr>
          <w:rFonts w:ascii="Times New Roman" w:hAnsi="Times New Roman" w:cs="Times New Roman"/>
          <w:bCs/>
          <w:sz w:val="28"/>
          <w:szCs w:val="28"/>
        </w:rPr>
        <w:t>емость у пациентов с клинической стадией IA составляет около 75%, в то время как при клинической стадии II-IV заболевания 5-летняя выживаемость колеблется от 40% до 5% [170].</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lastRenderedPageBreak/>
        <w:t xml:space="preserve">В результате Канадского исследования Shirley B. с соавторами за период с 2011 по </w:t>
      </w:r>
      <w:r>
        <w:rPr>
          <w:rFonts w:ascii="Times New Roman" w:hAnsi="Times New Roman" w:cs="Times New Roman"/>
          <w:bCs/>
          <w:sz w:val="28"/>
          <w:szCs w:val="28"/>
        </w:rPr>
        <w:t>2015 год 49,6% всех новых случаев рака легкого диагностированы на IV стадии [171]. Согласно данным другого исследования, проведенном в США, доля заболевших раком легкого, диагностированных на локализованной стадии, увеличилась с 17% в середине 2000-х годов</w:t>
      </w:r>
      <w:r>
        <w:rPr>
          <w:rFonts w:ascii="Times New Roman" w:hAnsi="Times New Roman" w:cs="Times New Roman"/>
          <w:bCs/>
          <w:sz w:val="28"/>
          <w:szCs w:val="28"/>
        </w:rPr>
        <w:t xml:space="preserve"> до 20% в 2013 году и на 28% в 2018 году, что, вероятно, связано с рекомендациями USPSTF по внедрению скрининга рака легкого в 2013 году [172].</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В нашем исследовании за анализируемый период с 2009 по 2018 год отмечено превалирование 3-4 стадий, что в средне</w:t>
      </w:r>
      <w:r>
        <w:rPr>
          <w:rFonts w:ascii="Times New Roman" w:hAnsi="Times New Roman" w:cs="Times New Roman"/>
          <w:bCs/>
          <w:sz w:val="28"/>
          <w:szCs w:val="28"/>
        </w:rPr>
        <w:t xml:space="preserve">м составило 74,2%, с преобладанием 3А стадии. За изучаемый период удельный вес I-II стадий увеличился с 21,9% до 27,5%, что сопоставимо с данными международных литературных источников. </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Анализ легочных узлов, выявленных при низкодозной компьютерной томогра</w:t>
      </w:r>
      <w:r>
        <w:rPr>
          <w:rFonts w:ascii="Times New Roman" w:hAnsi="Times New Roman" w:cs="Times New Roman"/>
          <w:bCs/>
          <w:sz w:val="28"/>
          <w:szCs w:val="28"/>
        </w:rPr>
        <w:t>фии показал, что ранние (I-II) стадии рака легкого диагностированы в 39,2% случаев (31/79) пациентов. Из них у 8 (10,1%) рак легкого обнаружен на I стадии, по 4 пациента в IA и IB; у 23 (29,1%) пациента рак легкого диагностирован на II стадии: IIA - 9 (11,</w:t>
      </w:r>
      <w:r>
        <w:rPr>
          <w:rFonts w:ascii="Times New Roman" w:hAnsi="Times New Roman" w:cs="Times New Roman"/>
          <w:bCs/>
          <w:sz w:val="28"/>
          <w:szCs w:val="28"/>
        </w:rPr>
        <w:t>4%) и IIB - 14 (17,7%). В то время как большинство случаев рака легкого пришлось на III стадию - 47 (59,5%), из них: IIIA - 34 (43,0%), IIIB - 9 (11,4%) и IIIC - 4 (5,1%), IVA стадия обнаружена у одного пациента, что составило 1,3%. При сравнительном анали</w:t>
      </w:r>
      <w:r>
        <w:rPr>
          <w:rFonts w:ascii="Times New Roman" w:hAnsi="Times New Roman" w:cs="Times New Roman"/>
          <w:bCs/>
          <w:sz w:val="28"/>
          <w:szCs w:val="28"/>
        </w:rPr>
        <w:t>зе стадий рака легкого между среднегодовым показателем за исследуемый период с 2009 по 2018 год и в результате проведения низкодозной компьютерной томографии процент выявления рака легкого при I стадии увеличился на 38,7% с 6,2% до 10,1%; процент выявления</w:t>
      </w:r>
      <w:r>
        <w:rPr>
          <w:rFonts w:ascii="Times New Roman" w:hAnsi="Times New Roman" w:cs="Times New Roman"/>
          <w:bCs/>
          <w:sz w:val="28"/>
          <w:szCs w:val="28"/>
        </w:rPr>
        <w:t xml:space="preserve"> II стадии увеличился на 33% с 19,5% до 29,1%. Таким образом, общий процент выявления рака легкого на ранних стадиях (I-II) увеличился на 34,4%, что в результате применения парного t-критерия Стьюдента для зависимых совокупностей показало статистически зна</w:t>
      </w:r>
      <w:r>
        <w:rPr>
          <w:rFonts w:ascii="Times New Roman" w:hAnsi="Times New Roman" w:cs="Times New Roman"/>
          <w:bCs/>
          <w:sz w:val="28"/>
          <w:szCs w:val="28"/>
        </w:rPr>
        <w:t>чимую связь, р&lt;0,001. Как в результате нашего исследования, так и в результате расчета среднегодового показателя за исследуемый период, процент выявления рака легкого на III стадии показал наивысшие значения 59,5% и 53,1% соответственно. Анализ данных пока</w:t>
      </w:r>
      <w:r>
        <w:rPr>
          <w:rFonts w:ascii="Times New Roman" w:hAnsi="Times New Roman" w:cs="Times New Roman"/>
          <w:bCs/>
          <w:sz w:val="28"/>
          <w:szCs w:val="28"/>
        </w:rPr>
        <w:t xml:space="preserve">зал, что в результате применения низкодозной компьютерной томографии легких отмечается статистически достоверное снижение процента выявления рака легкого IV стадии с 21,2% до 1,4%, р&lt;0,001.  </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Раннее выявление рака легкого приводит к лучшим результатам выжи</w:t>
      </w:r>
      <w:r>
        <w:rPr>
          <w:rFonts w:ascii="Times New Roman" w:hAnsi="Times New Roman" w:cs="Times New Roman"/>
          <w:bCs/>
          <w:sz w:val="28"/>
          <w:szCs w:val="28"/>
        </w:rPr>
        <w:t>ваемости. Исторически единственными диагностическими тестами, доступными для выявления рака легкого на его ранних стадиях, являлись рентгенография органов грудной клетки и цитологическое исследование мокроты. Однако, результаты показали, что эти два метода</w:t>
      </w:r>
      <w:r>
        <w:rPr>
          <w:rFonts w:ascii="Times New Roman" w:hAnsi="Times New Roman" w:cs="Times New Roman"/>
          <w:bCs/>
          <w:sz w:val="28"/>
          <w:szCs w:val="28"/>
        </w:rPr>
        <w:t xml:space="preserve"> скрининга потерпели неудачу в клинических испытаниях и не смогли продемонстрировать свою эффективность в качестве инструментов массового скрининга [6, </w:t>
      </w:r>
      <w:r>
        <w:rPr>
          <w:rFonts w:ascii="Times New Roman" w:hAnsi="Times New Roman" w:cs="Times New Roman"/>
          <w:bCs/>
          <w:sz w:val="28"/>
          <w:szCs w:val="28"/>
          <w:lang w:val="en-US"/>
        </w:rPr>
        <w:t>p</w:t>
      </w:r>
      <w:r>
        <w:rPr>
          <w:rFonts w:ascii="Times New Roman" w:hAnsi="Times New Roman" w:cs="Times New Roman"/>
          <w:bCs/>
          <w:sz w:val="28"/>
          <w:szCs w:val="28"/>
        </w:rPr>
        <w:t xml:space="preserve">. 392, 7, р. </w:t>
      </w:r>
      <w:r>
        <w:rPr>
          <w:rFonts w:ascii="Times New Roman" w:hAnsi="Times New Roman" w:cs="Times New Roman"/>
          <w:bCs/>
          <w:sz w:val="28"/>
          <w:szCs w:val="28"/>
          <w:lang w:val="en-US"/>
        </w:rPr>
        <w:t>S</w:t>
      </w:r>
      <w:r>
        <w:rPr>
          <w:rFonts w:ascii="Times New Roman" w:hAnsi="Times New Roman" w:cs="Times New Roman"/>
          <w:bCs/>
          <w:sz w:val="28"/>
          <w:szCs w:val="28"/>
        </w:rPr>
        <w:t xml:space="preserve">526, 173]. </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В настоящее время, современные рандомизированные исследования, по изучению ни</w:t>
      </w:r>
      <w:r>
        <w:rPr>
          <w:rFonts w:ascii="Times New Roman" w:hAnsi="Times New Roman" w:cs="Times New Roman"/>
          <w:bCs/>
          <w:sz w:val="28"/>
          <w:szCs w:val="28"/>
        </w:rPr>
        <w:t xml:space="preserve">зкодозной компьютерной томографии органов грудной клетки для вторичной профилактики рака легкого показали снижение смертности в группах </w:t>
      </w:r>
      <w:r>
        <w:rPr>
          <w:rFonts w:ascii="Times New Roman" w:hAnsi="Times New Roman" w:cs="Times New Roman"/>
          <w:bCs/>
          <w:sz w:val="28"/>
          <w:szCs w:val="28"/>
        </w:rPr>
        <w:lastRenderedPageBreak/>
        <w:t>высокого риска. Так, по данным национального исследования по скринингу рака легкого в США (NLST) было установлено снижен</w:t>
      </w:r>
      <w:r>
        <w:rPr>
          <w:rFonts w:ascii="Times New Roman" w:hAnsi="Times New Roman" w:cs="Times New Roman"/>
          <w:bCs/>
          <w:sz w:val="28"/>
          <w:szCs w:val="28"/>
        </w:rPr>
        <w:t>ие смертности на 20% при сравнении низкодозной компьютерной томографии с рентгенографией грудной клетки, а согласно полученным данным из исследования Nederlands-Leuvens Longkanker Screenings Onderzoek (NELSON), в котором сравнивали низкодозную компьютерную</w:t>
      </w:r>
      <w:r>
        <w:rPr>
          <w:rFonts w:ascii="Times New Roman" w:hAnsi="Times New Roman" w:cs="Times New Roman"/>
          <w:bCs/>
          <w:sz w:val="28"/>
          <w:szCs w:val="28"/>
        </w:rPr>
        <w:t xml:space="preserve"> томографию с группой участников, не прошедших скрининг, снижение смертности отмечалось до 24% [174,175]. В исследовании Multicentric Italian Lung Detection (MILD) не отмечено значительного снижения смертности от рака легкого, однако зафиксировано значител</w:t>
      </w:r>
      <w:r>
        <w:rPr>
          <w:rFonts w:ascii="Times New Roman" w:hAnsi="Times New Roman" w:cs="Times New Roman"/>
          <w:bCs/>
          <w:sz w:val="28"/>
          <w:szCs w:val="28"/>
        </w:rPr>
        <w:t xml:space="preserve">ьное снижение кумулятивного риска смертности от рака легкого на 39% через 10 лет в группе с применением низкодозной компьютерной томографии [155, р. 1509]. </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В настоящее время, согласно рекомендациям, US Preventive Services Task Force (USPSTF) ежегодный скр</w:t>
      </w:r>
      <w:r>
        <w:rPr>
          <w:rFonts w:ascii="Times New Roman" w:hAnsi="Times New Roman" w:cs="Times New Roman"/>
          <w:bCs/>
          <w:sz w:val="28"/>
          <w:szCs w:val="28"/>
        </w:rPr>
        <w:t>ининг рака легкого с применением низкодозной компьютерной томографии рекомендован только в США, у лиц в возрасте 50–80 лет, которые имеют стаж курения 20 пачка/лет, курят в настоящее время или бросили в течение последних 15 лет [174].</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Обязательным условием</w:t>
      </w:r>
      <w:r>
        <w:rPr>
          <w:rFonts w:ascii="Times New Roman" w:hAnsi="Times New Roman" w:cs="Times New Roman"/>
          <w:bCs/>
          <w:sz w:val="28"/>
          <w:szCs w:val="28"/>
        </w:rPr>
        <w:t xml:space="preserve"> эффективности ранней диагностики рака легкого и снижения, связанного с ним вреда, является надлежащий отбор населения с высоким риском. В большинстве исследований, представленных выше, участников отбирали по возрасту и статусу курения, и, как упоминалось </w:t>
      </w:r>
      <w:r>
        <w:rPr>
          <w:rFonts w:ascii="Times New Roman" w:hAnsi="Times New Roman" w:cs="Times New Roman"/>
          <w:bCs/>
          <w:sz w:val="28"/>
          <w:szCs w:val="28"/>
        </w:rPr>
        <w:t xml:space="preserve">ранее, они продемонстрировали значительное снижение смертности от рака легкого при использовании низкодозной компьютерной томографии, путем выявления ранних стадий заболевания. </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В выше перечисленных рандомизированных исследованиях (NLST, NELSON, MILD) возр</w:t>
      </w:r>
      <w:r>
        <w:rPr>
          <w:rFonts w:ascii="Times New Roman" w:hAnsi="Times New Roman" w:cs="Times New Roman"/>
          <w:bCs/>
          <w:sz w:val="28"/>
          <w:szCs w:val="28"/>
        </w:rPr>
        <w:t xml:space="preserve">астной диапазон участников варьировал от 49 до 75 лет, исходя из демографических особенностей каждой из стран. </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В нашем исследовании при выборе возрастной группы для проведения низкодозной компьютерной томографии органов грудной клетки нами выбран возрастн</w:t>
      </w:r>
      <w:r>
        <w:rPr>
          <w:rFonts w:ascii="Times New Roman" w:hAnsi="Times New Roman" w:cs="Times New Roman"/>
          <w:bCs/>
          <w:sz w:val="28"/>
          <w:szCs w:val="28"/>
        </w:rPr>
        <w:t xml:space="preserve">ой диапазон от 40 до 75 лет.  Как известно, большинство из пациентов на момент первичной диагностики имеют распространенные формы рака легкого. Поэтому, учитывая, что рост заболеваемости раком легкого в РК отмечается с 50 лет, нами выбран нижний порог для </w:t>
      </w:r>
      <w:r>
        <w:rPr>
          <w:rFonts w:ascii="Times New Roman" w:hAnsi="Times New Roman" w:cs="Times New Roman"/>
          <w:bCs/>
          <w:sz w:val="28"/>
          <w:szCs w:val="28"/>
        </w:rPr>
        <w:t>начала скрининга - 40 лет. Верхний диапазон в 75 лет выбран так как лица старческого возраста (согласно классификации ВОЗ от 75 до 90 лет) имеют сопутствующие заболевания, которые могут ограничивать в выборе адекватного и радикального лечения. Также при вы</w:t>
      </w:r>
      <w:r>
        <w:rPr>
          <w:rFonts w:ascii="Times New Roman" w:hAnsi="Times New Roman" w:cs="Times New Roman"/>
          <w:bCs/>
          <w:sz w:val="28"/>
          <w:szCs w:val="28"/>
        </w:rPr>
        <w:t xml:space="preserve">боре верхней границы возрастного ценза имело значение средняя продолжительность жизни в РК, которая на 2018 год составляла 73,1 год. </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По результатам нашего исследования, мы получили статистически достоверные данные в отношении риска рака легкого среди учас</w:t>
      </w:r>
      <w:r>
        <w:rPr>
          <w:rFonts w:ascii="Times New Roman" w:hAnsi="Times New Roman" w:cs="Times New Roman"/>
          <w:bCs/>
          <w:sz w:val="28"/>
          <w:szCs w:val="28"/>
        </w:rPr>
        <w:t>тников возрастной категории 70-75 лет. Т.е. риск в данной возрастной категории отмечался выше, чем в группах 50-59 лет и 60-69 лет, что можно объяснить кумулятивным воздействием канцерогенов с течением времени, таких как табачный дым и загрязнение окружающ</w:t>
      </w:r>
      <w:r>
        <w:rPr>
          <w:rFonts w:ascii="Times New Roman" w:hAnsi="Times New Roman" w:cs="Times New Roman"/>
          <w:bCs/>
          <w:sz w:val="28"/>
          <w:szCs w:val="28"/>
        </w:rPr>
        <w:t xml:space="preserve">ей среды [175-176], а также </w:t>
      </w:r>
      <w:r>
        <w:rPr>
          <w:rFonts w:ascii="Times New Roman" w:hAnsi="Times New Roman" w:cs="Times New Roman"/>
          <w:bCs/>
          <w:sz w:val="28"/>
          <w:szCs w:val="28"/>
        </w:rPr>
        <w:lastRenderedPageBreak/>
        <w:t>особенностями иммунной системы, а именно нарушение механизмов репарации ДНК, которые приводят к снижению защитной функции иммунных клеток [177].</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Изучение влияния стажа курения на развитие рака легкого также имеет важное значение для проведения низкодозного скрининга. В то время как Американские и Европейские исследования строго включали курильщиков со стажем от 15 до 30 пачка/лет, ряд Азиатских исс</w:t>
      </w:r>
      <w:r>
        <w:rPr>
          <w:rFonts w:ascii="Times New Roman" w:hAnsi="Times New Roman" w:cs="Times New Roman"/>
          <w:bCs/>
          <w:sz w:val="28"/>
          <w:szCs w:val="28"/>
        </w:rPr>
        <w:t xml:space="preserve">ледований продемонстрировали эффективность применения низкодозной компьютерной томографии как среди курильщиков, так и не курящих лиц. </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 xml:space="preserve">В исследовании Kakinuma </w:t>
      </w:r>
      <w:r>
        <w:rPr>
          <w:rFonts w:ascii="Times New Roman" w:hAnsi="Times New Roman" w:cs="Times New Roman"/>
          <w:bCs/>
          <w:sz w:val="28"/>
          <w:szCs w:val="28"/>
          <w:lang w:val="en-US"/>
        </w:rPr>
        <w:t>R</w:t>
      </w:r>
      <w:r>
        <w:rPr>
          <w:rFonts w:ascii="Times New Roman" w:hAnsi="Times New Roman" w:cs="Times New Roman"/>
          <w:bCs/>
          <w:sz w:val="28"/>
          <w:szCs w:val="28"/>
        </w:rPr>
        <w:t>. с соавторами изучали эффективность низкодозной компьютерной томографии органов грудной клетки</w:t>
      </w:r>
      <w:r>
        <w:rPr>
          <w:rFonts w:ascii="Times New Roman" w:hAnsi="Times New Roman" w:cs="Times New Roman"/>
          <w:bCs/>
          <w:sz w:val="28"/>
          <w:szCs w:val="28"/>
        </w:rPr>
        <w:t xml:space="preserve"> в ранней диагностике рака легкого у заядлых курильщиков (30 пачка/лет и более), не курящих и лиц, курящих менее 30 пачка/лет. Согласно полученным данным рак легкого у не курящих выявлен в 49,6% случаев, у курильщиков со стажем курения менее 30 пачка/лет в</w:t>
      </w:r>
      <w:r>
        <w:rPr>
          <w:rFonts w:ascii="Times New Roman" w:hAnsi="Times New Roman" w:cs="Times New Roman"/>
          <w:bCs/>
          <w:sz w:val="28"/>
          <w:szCs w:val="28"/>
        </w:rPr>
        <w:t xml:space="preserve"> 23,3%, а у курящих в 27,1% случаев. Таким образом, 72,9% участников исследования с выявленным раком легкого не соответствовали критериям отбора NLST (стаж курения 30 пачка/лет и более) и могли быть пропущены при их соблюдении. На основании полученных данн</w:t>
      </w:r>
      <w:r>
        <w:rPr>
          <w:rFonts w:ascii="Times New Roman" w:hAnsi="Times New Roman" w:cs="Times New Roman"/>
          <w:bCs/>
          <w:sz w:val="28"/>
          <w:szCs w:val="28"/>
        </w:rPr>
        <w:t xml:space="preserve">ых авторы исследования рекомендовали включить в целевую популяцию для низкодозного скрининга рака легкого в Японии не курящих и курильщиков со стажем курения менее 30 пачка/лет [88, </w:t>
      </w:r>
      <w:r>
        <w:rPr>
          <w:rFonts w:ascii="Times New Roman" w:hAnsi="Times New Roman" w:cs="Times New Roman"/>
          <w:bCs/>
          <w:sz w:val="28"/>
          <w:szCs w:val="28"/>
          <w:lang w:val="en-US"/>
        </w:rPr>
        <w:t>p</w:t>
      </w:r>
      <w:r>
        <w:rPr>
          <w:rFonts w:ascii="Times New Roman" w:hAnsi="Times New Roman" w:cs="Times New Roman"/>
          <w:bCs/>
          <w:sz w:val="28"/>
          <w:szCs w:val="28"/>
        </w:rPr>
        <w:t xml:space="preserve">. 21].    </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Еще одной причиной включения в исследования некурящих участник</w:t>
      </w:r>
      <w:r>
        <w:rPr>
          <w:rFonts w:ascii="Times New Roman" w:hAnsi="Times New Roman" w:cs="Times New Roman"/>
          <w:bCs/>
          <w:sz w:val="28"/>
          <w:szCs w:val="28"/>
        </w:rPr>
        <w:t>ов послужила тенденция увеличения рака легкого среди некурящих женщин в азиатских странах. В исследовании Kang H. при изучении роли низкодозного скрининга рака легкого у некурящих лиц, рак легкого среди мужской популяции выявлен в 0,88% случаев у курильщик</w:t>
      </w:r>
      <w:r>
        <w:rPr>
          <w:rFonts w:ascii="Times New Roman" w:hAnsi="Times New Roman" w:cs="Times New Roman"/>
          <w:bCs/>
          <w:sz w:val="28"/>
          <w:szCs w:val="28"/>
        </w:rPr>
        <w:t>ов и у 0,38% никогда не курящих, в то время как среди женской популяции у курящих женщин рак легкого выявлен в 0,53% случаев, а у никогда не курящих в 0,49%, что свидетельствует о незначительной разнице между риском развития рака легкого в зависимости от с</w:t>
      </w:r>
      <w:r>
        <w:rPr>
          <w:rFonts w:ascii="Times New Roman" w:hAnsi="Times New Roman" w:cs="Times New Roman"/>
          <w:bCs/>
          <w:sz w:val="28"/>
          <w:szCs w:val="28"/>
        </w:rPr>
        <w:t xml:space="preserve">татуса курения у женщин [178]. </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В нашем исследовании отношение шансов выявления рака легкого у мужчин в 2,8 раза выше, чем среди женщин (ОШ=2,808, 95% ДИ: 1,718-4,589, р&lt;0,05), а касательно статуса курения отношение шансов выявления рака легкого у курильщи</w:t>
      </w:r>
      <w:r>
        <w:rPr>
          <w:rFonts w:ascii="Times New Roman" w:hAnsi="Times New Roman" w:cs="Times New Roman"/>
          <w:bCs/>
          <w:sz w:val="28"/>
          <w:szCs w:val="28"/>
        </w:rPr>
        <w:t>ков выше, чем у не курящих (ОШ =2,448, 95% ДИ: 1,526-4,056, р&lt;0,05) и у бывших курильщиков (ОШ =2,325, 95% ДИ: 1,068-5.060, р&lt;0,05), в то время как между группам бывших курильщиков и не курящими не  обнаружено статистически значимых различий (ОШ=0.921, 95%</w:t>
      </w:r>
      <w:r>
        <w:rPr>
          <w:rFonts w:ascii="Times New Roman" w:hAnsi="Times New Roman" w:cs="Times New Roman"/>
          <w:bCs/>
          <w:sz w:val="28"/>
          <w:szCs w:val="28"/>
        </w:rPr>
        <w:t xml:space="preserve"> ДИ: 0.422-2,010, р&gt;0,05). Однако, более половины участников (54,1%) с выявленным раком легкого относились к не курящими и бывшими курильщиками, и они могли быть пропущены, если бы статус курения был обязательным критерием включения.</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В мужской популяции са</w:t>
      </w:r>
      <w:r>
        <w:rPr>
          <w:rFonts w:ascii="Times New Roman" w:hAnsi="Times New Roman" w:cs="Times New Roman"/>
          <w:bCs/>
          <w:sz w:val="28"/>
          <w:szCs w:val="28"/>
        </w:rPr>
        <w:t xml:space="preserve">мая высокая частота выявления рака легкого составила 6,1% у курящих в возрасте 60-69 лет (12/196). Среди женщин самая высокая выявляемость рака легкого составила 2,9% у не курящих в возрасте 50-59 лет (12/412). Таким образом, вопрос о включении не курящих </w:t>
      </w:r>
      <w:r>
        <w:rPr>
          <w:rFonts w:ascii="Times New Roman" w:hAnsi="Times New Roman" w:cs="Times New Roman"/>
          <w:bCs/>
          <w:sz w:val="28"/>
          <w:szCs w:val="28"/>
        </w:rPr>
        <w:t xml:space="preserve">лиц, так же как </w:t>
      </w:r>
      <w:r>
        <w:rPr>
          <w:rFonts w:ascii="Times New Roman" w:hAnsi="Times New Roman" w:cs="Times New Roman"/>
          <w:bCs/>
          <w:sz w:val="28"/>
          <w:szCs w:val="28"/>
        </w:rPr>
        <w:lastRenderedPageBreak/>
        <w:t xml:space="preserve">и лиц со стажем курения менее 30 пачка/лет остается открытым и требует более длительного и детального изучения. </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Однако, возраст и курение не единственные факторы риска развития рака легкого. Семейный анамнез, существующие респираторные заб</w:t>
      </w:r>
      <w:r>
        <w:rPr>
          <w:rFonts w:ascii="Times New Roman" w:hAnsi="Times New Roman" w:cs="Times New Roman"/>
          <w:bCs/>
          <w:sz w:val="28"/>
          <w:szCs w:val="28"/>
        </w:rPr>
        <w:t>олевания, загрязнение окружающего воздуха - все это связано с повышенным риском развития рака легкого [179]</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Различие в развитии рака легкого у курильщиков и некурящих предполагает наследственный компонент риска данной патологии. Положительный семейный анам</w:t>
      </w:r>
      <w:r>
        <w:rPr>
          <w:rFonts w:ascii="Times New Roman" w:hAnsi="Times New Roman" w:cs="Times New Roman"/>
          <w:bCs/>
          <w:sz w:val="28"/>
          <w:szCs w:val="28"/>
        </w:rPr>
        <w:t>нез увеличивает риск развития рака легкого в 1,7 раза, согласно данным</w:t>
      </w:r>
      <w:r>
        <w:rPr>
          <w:rFonts w:ascii="Times New Roman" w:hAnsi="Times New Roman" w:cs="Times New Roman"/>
          <w:bCs/>
          <w:color w:val="FF0000"/>
          <w:sz w:val="28"/>
          <w:szCs w:val="28"/>
        </w:rPr>
        <w:t xml:space="preserve"> </w:t>
      </w:r>
      <w:r>
        <w:rPr>
          <w:rFonts w:ascii="Times New Roman" w:hAnsi="Times New Roman" w:cs="Times New Roman"/>
          <w:bCs/>
          <w:sz w:val="28"/>
          <w:szCs w:val="28"/>
        </w:rPr>
        <w:t>метаанализа из Центральной и Восточной Европы [180]. При положительном семейном анамнезе среди родственников первой степени родства, риск увеличивается в 2–4 раза, даже при контроле кур</w:t>
      </w:r>
      <w:r>
        <w:rPr>
          <w:rFonts w:ascii="Times New Roman" w:hAnsi="Times New Roman" w:cs="Times New Roman"/>
          <w:bCs/>
          <w:sz w:val="28"/>
          <w:szCs w:val="28"/>
        </w:rPr>
        <w:t>ения в анамнезе [181].</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Как показало наше исследование при анализе наличия/отсутствия семейного анамнеза по раку легкого по линии первого родства, статистически значимых различий не выявлено. Тем не менее, учитывая данные зарубежных исследований, учет семей</w:t>
      </w:r>
      <w:r>
        <w:rPr>
          <w:rFonts w:ascii="Times New Roman" w:hAnsi="Times New Roman" w:cs="Times New Roman"/>
          <w:bCs/>
          <w:sz w:val="28"/>
          <w:szCs w:val="28"/>
        </w:rPr>
        <w:t>ного анамнеза и генетического риска может повысить эффективность программ раннего скрининга, особенно среди лиц с сопутствующими факторами риска, такими как курение.</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Другим важным фактором риска по развитию рака легкого является радон. Согласно литературным данным, воздействие радона в жилых помещениях является вторым по величине фактором риска развития рака легкого в мире, на который приходится примерно 10% случаев. П</w:t>
      </w:r>
      <w:r>
        <w:rPr>
          <w:rFonts w:ascii="Times New Roman" w:hAnsi="Times New Roman" w:cs="Times New Roman"/>
          <w:bCs/>
          <w:sz w:val="28"/>
          <w:szCs w:val="28"/>
        </w:rPr>
        <w:t xml:space="preserve">о мнению авторов исследования, до 30% случаев рака легкого у некурящих связаны с радоном [182]. Воздействие радона оказывает синергетический эффект на риск развития рака легкого при курении табака [183]. </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Радон - это природный газ, образующийся при распаде</w:t>
      </w:r>
      <w:r>
        <w:rPr>
          <w:rFonts w:ascii="Times New Roman" w:hAnsi="Times New Roman" w:cs="Times New Roman"/>
          <w:bCs/>
          <w:sz w:val="28"/>
          <w:szCs w:val="28"/>
        </w:rPr>
        <w:t xml:space="preserve"> урана, обладающий мутагенными свойствами. </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По данным World Nuclear Association, Республика Казахстан является лидером по мировым запасам урановых руд, обладая 12% мировых запасов урана и расширяющимся горнодобывающим сектором, добыв около 22 808 тонн в 20</w:t>
      </w:r>
      <w:r>
        <w:rPr>
          <w:rFonts w:ascii="Times New Roman" w:hAnsi="Times New Roman" w:cs="Times New Roman"/>
          <w:bCs/>
          <w:sz w:val="28"/>
          <w:szCs w:val="28"/>
        </w:rPr>
        <w:t>19 году [184]. В многоцентровом исследовании на северо-западе Испании, в котором обследованы 69 никогда не курящих пациентов с раком легкого, исследователи продемонстрировали связь между высокими уровнями радона (более 237 Бк/м3) и развитием рака легкого [</w:t>
      </w:r>
      <w:r>
        <w:rPr>
          <w:rFonts w:ascii="Times New Roman" w:hAnsi="Times New Roman" w:cs="Times New Roman"/>
          <w:bCs/>
          <w:sz w:val="28"/>
          <w:szCs w:val="28"/>
        </w:rPr>
        <w:t>185]. Согласно данным исследования Peterson et al, 13,6% случаев летальных исходов от рака легкого в Онтарио, Канада, связаны с радоном, из них 84% зафиксированы среди никогда не курящих. Также авторы заключили, что при снижении концентрации радона в загря</w:t>
      </w:r>
      <w:r>
        <w:rPr>
          <w:rFonts w:ascii="Times New Roman" w:hAnsi="Times New Roman" w:cs="Times New Roman"/>
          <w:bCs/>
          <w:sz w:val="28"/>
          <w:szCs w:val="28"/>
        </w:rPr>
        <w:t>зненном воздухе помещений до фонового уровня, способствует предотвращению 91 случая летальных исходов от рака легкого каждый год [186].</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Согласно данным из отчета Международного агентства по атомной энергии (МАГАТЭ), в 6 областях РК уровень радона, превышае</w:t>
      </w:r>
      <w:r>
        <w:rPr>
          <w:rFonts w:ascii="Times New Roman" w:hAnsi="Times New Roman" w:cs="Times New Roman"/>
          <w:bCs/>
          <w:sz w:val="28"/>
          <w:szCs w:val="28"/>
        </w:rPr>
        <w:t xml:space="preserve">т допустимые значения в питьевой воде и в воздухе помещений, а именно: Акмолинская, Восточно-Казахстанская, Карагандинская, Северо-Казахстанская, Павлодарская, Костанайская. [187]. В 2019 году в Казахстане зарегистрировано 3743 новых </w:t>
      </w:r>
      <w:r>
        <w:rPr>
          <w:rFonts w:ascii="Times New Roman" w:hAnsi="Times New Roman" w:cs="Times New Roman"/>
          <w:bCs/>
          <w:sz w:val="28"/>
          <w:szCs w:val="28"/>
        </w:rPr>
        <w:lastRenderedPageBreak/>
        <w:t>случая рака легкого, и</w:t>
      </w:r>
      <w:r>
        <w:rPr>
          <w:rFonts w:ascii="Times New Roman" w:hAnsi="Times New Roman" w:cs="Times New Roman"/>
          <w:bCs/>
          <w:sz w:val="28"/>
          <w:szCs w:val="28"/>
        </w:rPr>
        <w:t>з них более половины (n=1989, 53,1%) зарегистрировано в вышеуказанных областях. Согласно корреляционному анализу, проведенного в нашем исследовании, между уровнем загрязнения радоном воздуха помещений и водоисточников регионов РК и показателями заболеваемо</w:t>
      </w:r>
      <w:r>
        <w:rPr>
          <w:rFonts w:ascii="Times New Roman" w:hAnsi="Times New Roman" w:cs="Times New Roman"/>
          <w:bCs/>
          <w:sz w:val="28"/>
          <w:szCs w:val="28"/>
        </w:rPr>
        <w:t>сти и смертности имеется прямая статистически достоверная связь с коэффициентом корреляции 0,6-0,8.</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Мы также изучили влияние эмфиземы как фактора риска в нашем исследовании, однако не получили статистически достоверных результатов. По данным литературных и</w:t>
      </w:r>
      <w:r>
        <w:rPr>
          <w:rFonts w:ascii="Times New Roman" w:hAnsi="Times New Roman" w:cs="Times New Roman"/>
          <w:bCs/>
          <w:sz w:val="28"/>
          <w:szCs w:val="28"/>
        </w:rPr>
        <w:t>сточников, связь между эмфиземой и заболеваемостью раком легкого неоднозначны. Многие исследования показали, что хронические заболевания легких, такие как эмфизема, связаны с заболеваемостью раком легкого. Имеются также данные о том, что эмфизема может быт</w:t>
      </w:r>
      <w:r>
        <w:rPr>
          <w:rFonts w:ascii="Times New Roman" w:hAnsi="Times New Roman" w:cs="Times New Roman"/>
          <w:bCs/>
          <w:sz w:val="28"/>
          <w:szCs w:val="28"/>
        </w:rPr>
        <w:t xml:space="preserve">ь связана и с худшим прогнозом у больных с выявленным раком легкого [188]. Существует несколько исследований корреляции между наличием эмфиземы, обнаруженной при компьютерной томографии органов грудной клетки, и раком легкого. </w:t>
      </w:r>
    </w:p>
    <w:p w:rsidR="00A75A8D" w:rsidRDefault="008A6A51">
      <w:pPr>
        <w:spacing w:after="0" w:line="240" w:lineRule="auto"/>
        <w:ind w:right="-2" w:firstLineChars="201" w:firstLine="563"/>
        <w:jc w:val="both"/>
        <w:rPr>
          <w:rFonts w:ascii="Times New Roman" w:hAnsi="Times New Roman" w:cs="Times New Roman"/>
          <w:bCs/>
          <w:sz w:val="28"/>
          <w:szCs w:val="28"/>
        </w:rPr>
      </w:pPr>
      <w:r>
        <w:rPr>
          <w:rFonts w:ascii="Times New Roman" w:hAnsi="Times New Roman" w:cs="Times New Roman"/>
          <w:bCs/>
          <w:sz w:val="28"/>
          <w:szCs w:val="28"/>
        </w:rPr>
        <w:t>По данным Zhang Y. с соавтор</w:t>
      </w:r>
      <w:r>
        <w:rPr>
          <w:rFonts w:ascii="Times New Roman" w:hAnsi="Times New Roman" w:cs="Times New Roman"/>
          <w:bCs/>
          <w:sz w:val="28"/>
          <w:szCs w:val="28"/>
        </w:rPr>
        <w:t>ами, наличие эмфиземы, выявленной при компьютерной томографии органов грудной клетки, связано с более высоким риском рака легкого (отношение шансов 2,3; 95% ДИ: 1,9, 2,6; P &lt; 0,001) а также шансы развития рака легкого увеличивались с тяжестью эмфиземы [189</w:t>
      </w:r>
      <w:r>
        <w:rPr>
          <w:rFonts w:ascii="Times New Roman" w:hAnsi="Times New Roman" w:cs="Times New Roman"/>
          <w:bCs/>
          <w:sz w:val="28"/>
          <w:szCs w:val="28"/>
        </w:rPr>
        <w:t>]. В исследовании Henschke С. с соавторами, распространенность рака легкого среди курильщиков составила 1,1% у лиц без эмфиземы против 2,3% у лиц с эмфиземой (отношение шансов 1,8; 95% ДИ: 1,4–2,2) [190].</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 xml:space="preserve">Однако, несколько других исследователей, такие как </w:t>
      </w:r>
      <w:r>
        <w:rPr>
          <w:rFonts w:ascii="Times New Roman" w:hAnsi="Times New Roman" w:cs="Times New Roman"/>
          <w:bCs/>
          <w:sz w:val="28"/>
          <w:szCs w:val="28"/>
        </w:rPr>
        <w:t xml:space="preserve">Maldonado </w:t>
      </w:r>
      <w:r>
        <w:rPr>
          <w:rFonts w:ascii="Times New Roman" w:hAnsi="Times New Roman" w:cs="Times New Roman"/>
          <w:bCs/>
          <w:sz w:val="28"/>
          <w:szCs w:val="28"/>
          <w:lang w:val="en-US"/>
        </w:rPr>
        <w:t>F</w:t>
      </w:r>
      <w:r>
        <w:rPr>
          <w:rFonts w:ascii="Times New Roman" w:hAnsi="Times New Roman" w:cs="Times New Roman"/>
          <w:bCs/>
          <w:sz w:val="28"/>
          <w:szCs w:val="28"/>
        </w:rPr>
        <w:t xml:space="preserve">. и Kishi K. с соавторами в своих исследованиях пришли к противоположным выводам, и не нашли связи между эмфиземой и раком легкого [191-192]. </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Таким образом, изучение различных факторов, влияющих на развитие рака легкого имеет важное значение дл</w:t>
      </w:r>
      <w:r>
        <w:rPr>
          <w:rFonts w:ascii="Times New Roman" w:hAnsi="Times New Roman" w:cs="Times New Roman"/>
          <w:bCs/>
          <w:sz w:val="28"/>
          <w:szCs w:val="28"/>
        </w:rPr>
        <w:t>я формирования групп высокого риска и осуществления эффективной ранней диагностики рака легкого.</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Для категоризации полученных результатов в нашем исследовании мы использовали клаcсификацию Lung-RADS - система описания и стандартизации данных при низкодозно</w:t>
      </w:r>
      <w:r>
        <w:rPr>
          <w:rFonts w:ascii="Times New Roman" w:hAnsi="Times New Roman" w:cs="Times New Roman"/>
          <w:bCs/>
          <w:sz w:val="28"/>
          <w:szCs w:val="28"/>
        </w:rPr>
        <w:t>й компьютерной томографии органов грудной клетки, используемой с целью скрининга рака легкого, разработанная Американским Колледжем Радиологии (ACR). Распределение категорий согласно Lung-RADS по результатам нашего исследования составило: 68,6%, 14,7%, 12,</w:t>
      </w:r>
      <w:r>
        <w:rPr>
          <w:rFonts w:ascii="Times New Roman" w:hAnsi="Times New Roman" w:cs="Times New Roman"/>
          <w:bCs/>
          <w:sz w:val="28"/>
          <w:szCs w:val="28"/>
        </w:rPr>
        <w:t>2%, 2,3% и 2,2% для 1, 2, 3, 4А и 4B категорий соответственно, что в целом схоже с таковой, согласно стандартам Американского Колледжа Радиологии, в котором аналогичные категории распределяются: 90% для 1 и 2 категории вместе взятых, 5% для 3 категории, по</w:t>
      </w:r>
      <w:r>
        <w:rPr>
          <w:rFonts w:ascii="Times New Roman" w:hAnsi="Times New Roman" w:cs="Times New Roman"/>
          <w:bCs/>
          <w:sz w:val="28"/>
          <w:szCs w:val="28"/>
        </w:rPr>
        <w:t xml:space="preserve"> 2% для 4А и 4В категорий, а также 1% для категории 0, которая не встречалась в ходе нашего исследования [193]. Наибольшая разница при сравнении наших результатов со стандартными показателями наблюдалась в категории 3, к которой относятся солидные узлы раз</w:t>
      </w:r>
      <w:r>
        <w:rPr>
          <w:rFonts w:ascii="Times New Roman" w:hAnsi="Times New Roman" w:cs="Times New Roman"/>
          <w:bCs/>
          <w:sz w:val="28"/>
          <w:szCs w:val="28"/>
        </w:rPr>
        <w:t>мером от 6 до 8 мм, частично солидные узлы 6 мм и больше с солидной составляющей менее 6 мм, а также узлы по типу «матового стекла» более 20 мм. Согласно литературным данным в различных исследованиях имеются отличия в распределении категорий Lung-</w:t>
      </w:r>
      <w:r>
        <w:rPr>
          <w:rFonts w:ascii="Times New Roman" w:hAnsi="Times New Roman" w:cs="Times New Roman"/>
          <w:bCs/>
          <w:sz w:val="28"/>
          <w:szCs w:val="28"/>
        </w:rPr>
        <w:lastRenderedPageBreak/>
        <w:t>RADS, опи</w:t>
      </w:r>
      <w:r>
        <w:rPr>
          <w:rFonts w:ascii="Times New Roman" w:hAnsi="Times New Roman" w:cs="Times New Roman"/>
          <w:bCs/>
          <w:sz w:val="28"/>
          <w:szCs w:val="28"/>
        </w:rPr>
        <w:t>санных в рекомендациях. Так, Lee J. с соавторами, изучая результаты пилотного проекта по низкодозному скринингу рака легкого в Корее, получили следующее распределение категорий: 84%, 10%, 4% и 2% для 1+2, 3, 4А и 4В категорий соответственно [194]. Также, к</w:t>
      </w:r>
      <w:r>
        <w:rPr>
          <w:rFonts w:ascii="Times New Roman" w:hAnsi="Times New Roman" w:cs="Times New Roman"/>
          <w:bCs/>
          <w:sz w:val="28"/>
          <w:szCs w:val="28"/>
        </w:rPr>
        <w:t xml:space="preserve">ак и по данным нашего исследования наблюдается снижение количества пациентов с категорией 1 и увеличение категории 3. Авторы публикации связывают увеличение количества узелков данной категории с распространенным туберкулезом легких в изучаемом регионе (70 </w:t>
      </w:r>
      <w:r>
        <w:rPr>
          <w:rFonts w:ascii="Times New Roman" w:hAnsi="Times New Roman" w:cs="Times New Roman"/>
          <w:bCs/>
          <w:sz w:val="28"/>
          <w:szCs w:val="28"/>
        </w:rPr>
        <w:t>на 100 000 населения). Как известно, в ряде случаев, в исходе перенесенного специфического процесса в легких образуются поствоспалительные узлы, которые принимаются во внимание при интерпретации компьютерно-томографических изображений. Также, по мнению авт</w:t>
      </w:r>
      <w:r>
        <w:rPr>
          <w:rFonts w:ascii="Times New Roman" w:hAnsi="Times New Roman" w:cs="Times New Roman"/>
          <w:bCs/>
          <w:sz w:val="28"/>
          <w:szCs w:val="28"/>
        </w:rPr>
        <w:t>оров, это является одной из причин высокого уровня ложно-положительных результатов [195]. В исследовании Hochhegger H., в ходе которого авторы изучали применение низкодозной компьютерной томографии в скрининге рака легкого, в развивающейся стране - Бразили</w:t>
      </w:r>
      <w:r>
        <w:rPr>
          <w:rFonts w:ascii="Times New Roman" w:hAnsi="Times New Roman" w:cs="Times New Roman"/>
          <w:bCs/>
          <w:sz w:val="28"/>
          <w:szCs w:val="28"/>
        </w:rPr>
        <w:t>и, доля категории Lung-RADS 4 (А и В) составила 6,3%, что превышает стандартные показатели, согласно Американскому Колледжу Радиологии. Данное явление авторы также связывают с распространенным туберкулезом легких в изучаемой стране (46 на 100 000 населения</w:t>
      </w:r>
      <w:r>
        <w:rPr>
          <w:rFonts w:ascii="Times New Roman" w:hAnsi="Times New Roman" w:cs="Times New Roman"/>
          <w:bCs/>
          <w:sz w:val="28"/>
          <w:szCs w:val="28"/>
        </w:rPr>
        <w:t>) [196]. В Казахстане туберкуле</w:t>
      </w:r>
      <w:r>
        <w:rPr>
          <w:rFonts w:ascii="Times New Roman" w:hAnsi="Times New Roman" w:cs="Times New Roman"/>
          <w:bCs/>
          <w:sz w:val="28"/>
          <w:szCs w:val="28"/>
          <w:lang w:val="kk-KZ"/>
        </w:rPr>
        <w:t>з</w:t>
      </w:r>
      <w:r>
        <w:rPr>
          <w:rFonts w:ascii="Times New Roman" w:hAnsi="Times New Roman" w:cs="Times New Roman"/>
          <w:bCs/>
          <w:sz w:val="28"/>
          <w:szCs w:val="28"/>
        </w:rPr>
        <w:t xml:space="preserve"> легких также является одним из самых часто встречающихся инфекционных заболеваний, показатель заболеваемости на 2020 году составил 35,7 на 100 000 населения. Таким образом, применение классификации Lung-RADS имеет определен</w:t>
      </w:r>
      <w:r>
        <w:rPr>
          <w:rFonts w:ascii="Times New Roman" w:hAnsi="Times New Roman" w:cs="Times New Roman"/>
          <w:bCs/>
          <w:sz w:val="28"/>
          <w:szCs w:val="28"/>
        </w:rPr>
        <w:t xml:space="preserve">ные особенности в странах с распространенным легочным туберкулезом и, возможно, требует внесения дополнений для снижения числа ложно-положительных результатов за счет увеличения категорий 3 и 4. </w:t>
      </w:r>
    </w:p>
    <w:p w:rsidR="00A75A8D" w:rsidRDefault="008A6A51">
      <w:pPr>
        <w:tabs>
          <w:tab w:val="left" w:pos="142"/>
        </w:tabs>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Так как одним из важных факторов риска развития рака легкого</w:t>
      </w:r>
      <w:r>
        <w:rPr>
          <w:rFonts w:ascii="Times New Roman" w:hAnsi="Times New Roman" w:cs="Times New Roman"/>
          <w:bCs/>
          <w:sz w:val="28"/>
          <w:szCs w:val="28"/>
        </w:rPr>
        <w:t xml:space="preserve"> является курение, нами проведен анализ наличия связи между категориями Lung-RADS и статусом курения участников. Анализ данных показал, что категория Lung-RADS 1 встречалась в 69,9% случаев в группе у некурящих участников - в то время как у бывших курильщи</w:t>
      </w:r>
      <w:r>
        <w:rPr>
          <w:rFonts w:ascii="Times New Roman" w:hAnsi="Times New Roman" w:cs="Times New Roman"/>
          <w:bCs/>
          <w:sz w:val="28"/>
          <w:szCs w:val="28"/>
        </w:rPr>
        <w:t>ков и курящих этот показатель был ниже (68,1% и 65,9% соответственно). Важно отметить, что наибольший процент категорий 4А и 4В (очаги подозрительные на злокачественные) встречались в группе курящих участников (4,6% и 4,1% соответственно), в то время как у</w:t>
      </w:r>
      <w:r>
        <w:rPr>
          <w:rFonts w:ascii="Times New Roman" w:hAnsi="Times New Roman" w:cs="Times New Roman"/>
          <w:bCs/>
          <w:sz w:val="28"/>
          <w:szCs w:val="28"/>
        </w:rPr>
        <w:t xml:space="preserve"> некурящих процент этих же категорий отмечался самым низким (1,2% и 1,5% соответственно). Таким образом, в нашем исследовании выявлена статистически значимая связь между категориями Lung-RADS и статусом курения участников, р&lt;0,001. Несколько популяционных </w:t>
      </w:r>
      <w:r>
        <w:rPr>
          <w:rFonts w:ascii="Times New Roman" w:hAnsi="Times New Roman" w:cs="Times New Roman"/>
          <w:bCs/>
          <w:sz w:val="28"/>
          <w:szCs w:val="28"/>
        </w:rPr>
        <w:t>исследований показали аналогичные выводы и заключили, что распространённость узлов в легких тесно связана с курением [197-199].</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 xml:space="preserve">В рамках выполнения научного исследования нами изучены патогномоничные компьютерно-томографические признаки рака легкого, путем </w:t>
      </w:r>
      <w:r>
        <w:rPr>
          <w:rFonts w:ascii="Times New Roman" w:hAnsi="Times New Roman" w:cs="Times New Roman"/>
          <w:bCs/>
          <w:sz w:val="28"/>
          <w:szCs w:val="28"/>
        </w:rPr>
        <w:t>проведения детального анализа 614 легочных узелков, выявленных при НДКТ, в сопоставлении с данными патоморфологического исследования. Так, по данным нашего исследования у 74 участников (2,0%) установлен рак легкого, у 540 (14,7%) - доброкачественные узелки</w:t>
      </w:r>
      <w:r>
        <w:rPr>
          <w:rFonts w:ascii="Times New Roman" w:hAnsi="Times New Roman" w:cs="Times New Roman"/>
          <w:bCs/>
          <w:sz w:val="28"/>
          <w:szCs w:val="28"/>
        </w:rPr>
        <w:t xml:space="preserve"> легких. При оценке морфологических </w:t>
      </w:r>
      <w:r>
        <w:rPr>
          <w:rFonts w:ascii="Times New Roman" w:hAnsi="Times New Roman" w:cs="Times New Roman"/>
          <w:bCs/>
          <w:sz w:val="28"/>
          <w:szCs w:val="28"/>
        </w:rPr>
        <w:lastRenderedPageBreak/>
        <w:t>характеристик выявленных легочных узлов мы изучали: локализацию, тип, форма, размер, плотность и контуры выявленных узелков, а также наличие/отсутствие реакция прилежащей плевры и наличие/отсутствие перифокальной инфильт</w:t>
      </w:r>
      <w:r>
        <w:rPr>
          <w:rFonts w:ascii="Times New Roman" w:hAnsi="Times New Roman" w:cs="Times New Roman"/>
          <w:bCs/>
          <w:sz w:val="28"/>
          <w:szCs w:val="28"/>
        </w:rPr>
        <w:t xml:space="preserve">рации. </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В результате нашего исследования, статистически достоверными (p&lt;0,001) характерными радиологическими признаками рака легкого на низкодозно-томографических изображениях были: солидный тип узла (83,8%), неправильная форма (71,6%), размеров более 31мм</w:t>
      </w:r>
      <w:r>
        <w:rPr>
          <w:rFonts w:ascii="Times New Roman" w:hAnsi="Times New Roman" w:cs="Times New Roman"/>
          <w:bCs/>
          <w:sz w:val="28"/>
          <w:szCs w:val="28"/>
        </w:rPr>
        <w:t xml:space="preserve"> (89,2%), нечеткие, неровные и спикулообразные контуры (39,2% и 37,8% соответственно), плотность 20-35 HU (63,5%) и отсутствие перифокальной инфильтрации прилежащей легочной паренхимы (77%).</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По данным проведенного анализа в нашей работе локализация легочны</w:t>
      </w:r>
      <w:r>
        <w:rPr>
          <w:rFonts w:ascii="Times New Roman" w:hAnsi="Times New Roman" w:cs="Times New Roman"/>
          <w:bCs/>
          <w:sz w:val="28"/>
          <w:szCs w:val="28"/>
        </w:rPr>
        <w:t>х узлов на низкодозно-томографических изображениях в верхней доле правого легкого одинаково часто встречалась как при раке легкого 29,7% (22/74), так и при доброкачественных легочных узлах 27% (146/540) соответственно. Нами не выявлено статистически достов</w:t>
      </w:r>
      <w:r>
        <w:rPr>
          <w:rFonts w:ascii="Times New Roman" w:hAnsi="Times New Roman" w:cs="Times New Roman"/>
          <w:bCs/>
          <w:sz w:val="28"/>
          <w:szCs w:val="28"/>
        </w:rPr>
        <w:t>ерной разницы с использованием χ2 Пирсона между различными локализациями при раке легкого и доброкачественными узелками, p=0,083. Однако, согласно литературным данным, рак легкого чаще встречается в верхних долях. Так, в исследовании McWilliams А. с соавто</w:t>
      </w:r>
      <w:r>
        <w:rPr>
          <w:rFonts w:ascii="Times New Roman" w:hAnsi="Times New Roman" w:cs="Times New Roman"/>
          <w:bCs/>
          <w:sz w:val="28"/>
          <w:szCs w:val="28"/>
        </w:rPr>
        <w:t xml:space="preserve">рами при анализе низкодозно-томографических изображений легких, в левой верхней и правой верхней долях наблюдалось большее количество узелков и большее количество злокачественных образований, чем в других долях [200]. </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Kuo W. с соавторами также выявили наи</w:t>
      </w:r>
      <w:r>
        <w:rPr>
          <w:rFonts w:ascii="Times New Roman" w:hAnsi="Times New Roman" w:cs="Times New Roman"/>
          <w:bCs/>
          <w:sz w:val="28"/>
          <w:szCs w:val="28"/>
        </w:rPr>
        <w:t>более частую локализацию легочных узелков в верхних долях. [201]. Более того, существует ряд исследований, в которых рак легкого преимущественно локализуется в верхней доле правого легкого [202,203]. Согласно данным одного их самых крупных рандомизированны</w:t>
      </w:r>
      <w:r>
        <w:rPr>
          <w:rFonts w:ascii="Times New Roman" w:hAnsi="Times New Roman" w:cs="Times New Roman"/>
          <w:bCs/>
          <w:sz w:val="28"/>
          <w:szCs w:val="28"/>
        </w:rPr>
        <w:t>х исследований по низкодозному скринингу рака легкого – NELSON, 45,0% всех случаев рака легкого локализовались в правой верхней доле [204]. Возможная причина такого расположения заключается в том, что воздушный поток в начале дыхания оказывает наибольшее в</w:t>
      </w:r>
      <w:r>
        <w:rPr>
          <w:rFonts w:ascii="Times New Roman" w:hAnsi="Times New Roman" w:cs="Times New Roman"/>
          <w:bCs/>
          <w:sz w:val="28"/>
          <w:szCs w:val="28"/>
        </w:rPr>
        <w:t xml:space="preserve">лияние на правый верхнедолевой бронх и его ветви, поэтому осаждение частиц табачного дыма и его канцерогенный эффект максимальны в этом месте [205]. </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По данным литературных источников большинство легочных узлов, как доброкачественных, так и злокачественных</w:t>
      </w:r>
      <w:r>
        <w:rPr>
          <w:rFonts w:ascii="Times New Roman" w:hAnsi="Times New Roman" w:cs="Times New Roman"/>
          <w:bCs/>
          <w:sz w:val="28"/>
          <w:szCs w:val="28"/>
        </w:rPr>
        <w:t xml:space="preserve">, на низкодозно-томографических сканах представлены солидным типом. В нашем исследовании доля солидных узлов статистически достоверно превалировала над другими типами (частично солидный и по типу «матовое стекло») и составила 83,8%. </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Размер узлов и скорост</w:t>
      </w:r>
      <w:r>
        <w:rPr>
          <w:rFonts w:ascii="Times New Roman" w:hAnsi="Times New Roman" w:cs="Times New Roman"/>
          <w:bCs/>
          <w:sz w:val="28"/>
          <w:szCs w:val="28"/>
        </w:rPr>
        <w:t>ь их роста остаются наиболее широко используемыми предикторами для оценки вероятности малигнизации узлов и определения лечения в соответствии с международными рекомендациями [206]. Muñoz E. с соавторами подтвердили, что размер узла связан с вероятностью ра</w:t>
      </w:r>
      <w:r>
        <w:rPr>
          <w:rFonts w:ascii="Times New Roman" w:hAnsi="Times New Roman" w:cs="Times New Roman"/>
          <w:bCs/>
          <w:sz w:val="28"/>
          <w:szCs w:val="28"/>
        </w:rPr>
        <w:t xml:space="preserve">ка легкого со значительной зависимостью у пациентов, проходящих низкодозную компьютерную томографию (p&lt;0,001) [207]. Стоит отметить, что вероятность злокачественности в узлах, размером &lt;5 мм очень низка и колеблется от 0 до 1% </w:t>
      </w:r>
      <w:r>
        <w:rPr>
          <w:rFonts w:ascii="Times New Roman" w:hAnsi="Times New Roman" w:cs="Times New Roman"/>
          <w:bCs/>
          <w:sz w:val="28"/>
          <w:szCs w:val="28"/>
        </w:rPr>
        <w:lastRenderedPageBreak/>
        <w:t>[208,209]. В исследовании NLS</w:t>
      </w:r>
      <w:r>
        <w:rPr>
          <w:rFonts w:ascii="Times New Roman" w:hAnsi="Times New Roman" w:cs="Times New Roman"/>
          <w:bCs/>
          <w:sz w:val="28"/>
          <w:szCs w:val="28"/>
        </w:rPr>
        <w:t>T распространенность рака легкого среди пациентов с узлами размером 4–6 мм была очень низкой: 0,49% (18 из 3668 пациентов) [15, р.396]. Более того, в исследовании NELSON риск злокачественности в узлах с размером &lt;5 мм был аналогичен риску у субъектов без у</w:t>
      </w:r>
      <w:r>
        <w:rPr>
          <w:rFonts w:ascii="Times New Roman" w:hAnsi="Times New Roman" w:cs="Times New Roman"/>
          <w:bCs/>
          <w:sz w:val="28"/>
          <w:szCs w:val="28"/>
        </w:rPr>
        <w:t xml:space="preserve">злов [16, р. 510]. В нашей работе, при изучении размеров узелков в легких выявлены статистически значимые различия между значениями частоты встречаемости данного признака в основной и контрольной группах. При анализе данного признака, мы выявили, что узлы </w:t>
      </w:r>
      <w:r>
        <w:rPr>
          <w:rFonts w:ascii="Times New Roman" w:hAnsi="Times New Roman" w:cs="Times New Roman"/>
          <w:bCs/>
          <w:sz w:val="28"/>
          <w:szCs w:val="28"/>
        </w:rPr>
        <w:t>размером 31 мм и больше в 89,2% случаев (66/74) встречались при раке легкого, в то время как при доброкачественных узелках этот признак отмечался только в 1,1% случаев (6/540). Таким образом, увеличение выявления злокачественных узлов связано с увеличением</w:t>
      </w:r>
      <w:r>
        <w:rPr>
          <w:rFonts w:ascii="Times New Roman" w:hAnsi="Times New Roman" w:cs="Times New Roman"/>
          <w:bCs/>
          <w:sz w:val="28"/>
          <w:szCs w:val="28"/>
        </w:rPr>
        <w:t xml:space="preserve"> их диаметра [210].</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При анализе плотности легочных узелков мы использовали показатель HU (единицы Хаунсфилда). В зависимости от плотности мы разделили все выявленные на низкодозно-томографических сканах узелки на 2 группы: 20-35 HU и 36-60 HU. По результат</w:t>
      </w:r>
      <w:r>
        <w:rPr>
          <w:rFonts w:ascii="Times New Roman" w:hAnsi="Times New Roman" w:cs="Times New Roman"/>
          <w:bCs/>
          <w:sz w:val="28"/>
          <w:szCs w:val="28"/>
        </w:rPr>
        <w:t>ам нашего исследования рак легкого чаще имел плотность 20-35 HU (63,5% (47/74)), в то время как доброкачественные узелки чаще представляли более плотную структуру -  36-60 HU (53,1% (286/540)). Отношение шансов для группы 20-35 HU наблюдалось в 2 раза выше</w:t>
      </w:r>
      <w:r>
        <w:rPr>
          <w:rFonts w:ascii="Times New Roman" w:hAnsi="Times New Roman" w:cs="Times New Roman"/>
          <w:bCs/>
          <w:sz w:val="28"/>
          <w:szCs w:val="28"/>
        </w:rPr>
        <w:t>, чем в случае с плотностью 36-60 HU. Показатель отношения шансов составил 2,160 (95% ДИ 1,306-3,571), что расценено как статистически значимое различие. Однако, в крупном рандомизированном исследовании NELSON по применению низкодозного скрининга, ученые з</w:t>
      </w:r>
      <w:r>
        <w:rPr>
          <w:rFonts w:ascii="Times New Roman" w:hAnsi="Times New Roman" w:cs="Times New Roman"/>
          <w:bCs/>
          <w:sz w:val="28"/>
          <w:szCs w:val="28"/>
        </w:rPr>
        <w:t xml:space="preserve">аключили, что средняя плотность узла при НДКТ не предсказывала наличие рака легкого (AUC 0,37, 95% ДИ 0,32–0,43) [16, р. 510]. </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Следующими, не менее важным критерием при изучении патогномоничных признаков рака легкого, являются форма и контуры легочных узл</w:t>
      </w:r>
      <w:r>
        <w:rPr>
          <w:rFonts w:ascii="Times New Roman" w:hAnsi="Times New Roman" w:cs="Times New Roman"/>
          <w:bCs/>
          <w:sz w:val="28"/>
          <w:szCs w:val="28"/>
        </w:rPr>
        <w:t>ов. При оценке формы выявленных узелков в легких в нашем исследовании при неправильной форме отношение шансов отмечалось выше, чем при правильной (ОШ=0,024, 95% ДИ: 0,013-0,045, р&lt;0,05). При анализе отношения шансов между контурами выявленных узелков, нами</w:t>
      </w:r>
      <w:r>
        <w:rPr>
          <w:rFonts w:ascii="Times New Roman" w:hAnsi="Times New Roman" w:cs="Times New Roman"/>
          <w:bCs/>
          <w:sz w:val="28"/>
          <w:szCs w:val="28"/>
        </w:rPr>
        <w:t xml:space="preserve"> проведен сравнительный анализ среди четырех групп: бугристые и спикулообразные контуры, бугристые и нечеткие/неровные контуры, нечеткие/неровные и спикулообразные и четкие/ровные и спикулообразные. В результате анализа, отношение шансов среди легочных узл</w:t>
      </w:r>
      <w:r>
        <w:rPr>
          <w:rFonts w:ascii="Times New Roman" w:hAnsi="Times New Roman" w:cs="Times New Roman"/>
          <w:bCs/>
          <w:sz w:val="28"/>
          <w:szCs w:val="28"/>
        </w:rPr>
        <w:t>ов со спикулообразными контурами отмечалось выше, чем среди очагов с бугристыми, нечеткими/неровными и четкими/ровными контурами (ОШ=0,281, 95% ДИ: 0.100-0.795, ОШ=0,164, 95% ДИ: 0.068-0.392 и ОШ=0,694, 95% ДИ: 0.001-0.008 соответственно). В то время как п</w:t>
      </w:r>
      <w:r>
        <w:rPr>
          <w:rFonts w:ascii="Times New Roman" w:hAnsi="Times New Roman" w:cs="Times New Roman"/>
          <w:bCs/>
          <w:sz w:val="28"/>
          <w:szCs w:val="28"/>
        </w:rPr>
        <w:t>ри сравнении бугристых контуров с нечеткими/неровными нами не получено статистически достоверных данных, р&gt;0,05. По данным Chen G. с соавторами, доброкачественные узлы в сравнении со злокачественными чаще имели неправильную форму, бугристые и спикулообразн</w:t>
      </w:r>
      <w:r>
        <w:rPr>
          <w:rFonts w:ascii="Times New Roman" w:hAnsi="Times New Roman" w:cs="Times New Roman"/>
          <w:bCs/>
          <w:sz w:val="28"/>
          <w:szCs w:val="28"/>
        </w:rPr>
        <w:t xml:space="preserve">ые контуры [211].   </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 xml:space="preserve">Таким образом, наше исследование показало, что высокому риску возникновения рака легкого подвержены курящие мужчины, в возрасте 70-75 </w:t>
      </w:r>
      <w:r>
        <w:rPr>
          <w:rFonts w:ascii="Times New Roman" w:hAnsi="Times New Roman" w:cs="Times New Roman"/>
          <w:bCs/>
          <w:sz w:val="28"/>
          <w:szCs w:val="28"/>
        </w:rPr>
        <w:lastRenderedPageBreak/>
        <w:t>лет, не зависимо от семейного анамнеза по раку легкого, а патогномоничными признаками рака легкого на</w:t>
      </w:r>
      <w:r>
        <w:rPr>
          <w:rFonts w:ascii="Times New Roman" w:hAnsi="Times New Roman" w:cs="Times New Roman"/>
          <w:bCs/>
          <w:sz w:val="28"/>
          <w:szCs w:val="28"/>
        </w:rPr>
        <w:t xml:space="preserve"> низкодозных компьютерно-томографических изображениях легких являются: солидный тип узла с общим размером 31 мм и больше, с плотности 20-35 HU и имеющие спикулообразные контуры. Полученные нами данные позволили сформировать группы высокого риска по развити</w:t>
      </w:r>
      <w:r>
        <w:rPr>
          <w:rFonts w:ascii="Times New Roman" w:hAnsi="Times New Roman" w:cs="Times New Roman"/>
          <w:bCs/>
          <w:sz w:val="28"/>
          <w:szCs w:val="28"/>
        </w:rPr>
        <w:t xml:space="preserve">ю рака легкого. </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 xml:space="preserve">Показатель </w:t>
      </w:r>
      <w:r>
        <w:rPr>
          <w:rFonts w:ascii="Times New Roman" w:hAnsi="Times New Roman" w:cs="Times New Roman"/>
          <w:bCs/>
          <w:sz w:val="28"/>
          <w:szCs w:val="28"/>
          <w:lang w:val="en-US"/>
        </w:rPr>
        <w:t>cancer</w:t>
      </w:r>
      <w:r>
        <w:rPr>
          <w:rFonts w:ascii="Times New Roman" w:hAnsi="Times New Roman" w:cs="Times New Roman"/>
          <w:bCs/>
          <w:sz w:val="28"/>
          <w:szCs w:val="28"/>
        </w:rPr>
        <w:t xml:space="preserve"> </w:t>
      </w:r>
      <w:r>
        <w:rPr>
          <w:rFonts w:ascii="Times New Roman" w:hAnsi="Times New Roman" w:cs="Times New Roman"/>
          <w:bCs/>
          <w:sz w:val="28"/>
          <w:szCs w:val="28"/>
          <w:lang w:val="en-US"/>
        </w:rPr>
        <w:t>detection</w:t>
      </w:r>
      <w:r>
        <w:rPr>
          <w:rFonts w:ascii="Times New Roman" w:hAnsi="Times New Roman" w:cs="Times New Roman"/>
          <w:bCs/>
          <w:sz w:val="28"/>
          <w:szCs w:val="28"/>
        </w:rPr>
        <w:t xml:space="preserve"> </w:t>
      </w:r>
      <w:r>
        <w:rPr>
          <w:rFonts w:ascii="Times New Roman" w:hAnsi="Times New Roman" w:cs="Times New Roman"/>
          <w:bCs/>
          <w:sz w:val="28"/>
          <w:szCs w:val="28"/>
          <w:lang w:val="en-US"/>
        </w:rPr>
        <w:t>rate</w:t>
      </w:r>
      <w:r>
        <w:rPr>
          <w:rFonts w:ascii="Times New Roman" w:hAnsi="Times New Roman" w:cs="Times New Roman"/>
          <w:bCs/>
          <w:sz w:val="28"/>
          <w:szCs w:val="28"/>
        </w:rPr>
        <w:t xml:space="preserve"> (</w:t>
      </w:r>
      <w:r>
        <w:rPr>
          <w:rFonts w:ascii="Times New Roman" w:hAnsi="Times New Roman" w:cs="Times New Roman"/>
          <w:bCs/>
          <w:sz w:val="28"/>
          <w:szCs w:val="28"/>
          <w:lang w:val="en-US"/>
        </w:rPr>
        <w:t>CDR</w:t>
      </w:r>
      <w:r>
        <w:rPr>
          <w:rFonts w:ascii="Times New Roman" w:hAnsi="Times New Roman" w:cs="Times New Roman"/>
          <w:bCs/>
          <w:sz w:val="28"/>
          <w:szCs w:val="28"/>
        </w:rPr>
        <w:t xml:space="preserve">) в нашем исследовании составил 2,15%, что выше, чем в большинстве программ скрининга рака легких в Азии. Так, согласно данным Корейского пилотного проекта по скринингу рака легкого показатель </w:t>
      </w:r>
      <w:r>
        <w:rPr>
          <w:rFonts w:ascii="Times New Roman" w:hAnsi="Times New Roman" w:cs="Times New Roman"/>
          <w:bCs/>
          <w:sz w:val="28"/>
          <w:szCs w:val="28"/>
          <w:lang w:val="en-US"/>
        </w:rPr>
        <w:t>CDR</w:t>
      </w:r>
      <w:r>
        <w:rPr>
          <w:rFonts w:ascii="Times New Roman" w:hAnsi="Times New Roman" w:cs="Times New Roman"/>
          <w:bCs/>
          <w:sz w:val="28"/>
          <w:szCs w:val="28"/>
        </w:rPr>
        <w:t xml:space="preserve"> составлял 0,4% [195, р. 805]. Программы скрининга рака легкого в Тайване, Шанхае и Токио данный показатель составил 1,41%, 1,23% и 1,0% соответственно [88, р. 13, 157, р. 169, 159]. Однако, в Национальном исследовании по скринингу легких (NLST) и Голландс</w:t>
      </w:r>
      <w:r>
        <w:rPr>
          <w:rFonts w:ascii="Times New Roman" w:hAnsi="Times New Roman" w:cs="Times New Roman"/>
          <w:bCs/>
          <w:sz w:val="28"/>
          <w:szCs w:val="28"/>
        </w:rPr>
        <w:t xml:space="preserve">ко-бельгийском исследовании по скринингу рака легкого показатель </w:t>
      </w:r>
      <w:r>
        <w:rPr>
          <w:rFonts w:ascii="Times New Roman" w:hAnsi="Times New Roman" w:cs="Times New Roman"/>
          <w:bCs/>
          <w:sz w:val="28"/>
          <w:szCs w:val="28"/>
          <w:lang w:val="en-US"/>
        </w:rPr>
        <w:t>CDR</w:t>
      </w:r>
      <w:r>
        <w:rPr>
          <w:rFonts w:ascii="Times New Roman" w:hAnsi="Times New Roman" w:cs="Times New Roman"/>
          <w:bCs/>
          <w:sz w:val="28"/>
          <w:szCs w:val="28"/>
        </w:rPr>
        <w:t xml:space="preserve"> был выше (2,4 и 3,2% соответственно) [15. р. 397, 16, р 511], что, скорее всего, связано с большим количеством раундов и использованием различных критериев включения.</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Анализ полученных да</w:t>
      </w:r>
      <w:r>
        <w:rPr>
          <w:rFonts w:ascii="Times New Roman" w:hAnsi="Times New Roman" w:cs="Times New Roman"/>
          <w:bCs/>
          <w:sz w:val="28"/>
          <w:szCs w:val="28"/>
        </w:rPr>
        <w:t xml:space="preserve">нных при проведении низкодозной компьютерной томографии 3671 (100%) участников с 1153 легочными узлами показал 530 (14,4%) ложноположительных случаев и 5 (0,2%) случаев – ложноотрицательных. </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На основании полученных данных нами проведена оценка диагностиче</w:t>
      </w:r>
      <w:r>
        <w:rPr>
          <w:rFonts w:ascii="Times New Roman" w:hAnsi="Times New Roman" w:cs="Times New Roman"/>
          <w:bCs/>
          <w:sz w:val="28"/>
          <w:szCs w:val="28"/>
        </w:rPr>
        <w:t>ской информативности низкодозной томографии в ранней диагностике рака легкого. Чувствительность низкодозной компьютерной томографии легких в выявлении рака легкого составила 94,1%, специфичность – 85,2%, прогностическая ценность положительного результата -</w:t>
      </w:r>
      <w:r>
        <w:rPr>
          <w:rFonts w:ascii="Times New Roman" w:hAnsi="Times New Roman" w:cs="Times New Roman"/>
          <w:bCs/>
          <w:sz w:val="28"/>
          <w:szCs w:val="28"/>
        </w:rPr>
        <w:t xml:space="preserve"> 55,7%, прогностическая ценность отрицательного результата - 98,6%, точность - 86,7%, что указывает на высокую информативность исследуемого метода.</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 xml:space="preserve">Согласно данным мета-анализа </w:t>
      </w:r>
      <w:r>
        <w:rPr>
          <w:rFonts w:ascii="Times New Roman" w:hAnsi="Times New Roman" w:cs="Times New Roman"/>
          <w:bCs/>
          <w:sz w:val="28"/>
          <w:szCs w:val="28"/>
          <w:lang w:val="en-US"/>
        </w:rPr>
        <w:t>Daniel</w:t>
      </w:r>
      <w:r>
        <w:rPr>
          <w:rFonts w:ascii="Times New Roman" w:hAnsi="Times New Roman" w:cs="Times New Roman"/>
          <w:bCs/>
          <w:sz w:val="28"/>
          <w:szCs w:val="28"/>
        </w:rPr>
        <w:t xml:space="preserve"> </w:t>
      </w:r>
      <w:r>
        <w:rPr>
          <w:rFonts w:ascii="Times New Roman" w:hAnsi="Times New Roman" w:cs="Times New Roman"/>
          <w:bCs/>
          <w:sz w:val="28"/>
          <w:szCs w:val="28"/>
          <w:lang w:val="en-US"/>
        </w:rPr>
        <w:t>E</w:t>
      </w:r>
      <w:r>
        <w:rPr>
          <w:rFonts w:ascii="Times New Roman" w:hAnsi="Times New Roman" w:cs="Times New Roman"/>
          <w:bCs/>
          <w:sz w:val="28"/>
          <w:szCs w:val="28"/>
        </w:rPr>
        <w:t>. с соавторами чувствительность низкодозного скрининга рака легкого в 1</w:t>
      </w:r>
      <w:r>
        <w:rPr>
          <w:rFonts w:ascii="Times New Roman" w:hAnsi="Times New Roman" w:cs="Times New Roman"/>
          <w:bCs/>
          <w:sz w:val="28"/>
          <w:szCs w:val="28"/>
        </w:rPr>
        <w:t xml:space="preserve">3 исследованиях (всего 76 856 участников) колебалась от 59% до 100%, а специфичность колебалась от 26,4% до 99,7%. Прогностическая ценность положительного результата (14 исследований, 77840 участников) колебалась от 3,3% до 43,5%. Прогностическая ценность </w:t>
      </w:r>
      <w:r>
        <w:rPr>
          <w:rFonts w:ascii="Times New Roman" w:hAnsi="Times New Roman" w:cs="Times New Roman"/>
          <w:bCs/>
          <w:sz w:val="28"/>
          <w:szCs w:val="28"/>
        </w:rPr>
        <w:t xml:space="preserve">отрицательного результата (9 исследований, 47 496 участников) колебалась от 97,7% до 100% [212]. </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В результате нашего исследования мы получили данные сопоставимые с мировыми результатами по эффективности применения низкодозной компьютерной томографии в диагностике рака легкого.  Вариабельность показателей эффективности объяснялась неоднородностью крите</w:t>
      </w:r>
      <w:r>
        <w:rPr>
          <w:rFonts w:ascii="Times New Roman" w:hAnsi="Times New Roman" w:cs="Times New Roman"/>
          <w:bCs/>
          <w:sz w:val="28"/>
          <w:szCs w:val="28"/>
        </w:rPr>
        <w:t xml:space="preserve">риев отбора, протоколов исследования (количества раундов, интервалов), продолжительностью наблюдения (для выявления ложноотрицательных результатов скрининга) и определения критериев положительных тестов. </w:t>
      </w:r>
    </w:p>
    <w:p w:rsidR="00A75A8D" w:rsidRDefault="008A6A51">
      <w:pPr>
        <w:spacing w:after="0" w:line="240" w:lineRule="auto"/>
        <w:ind w:firstLineChars="201" w:firstLine="563"/>
        <w:jc w:val="both"/>
        <w:rPr>
          <w:rFonts w:ascii="Times New Roman" w:hAnsi="Times New Roman" w:cs="Times New Roman"/>
          <w:b/>
          <w:bCs/>
          <w:color w:val="FF0000"/>
          <w:sz w:val="28"/>
          <w:szCs w:val="28"/>
        </w:rPr>
      </w:pPr>
      <w:r>
        <w:rPr>
          <w:rFonts w:ascii="Times New Roman" w:hAnsi="Times New Roman" w:cs="Times New Roman"/>
          <w:bCs/>
          <w:sz w:val="28"/>
          <w:szCs w:val="28"/>
        </w:rPr>
        <w:t>Легочные узлы являются одним из основных проявлений</w:t>
      </w:r>
      <w:r>
        <w:rPr>
          <w:rFonts w:ascii="Times New Roman" w:hAnsi="Times New Roman" w:cs="Times New Roman"/>
          <w:bCs/>
          <w:sz w:val="28"/>
          <w:szCs w:val="28"/>
        </w:rPr>
        <w:t xml:space="preserve"> рака легкого при низкодозной компьютерной томографии. Так как рак легкого может не иметь ранних очевидных клинических проявлений, важно изучать возможность </w:t>
      </w:r>
      <w:r>
        <w:rPr>
          <w:rFonts w:ascii="Times New Roman" w:hAnsi="Times New Roman" w:cs="Times New Roman"/>
          <w:bCs/>
          <w:sz w:val="28"/>
          <w:szCs w:val="28"/>
        </w:rPr>
        <w:lastRenderedPageBreak/>
        <w:t xml:space="preserve">применения системы компьютерного обнаружения </w:t>
      </w:r>
      <w:r>
        <w:rPr>
          <w:rFonts w:ascii="Times New Roman" w:hAnsi="Times New Roman" w:cs="Times New Roman"/>
          <w:bCs/>
          <w:sz w:val="28"/>
          <w:szCs w:val="28"/>
          <w:lang w:val="en-US"/>
        </w:rPr>
        <w:t>DL</w:t>
      </w:r>
      <w:r>
        <w:rPr>
          <w:rFonts w:ascii="Times New Roman" w:hAnsi="Times New Roman" w:cs="Times New Roman"/>
          <w:bCs/>
          <w:sz w:val="28"/>
          <w:szCs w:val="28"/>
        </w:rPr>
        <w:t>-</w:t>
      </w:r>
      <w:r>
        <w:rPr>
          <w:rFonts w:ascii="Times New Roman" w:hAnsi="Times New Roman" w:cs="Times New Roman"/>
          <w:bCs/>
          <w:sz w:val="28"/>
          <w:szCs w:val="28"/>
          <w:lang w:val="en-US"/>
        </w:rPr>
        <w:t>C</w:t>
      </w:r>
      <w:r>
        <w:rPr>
          <w:rFonts w:ascii="Times New Roman" w:hAnsi="Times New Roman" w:cs="Times New Roman"/>
          <w:bCs/>
          <w:sz w:val="28"/>
          <w:szCs w:val="28"/>
        </w:rPr>
        <w:t>А</w:t>
      </w:r>
      <w:r>
        <w:rPr>
          <w:rFonts w:ascii="Times New Roman" w:hAnsi="Times New Roman" w:cs="Times New Roman"/>
          <w:bCs/>
          <w:sz w:val="28"/>
          <w:szCs w:val="28"/>
          <w:lang w:val="en-US"/>
        </w:rPr>
        <w:t>D</w:t>
      </w:r>
      <w:r>
        <w:rPr>
          <w:rFonts w:ascii="Times New Roman" w:hAnsi="Times New Roman" w:cs="Times New Roman"/>
          <w:bCs/>
          <w:sz w:val="28"/>
          <w:szCs w:val="28"/>
        </w:rPr>
        <w:t>, которая поможет врачам-радиологам обнаруживать</w:t>
      </w:r>
      <w:r>
        <w:rPr>
          <w:rFonts w:ascii="Times New Roman" w:hAnsi="Times New Roman" w:cs="Times New Roman"/>
          <w:bCs/>
          <w:sz w:val="28"/>
          <w:szCs w:val="28"/>
        </w:rPr>
        <w:t xml:space="preserve"> легочные узлы при НДКТ-диагностики рака легкого. Более того, поможет ускорить время интерпретации исследований и сократить число пропущенных узлов. Согласно опубликованным исследованиям, около 4% ежедневных радиологических отчетов содержат диагностические</w:t>
      </w:r>
      <w:r>
        <w:rPr>
          <w:rFonts w:ascii="Times New Roman" w:hAnsi="Times New Roman" w:cs="Times New Roman"/>
          <w:bCs/>
          <w:sz w:val="28"/>
          <w:szCs w:val="28"/>
        </w:rPr>
        <w:t xml:space="preserve"> ошибки [213]. </w:t>
      </w:r>
      <w:r>
        <w:rPr>
          <w:rFonts w:ascii="Times New Roman" w:hAnsi="Times New Roman" w:cs="Times New Roman"/>
          <w:sz w:val="28"/>
          <w:szCs w:val="28"/>
        </w:rPr>
        <w:t>В NLST исследовании в 8,9% случаев рак легкого был пропущен при интерпретации НДКТ изображений, что говорит о возможной необходимости интеграции элементов искусственного интеллекта в практику врача-радиолога для улучшения диагностики легочны</w:t>
      </w:r>
      <w:r>
        <w:rPr>
          <w:rFonts w:ascii="Times New Roman" w:hAnsi="Times New Roman" w:cs="Times New Roman"/>
          <w:sz w:val="28"/>
          <w:szCs w:val="28"/>
        </w:rPr>
        <w:t xml:space="preserve">х узлов </w:t>
      </w:r>
      <w:r>
        <w:rPr>
          <w:rFonts w:ascii="Times New Roman" w:hAnsi="Times New Roman" w:cs="Times New Roman"/>
          <w:bCs/>
          <w:sz w:val="28"/>
          <w:szCs w:val="28"/>
        </w:rPr>
        <w:t xml:space="preserve">[15, </w:t>
      </w:r>
      <w:r>
        <w:rPr>
          <w:rFonts w:ascii="Times New Roman" w:hAnsi="Times New Roman" w:cs="Times New Roman"/>
          <w:bCs/>
          <w:sz w:val="28"/>
          <w:szCs w:val="28"/>
          <w:lang w:val="en-US"/>
        </w:rPr>
        <w:t>p</w:t>
      </w:r>
      <w:r>
        <w:rPr>
          <w:rFonts w:ascii="Times New Roman" w:hAnsi="Times New Roman" w:cs="Times New Roman"/>
          <w:bCs/>
          <w:sz w:val="28"/>
          <w:szCs w:val="28"/>
        </w:rPr>
        <w:t>. 508].</w:t>
      </w:r>
      <w:r>
        <w:rPr>
          <w:rFonts w:ascii="Times New Roman" w:hAnsi="Times New Roman" w:cs="Times New Roman"/>
          <w:sz w:val="28"/>
          <w:szCs w:val="28"/>
        </w:rPr>
        <w:t xml:space="preserve"> </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 xml:space="preserve">В настоящее время имеется ряд публикаций, указывающих на эффективность применения </w:t>
      </w:r>
      <w:r>
        <w:rPr>
          <w:rFonts w:ascii="Times New Roman" w:hAnsi="Times New Roman" w:cs="Times New Roman"/>
          <w:bCs/>
          <w:sz w:val="28"/>
          <w:szCs w:val="28"/>
          <w:lang w:val="en-US"/>
        </w:rPr>
        <w:t>DL</w:t>
      </w:r>
      <w:r>
        <w:rPr>
          <w:rFonts w:ascii="Times New Roman" w:hAnsi="Times New Roman" w:cs="Times New Roman"/>
          <w:bCs/>
          <w:sz w:val="28"/>
          <w:szCs w:val="28"/>
        </w:rPr>
        <w:t>-</w:t>
      </w:r>
      <w:r>
        <w:rPr>
          <w:rFonts w:ascii="Times New Roman" w:hAnsi="Times New Roman" w:cs="Times New Roman"/>
          <w:bCs/>
          <w:sz w:val="28"/>
          <w:szCs w:val="28"/>
          <w:lang w:val="en-US"/>
        </w:rPr>
        <w:t>C</w:t>
      </w:r>
      <w:r>
        <w:rPr>
          <w:rFonts w:ascii="Times New Roman" w:hAnsi="Times New Roman" w:cs="Times New Roman"/>
          <w:bCs/>
          <w:sz w:val="28"/>
          <w:szCs w:val="28"/>
        </w:rPr>
        <w:t>А</w:t>
      </w:r>
      <w:r>
        <w:rPr>
          <w:rFonts w:ascii="Times New Roman" w:hAnsi="Times New Roman" w:cs="Times New Roman"/>
          <w:bCs/>
          <w:sz w:val="28"/>
          <w:szCs w:val="28"/>
          <w:lang w:val="en-US"/>
        </w:rPr>
        <w:t>D</w:t>
      </w:r>
      <w:r>
        <w:rPr>
          <w:rFonts w:ascii="Times New Roman" w:hAnsi="Times New Roman" w:cs="Times New Roman"/>
          <w:bCs/>
          <w:sz w:val="28"/>
          <w:szCs w:val="28"/>
        </w:rPr>
        <w:t xml:space="preserve"> в рутинной работе врача-радиолога, однако имеются некоторые разногласия, так как ч</w:t>
      </w:r>
      <w:r>
        <w:rPr>
          <w:rFonts w:ascii="Times New Roman" w:hAnsi="Times New Roman"/>
          <w:bCs/>
          <w:sz w:val="28"/>
          <w:szCs w:val="28"/>
        </w:rPr>
        <w:t>увствительность низкодозной компьютерной томографии для выявле</w:t>
      </w:r>
      <w:r>
        <w:rPr>
          <w:rFonts w:ascii="Times New Roman" w:hAnsi="Times New Roman"/>
          <w:bCs/>
          <w:sz w:val="28"/>
          <w:szCs w:val="28"/>
        </w:rPr>
        <w:t>ния узлов в легких зависит от различных факторов, такие как плотность узлов, их расположение, качество изображения, инструментов считывания и последующей обработки [214]. Сообщалось об увеличении чувствительности от 2 до 22% при использовании дополнительно</w:t>
      </w:r>
      <w:r>
        <w:rPr>
          <w:rFonts w:ascii="Times New Roman" w:hAnsi="Times New Roman"/>
          <w:bCs/>
          <w:sz w:val="28"/>
          <w:szCs w:val="28"/>
        </w:rPr>
        <w:t xml:space="preserve">го </w:t>
      </w:r>
      <w:r>
        <w:rPr>
          <w:rFonts w:ascii="Times New Roman" w:hAnsi="Times New Roman" w:cs="Times New Roman"/>
          <w:bCs/>
          <w:sz w:val="28"/>
          <w:szCs w:val="28"/>
          <w:lang w:val="en-US"/>
        </w:rPr>
        <w:t>DL</w:t>
      </w:r>
      <w:r>
        <w:rPr>
          <w:rFonts w:ascii="Times New Roman" w:hAnsi="Times New Roman" w:cs="Times New Roman"/>
          <w:bCs/>
          <w:sz w:val="28"/>
          <w:szCs w:val="28"/>
        </w:rPr>
        <w:t>-</w:t>
      </w:r>
      <w:r>
        <w:rPr>
          <w:rFonts w:ascii="Times New Roman" w:hAnsi="Times New Roman" w:cs="Times New Roman"/>
          <w:bCs/>
          <w:sz w:val="28"/>
          <w:szCs w:val="28"/>
          <w:lang w:val="en-US"/>
        </w:rPr>
        <w:t>C</w:t>
      </w:r>
      <w:r>
        <w:rPr>
          <w:rFonts w:ascii="Times New Roman" w:hAnsi="Times New Roman" w:cs="Times New Roman"/>
          <w:bCs/>
          <w:sz w:val="28"/>
          <w:szCs w:val="28"/>
        </w:rPr>
        <w:t>А</w:t>
      </w:r>
      <w:r>
        <w:rPr>
          <w:rFonts w:ascii="Times New Roman" w:hAnsi="Times New Roman" w:cs="Times New Roman"/>
          <w:bCs/>
          <w:sz w:val="28"/>
          <w:szCs w:val="28"/>
          <w:lang w:val="en-US"/>
        </w:rPr>
        <w:t>D</w:t>
      </w:r>
      <w:r>
        <w:rPr>
          <w:rFonts w:ascii="Times New Roman" w:hAnsi="Times New Roman"/>
          <w:bCs/>
          <w:sz w:val="28"/>
          <w:szCs w:val="28"/>
        </w:rPr>
        <w:t xml:space="preserve"> [215]. Однако </w:t>
      </w:r>
      <w:r>
        <w:rPr>
          <w:rFonts w:ascii="Times New Roman" w:hAnsi="Times New Roman"/>
          <w:bCs/>
          <w:sz w:val="28"/>
          <w:szCs w:val="28"/>
          <w:lang w:val="en-US"/>
        </w:rPr>
        <w:t>Lee</w:t>
      </w:r>
      <w:r>
        <w:rPr>
          <w:rFonts w:ascii="Times New Roman" w:hAnsi="Times New Roman"/>
          <w:bCs/>
          <w:sz w:val="28"/>
          <w:szCs w:val="28"/>
        </w:rPr>
        <w:t xml:space="preserve"> </w:t>
      </w:r>
      <w:r>
        <w:rPr>
          <w:rFonts w:ascii="Times New Roman" w:hAnsi="Times New Roman"/>
          <w:bCs/>
          <w:sz w:val="28"/>
          <w:szCs w:val="28"/>
          <w:lang w:val="en-US"/>
        </w:rPr>
        <w:t>J</w:t>
      </w:r>
      <w:r>
        <w:rPr>
          <w:rFonts w:ascii="Times New Roman" w:hAnsi="Times New Roman"/>
          <w:bCs/>
          <w:sz w:val="28"/>
          <w:szCs w:val="28"/>
        </w:rPr>
        <w:t xml:space="preserve">. с соавторами показали, что чувствительность </w:t>
      </w:r>
      <w:r>
        <w:rPr>
          <w:rFonts w:ascii="Times New Roman" w:hAnsi="Times New Roman" w:cs="Times New Roman"/>
          <w:bCs/>
          <w:sz w:val="28"/>
          <w:szCs w:val="28"/>
          <w:lang w:val="en-US"/>
        </w:rPr>
        <w:t>DL</w:t>
      </w:r>
      <w:r>
        <w:rPr>
          <w:rFonts w:ascii="Times New Roman" w:hAnsi="Times New Roman" w:cs="Times New Roman"/>
          <w:bCs/>
          <w:sz w:val="28"/>
          <w:szCs w:val="28"/>
        </w:rPr>
        <w:t>-</w:t>
      </w:r>
      <w:r>
        <w:rPr>
          <w:rFonts w:ascii="Times New Roman" w:hAnsi="Times New Roman" w:cs="Times New Roman"/>
          <w:bCs/>
          <w:sz w:val="28"/>
          <w:szCs w:val="28"/>
          <w:lang w:val="en-US"/>
        </w:rPr>
        <w:t>C</w:t>
      </w:r>
      <w:r>
        <w:rPr>
          <w:rFonts w:ascii="Times New Roman" w:hAnsi="Times New Roman" w:cs="Times New Roman"/>
          <w:bCs/>
          <w:sz w:val="28"/>
          <w:szCs w:val="28"/>
        </w:rPr>
        <w:t>А</w:t>
      </w:r>
      <w:r>
        <w:rPr>
          <w:rFonts w:ascii="Times New Roman" w:hAnsi="Times New Roman" w:cs="Times New Roman"/>
          <w:bCs/>
          <w:sz w:val="28"/>
          <w:szCs w:val="28"/>
          <w:lang w:val="en-US"/>
        </w:rPr>
        <w:t>D</w:t>
      </w:r>
      <w:r>
        <w:rPr>
          <w:rFonts w:ascii="Times New Roman" w:hAnsi="Times New Roman"/>
          <w:bCs/>
          <w:sz w:val="28"/>
          <w:szCs w:val="28"/>
        </w:rPr>
        <w:t>-системы как самостоятельного инструмента (81%) существенно не отличается от чувствительности рентгенологов (85%). Радиологи показали более точные результаты при обнаружении л</w:t>
      </w:r>
      <w:r>
        <w:rPr>
          <w:rFonts w:ascii="Times New Roman" w:hAnsi="Times New Roman"/>
          <w:bCs/>
          <w:sz w:val="28"/>
          <w:szCs w:val="28"/>
        </w:rPr>
        <w:t xml:space="preserve">егочных узлов, прилежащим к другим структурам (например, сосуды, плевра), тогда как </w:t>
      </w:r>
      <w:r>
        <w:rPr>
          <w:rFonts w:ascii="Times New Roman" w:hAnsi="Times New Roman" w:cs="Times New Roman"/>
          <w:bCs/>
          <w:sz w:val="28"/>
          <w:szCs w:val="28"/>
          <w:lang w:val="en-US"/>
        </w:rPr>
        <w:t>DL</w:t>
      </w:r>
      <w:r>
        <w:rPr>
          <w:rFonts w:ascii="Times New Roman" w:hAnsi="Times New Roman" w:cs="Times New Roman"/>
          <w:bCs/>
          <w:sz w:val="28"/>
          <w:szCs w:val="28"/>
        </w:rPr>
        <w:t>-</w:t>
      </w:r>
      <w:r>
        <w:rPr>
          <w:rFonts w:ascii="Times New Roman" w:hAnsi="Times New Roman" w:cs="Times New Roman"/>
          <w:bCs/>
          <w:sz w:val="28"/>
          <w:szCs w:val="28"/>
          <w:lang w:val="en-US"/>
        </w:rPr>
        <w:t>C</w:t>
      </w:r>
      <w:r>
        <w:rPr>
          <w:rFonts w:ascii="Times New Roman" w:hAnsi="Times New Roman" w:cs="Times New Roman"/>
          <w:bCs/>
          <w:sz w:val="28"/>
          <w:szCs w:val="28"/>
        </w:rPr>
        <w:t>А</w:t>
      </w:r>
      <w:r>
        <w:rPr>
          <w:rFonts w:ascii="Times New Roman" w:hAnsi="Times New Roman" w:cs="Times New Roman"/>
          <w:bCs/>
          <w:sz w:val="28"/>
          <w:szCs w:val="28"/>
          <w:lang w:val="en-US"/>
        </w:rPr>
        <w:t>D</w:t>
      </w:r>
      <w:r>
        <w:rPr>
          <w:rFonts w:ascii="Times New Roman" w:hAnsi="Times New Roman"/>
          <w:bCs/>
          <w:sz w:val="28"/>
          <w:szCs w:val="28"/>
        </w:rPr>
        <w:t xml:space="preserve"> лучше обнаруживал изолированные узлы и узлы диаметром менее 5 мм [216]. До сих пор имеется мало данных о том, насколько точно </w:t>
      </w:r>
      <w:r>
        <w:rPr>
          <w:rFonts w:ascii="Times New Roman" w:hAnsi="Times New Roman" w:cs="Times New Roman"/>
          <w:bCs/>
          <w:sz w:val="28"/>
          <w:szCs w:val="28"/>
          <w:lang w:val="en-US"/>
        </w:rPr>
        <w:t>DL</w:t>
      </w:r>
      <w:r>
        <w:rPr>
          <w:rFonts w:ascii="Times New Roman" w:hAnsi="Times New Roman" w:cs="Times New Roman"/>
          <w:bCs/>
          <w:sz w:val="28"/>
          <w:szCs w:val="28"/>
        </w:rPr>
        <w:t>-</w:t>
      </w:r>
      <w:r>
        <w:rPr>
          <w:rFonts w:ascii="Times New Roman" w:hAnsi="Times New Roman" w:cs="Times New Roman"/>
          <w:bCs/>
          <w:sz w:val="28"/>
          <w:szCs w:val="28"/>
          <w:lang w:val="en-US"/>
        </w:rPr>
        <w:t>C</w:t>
      </w:r>
      <w:r>
        <w:rPr>
          <w:rFonts w:ascii="Times New Roman" w:hAnsi="Times New Roman" w:cs="Times New Roman"/>
          <w:bCs/>
          <w:sz w:val="28"/>
          <w:szCs w:val="28"/>
        </w:rPr>
        <w:t>А</w:t>
      </w:r>
      <w:r>
        <w:rPr>
          <w:rFonts w:ascii="Times New Roman" w:hAnsi="Times New Roman" w:cs="Times New Roman"/>
          <w:bCs/>
          <w:sz w:val="28"/>
          <w:szCs w:val="28"/>
          <w:lang w:val="en-US"/>
        </w:rPr>
        <w:t>D</w:t>
      </w:r>
      <w:r>
        <w:rPr>
          <w:rFonts w:ascii="Times New Roman" w:hAnsi="Times New Roman"/>
          <w:bCs/>
          <w:sz w:val="28"/>
          <w:szCs w:val="28"/>
        </w:rPr>
        <w:t xml:space="preserve"> работает при низких уровнях дозы при совместной работе с врачами-радиологами. Hein </w:t>
      </w:r>
      <w:r>
        <w:rPr>
          <w:rFonts w:ascii="Times New Roman" w:hAnsi="Times New Roman"/>
          <w:bCs/>
          <w:sz w:val="28"/>
          <w:szCs w:val="28"/>
          <w:lang w:val="en-US"/>
        </w:rPr>
        <w:t>D</w:t>
      </w:r>
      <w:r>
        <w:rPr>
          <w:rFonts w:ascii="Times New Roman" w:hAnsi="Times New Roman"/>
          <w:bCs/>
          <w:sz w:val="28"/>
          <w:szCs w:val="28"/>
        </w:rPr>
        <w:t xml:space="preserve">. с соавторами описали возможность применения </w:t>
      </w:r>
      <w:r>
        <w:rPr>
          <w:rFonts w:ascii="Times New Roman" w:hAnsi="Times New Roman" w:cs="Times New Roman"/>
          <w:bCs/>
          <w:sz w:val="28"/>
          <w:szCs w:val="28"/>
          <w:lang w:val="en-US"/>
        </w:rPr>
        <w:t>DL</w:t>
      </w:r>
      <w:r>
        <w:rPr>
          <w:rFonts w:ascii="Times New Roman" w:hAnsi="Times New Roman" w:cs="Times New Roman"/>
          <w:bCs/>
          <w:sz w:val="28"/>
          <w:szCs w:val="28"/>
        </w:rPr>
        <w:t>-</w:t>
      </w:r>
      <w:r>
        <w:rPr>
          <w:rFonts w:ascii="Times New Roman" w:hAnsi="Times New Roman" w:cs="Times New Roman"/>
          <w:bCs/>
          <w:sz w:val="28"/>
          <w:szCs w:val="28"/>
          <w:lang w:val="en-US"/>
        </w:rPr>
        <w:t>C</w:t>
      </w:r>
      <w:r>
        <w:rPr>
          <w:rFonts w:ascii="Times New Roman" w:hAnsi="Times New Roman" w:cs="Times New Roman"/>
          <w:bCs/>
          <w:sz w:val="28"/>
          <w:szCs w:val="28"/>
        </w:rPr>
        <w:t>А</w:t>
      </w:r>
      <w:r>
        <w:rPr>
          <w:rFonts w:ascii="Times New Roman" w:hAnsi="Times New Roman" w:cs="Times New Roman"/>
          <w:bCs/>
          <w:sz w:val="28"/>
          <w:szCs w:val="28"/>
          <w:lang w:val="en-US"/>
        </w:rPr>
        <w:t>D</w:t>
      </w:r>
      <w:r>
        <w:rPr>
          <w:rFonts w:ascii="Times New Roman" w:hAnsi="Times New Roman"/>
          <w:bCs/>
          <w:sz w:val="28"/>
          <w:szCs w:val="28"/>
        </w:rPr>
        <w:t xml:space="preserve"> на низкодозных компьютерно-томографических изображениях [217]. Более того, исследования показали, что качество диагнос</w:t>
      </w:r>
      <w:r>
        <w:rPr>
          <w:rFonts w:ascii="Times New Roman" w:hAnsi="Times New Roman"/>
          <w:bCs/>
          <w:sz w:val="28"/>
          <w:szCs w:val="28"/>
        </w:rPr>
        <w:t xml:space="preserve">тического изображения не страдает при более низких уровнях дозы [218]. Таким образом, изучение применения </w:t>
      </w:r>
      <w:r>
        <w:rPr>
          <w:rFonts w:ascii="Times New Roman" w:hAnsi="Times New Roman" w:cs="Times New Roman"/>
          <w:bCs/>
          <w:sz w:val="28"/>
          <w:szCs w:val="28"/>
          <w:lang w:val="en-US"/>
        </w:rPr>
        <w:t>DL</w:t>
      </w:r>
      <w:r>
        <w:rPr>
          <w:rFonts w:ascii="Times New Roman" w:hAnsi="Times New Roman" w:cs="Times New Roman"/>
          <w:bCs/>
          <w:sz w:val="28"/>
          <w:szCs w:val="28"/>
        </w:rPr>
        <w:t>-</w:t>
      </w:r>
      <w:r>
        <w:rPr>
          <w:rFonts w:ascii="Times New Roman" w:hAnsi="Times New Roman" w:cs="Times New Roman"/>
          <w:bCs/>
          <w:sz w:val="28"/>
          <w:szCs w:val="28"/>
          <w:lang w:val="en-US"/>
        </w:rPr>
        <w:t>C</w:t>
      </w:r>
      <w:r>
        <w:rPr>
          <w:rFonts w:ascii="Times New Roman" w:hAnsi="Times New Roman" w:cs="Times New Roman"/>
          <w:bCs/>
          <w:sz w:val="28"/>
          <w:szCs w:val="28"/>
        </w:rPr>
        <w:t>А</w:t>
      </w:r>
      <w:r>
        <w:rPr>
          <w:rFonts w:ascii="Times New Roman" w:hAnsi="Times New Roman" w:cs="Times New Roman"/>
          <w:bCs/>
          <w:sz w:val="28"/>
          <w:szCs w:val="28"/>
          <w:lang w:val="en-US"/>
        </w:rPr>
        <w:t>D</w:t>
      </w:r>
      <w:r>
        <w:rPr>
          <w:rFonts w:ascii="Times New Roman" w:hAnsi="Times New Roman" w:cs="Times New Roman"/>
          <w:bCs/>
          <w:sz w:val="28"/>
          <w:szCs w:val="28"/>
        </w:rPr>
        <w:t xml:space="preserve"> в скрининге рака легкого является актуальным вопросом. Наше исследование направлено на сравнение чувствительности и времени чтения при использо</w:t>
      </w:r>
      <w:r>
        <w:rPr>
          <w:rFonts w:ascii="Times New Roman" w:hAnsi="Times New Roman" w:cs="Times New Roman"/>
          <w:bCs/>
          <w:sz w:val="28"/>
          <w:szCs w:val="28"/>
        </w:rPr>
        <w:t xml:space="preserve">вании </w:t>
      </w:r>
      <w:r>
        <w:rPr>
          <w:rFonts w:ascii="Times New Roman" w:hAnsi="Times New Roman" w:cs="Times New Roman"/>
          <w:bCs/>
          <w:sz w:val="28"/>
          <w:szCs w:val="28"/>
          <w:lang w:val="en-US"/>
        </w:rPr>
        <w:t>DL</w:t>
      </w:r>
      <w:r>
        <w:rPr>
          <w:rFonts w:ascii="Times New Roman" w:hAnsi="Times New Roman" w:cs="Times New Roman"/>
          <w:bCs/>
          <w:sz w:val="28"/>
          <w:szCs w:val="28"/>
        </w:rPr>
        <w:t>-</w:t>
      </w:r>
      <w:r>
        <w:rPr>
          <w:rFonts w:ascii="Times New Roman" w:hAnsi="Times New Roman" w:cs="Times New Roman"/>
          <w:bCs/>
          <w:sz w:val="28"/>
          <w:szCs w:val="28"/>
          <w:lang w:val="en-US"/>
        </w:rPr>
        <w:t>C</w:t>
      </w:r>
      <w:r>
        <w:rPr>
          <w:rFonts w:ascii="Times New Roman" w:hAnsi="Times New Roman" w:cs="Times New Roman"/>
          <w:bCs/>
          <w:sz w:val="28"/>
          <w:szCs w:val="28"/>
        </w:rPr>
        <w:t>А</w:t>
      </w:r>
      <w:r>
        <w:rPr>
          <w:rFonts w:ascii="Times New Roman" w:hAnsi="Times New Roman" w:cs="Times New Roman"/>
          <w:bCs/>
          <w:sz w:val="28"/>
          <w:szCs w:val="28"/>
          <w:lang w:val="en-US"/>
        </w:rPr>
        <w:t>D</w:t>
      </w:r>
      <w:r>
        <w:rPr>
          <w:rFonts w:ascii="Times New Roman" w:hAnsi="Times New Roman" w:cs="Times New Roman"/>
          <w:bCs/>
          <w:sz w:val="28"/>
          <w:szCs w:val="28"/>
        </w:rPr>
        <w:t xml:space="preserve"> в качестве первой читки, второй читки и параллельной читки с читкой без применения </w:t>
      </w:r>
      <w:r>
        <w:rPr>
          <w:rFonts w:ascii="Times New Roman" w:hAnsi="Times New Roman" w:cs="Times New Roman"/>
          <w:bCs/>
          <w:sz w:val="28"/>
          <w:szCs w:val="28"/>
          <w:lang w:val="en-US"/>
        </w:rPr>
        <w:t>DL</w:t>
      </w:r>
      <w:r>
        <w:rPr>
          <w:rFonts w:ascii="Times New Roman" w:hAnsi="Times New Roman" w:cs="Times New Roman"/>
          <w:bCs/>
          <w:sz w:val="28"/>
          <w:szCs w:val="28"/>
        </w:rPr>
        <w:t>-</w:t>
      </w:r>
      <w:r>
        <w:rPr>
          <w:rFonts w:ascii="Times New Roman" w:hAnsi="Times New Roman" w:cs="Times New Roman"/>
          <w:bCs/>
          <w:sz w:val="28"/>
          <w:szCs w:val="28"/>
          <w:lang w:val="en-US"/>
        </w:rPr>
        <w:t>C</w:t>
      </w:r>
      <w:r>
        <w:rPr>
          <w:rFonts w:ascii="Times New Roman" w:hAnsi="Times New Roman" w:cs="Times New Roman"/>
          <w:bCs/>
          <w:sz w:val="28"/>
          <w:szCs w:val="28"/>
        </w:rPr>
        <w:t>А</w:t>
      </w:r>
      <w:r>
        <w:rPr>
          <w:rFonts w:ascii="Times New Roman" w:hAnsi="Times New Roman" w:cs="Times New Roman"/>
          <w:bCs/>
          <w:sz w:val="28"/>
          <w:szCs w:val="28"/>
          <w:lang w:val="en-US"/>
        </w:rPr>
        <w:t>D</w:t>
      </w:r>
      <w:r>
        <w:rPr>
          <w:rFonts w:ascii="Times New Roman" w:hAnsi="Times New Roman" w:cs="Times New Roman"/>
          <w:bCs/>
          <w:sz w:val="28"/>
          <w:szCs w:val="28"/>
        </w:rPr>
        <w:t xml:space="preserve">, таким образом изучая влияние различных методов интеграции </w:t>
      </w:r>
      <w:r>
        <w:rPr>
          <w:rFonts w:ascii="Times New Roman" w:hAnsi="Times New Roman" w:cs="Times New Roman"/>
          <w:bCs/>
          <w:sz w:val="28"/>
          <w:szCs w:val="28"/>
          <w:lang w:val="en-US"/>
        </w:rPr>
        <w:t>DL</w:t>
      </w:r>
      <w:r>
        <w:rPr>
          <w:rFonts w:ascii="Times New Roman" w:hAnsi="Times New Roman" w:cs="Times New Roman"/>
          <w:bCs/>
          <w:sz w:val="28"/>
          <w:szCs w:val="28"/>
        </w:rPr>
        <w:t>-</w:t>
      </w:r>
      <w:r>
        <w:rPr>
          <w:rFonts w:ascii="Times New Roman" w:hAnsi="Times New Roman" w:cs="Times New Roman"/>
          <w:bCs/>
          <w:sz w:val="28"/>
          <w:szCs w:val="28"/>
          <w:lang w:val="en-US"/>
        </w:rPr>
        <w:t>C</w:t>
      </w:r>
      <w:r>
        <w:rPr>
          <w:rFonts w:ascii="Times New Roman" w:hAnsi="Times New Roman" w:cs="Times New Roman"/>
          <w:bCs/>
          <w:sz w:val="28"/>
          <w:szCs w:val="28"/>
        </w:rPr>
        <w:t>А</w:t>
      </w:r>
      <w:r>
        <w:rPr>
          <w:rFonts w:ascii="Times New Roman" w:hAnsi="Times New Roman" w:cs="Times New Roman"/>
          <w:bCs/>
          <w:sz w:val="28"/>
          <w:szCs w:val="28"/>
          <w:lang w:val="en-US"/>
        </w:rPr>
        <w:t>D</w:t>
      </w:r>
      <w:r>
        <w:rPr>
          <w:rFonts w:ascii="Times New Roman" w:hAnsi="Times New Roman" w:cs="Times New Roman"/>
          <w:bCs/>
          <w:sz w:val="28"/>
          <w:szCs w:val="28"/>
        </w:rPr>
        <w:t xml:space="preserve"> в рабочий процесс радиолога с целью ее оптимизации.</w:t>
      </w:r>
      <w:r>
        <w:t xml:space="preserve"> </w:t>
      </w:r>
      <w:r>
        <w:rPr>
          <w:rFonts w:ascii="Times New Roman" w:hAnsi="Times New Roman" w:cs="Times New Roman"/>
          <w:bCs/>
          <w:sz w:val="28"/>
          <w:szCs w:val="28"/>
        </w:rPr>
        <w:t>Согласно полученным данным, наиболе</w:t>
      </w:r>
      <w:r>
        <w:rPr>
          <w:rFonts w:ascii="Times New Roman" w:hAnsi="Times New Roman" w:cs="Times New Roman"/>
          <w:bCs/>
          <w:sz w:val="28"/>
          <w:szCs w:val="28"/>
        </w:rPr>
        <w:t xml:space="preserve">е эффективным методом применения </w:t>
      </w:r>
      <w:r>
        <w:rPr>
          <w:rFonts w:ascii="Times New Roman" w:hAnsi="Times New Roman" w:cs="Times New Roman"/>
          <w:bCs/>
          <w:sz w:val="28"/>
          <w:szCs w:val="28"/>
          <w:lang w:val="en-US"/>
        </w:rPr>
        <w:t>DL</w:t>
      </w:r>
      <w:r>
        <w:rPr>
          <w:rFonts w:ascii="Times New Roman" w:hAnsi="Times New Roman" w:cs="Times New Roman"/>
          <w:bCs/>
          <w:sz w:val="28"/>
          <w:szCs w:val="28"/>
        </w:rPr>
        <w:t>-</w:t>
      </w:r>
      <w:r>
        <w:rPr>
          <w:rFonts w:ascii="Times New Roman" w:hAnsi="Times New Roman" w:cs="Times New Roman"/>
          <w:bCs/>
          <w:sz w:val="28"/>
          <w:szCs w:val="28"/>
          <w:lang w:val="en-US"/>
        </w:rPr>
        <w:t>C</w:t>
      </w:r>
      <w:r>
        <w:rPr>
          <w:rFonts w:ascii="Times New Roman" w:hAnsi="Times New Roman" w:cs="Times New Roman"/>
          <w:bCs/>
          <w:sz w:val="28"/>
          <w:szCs w:val="28"/>
        </w:rPr>
        <w:t>А</w:t>
      </w:r>
      <w:r>
        <w:rPr>
          <w:rFonts w:ascii="Times New Roman" w:hAnsi="Times New Roman" w:cs="Times New Roman"/>
          <w:bCs/>
          <w:sz w:val="28"/>
          <w:szCs w:val="28"/>
          <w:lang w:val="en-US"/>
        </w:rPr>
        <w:t>D</w:t>
      </w:r>
      <w:r>
        <w:rPr>
          <w:rFonts w:ascii="Times New Roman" w:hAnsi="Times New Roman" w:cs="Times New Roman"/>
          <w:bCs/>
          <w:sz w:val="28"/>
          <w:szCs w:val="28"/>
        </w:rPr>
        <w:t xml:space="preserve"> в нашем исследовании является использование его в роли параллельной читки совместно с врачом-радиологом, что сокращает время на интерпретацию, сохраняя высокую чувствительность с небольшим количеством ложноположитель</w:t>
      </w:r>
      <w:r>
        <w:rPr>
          <w:rFonts w:ascii="Times New Roman" w:hAnsi="Times New Roman" w:cs="Times New Roman"/>
          <w:bCs/>
          <w:sz w:val="28"/>
          <w:szCs w:val="28"/>
        </w:rPr>
        <w:t>ных результатов.</w:t>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Cs/>
          <w:sz w:val="28"/>
          <w:szCs w:val="28"/>
        </w:rPr>
        <w:t>Таким образом, низкодозная компьютерная томография является высокоинформативным, доступным, безопасным методом диагностики рака легкого. Применение низкодозной компьютерной томографии улучшит раннюю диагностику рака легкого. Доступность да</w:t>
      </w:r>
      <w:r>
        <w:rPr>
          <w:rFonts w:ascii="Times New Roman" w:hAnsi="Times New Roman" w:cs="Times New Roman"/>
          <w:bCs/>
          <w:sz w:val="28"/>
          <w:szCs w:val="28"/>
        </w:rPr>
        <w:t xml:space="preserve">нного метода исследования позволит использовать низкодозную компьютерную томографию в онкологических учреждениях РК. Внедрение в практику врача-радиолога современных </w:t>
      </w:r>
      <w:r>
        <w:rPr>
          <w:rFonts w:ascii="Times New Roman" w:hAnsi="Times New Roman" w:cs="Times New Roman"/>
          <w:bCs/>
          <w:sz w:val="28"/>
          <w:szCs w:val="28"/>
        </w:rPr>
        <w:lastRenderedPageBreak/>
        <w:t>алгоритмов обнаружения легочных улов на базе искусственного интеллекта позволит оптимизиро</w:t>
      </w:r>
      <w:r>
        <w:rPr>
          <w:rFonts w:ascii="Times New Roman" w:hAnsi="Times New Roman" w:cs="Times New Roman"/>
          <w:bCs/>
          <w:sz w:val="28"/>
          <w:szCs w:val="28"/>
        </w:rPr>
        <w:t>вать рабочий процесс и повысить его эффективность.   Применение современных лучевых методов исследования легких необходимы для снижения показателей смертности от рака легкого, для решения данной проблемы направлена научно-исследовательская работа, в рамках</w:t>
      </w:r>
      <w:r>
        <w:rPr>
          <w:rFonts w:ascii="Times New Roman" w:hAnsi="Times New Roman" w:cs="Times New Roman"/>
          <w:bCs/>
          <w:sz w:val="28"/>
          <w:szCs w:val="28"/>
        </w:rPr>
        <w:t xml:space="preserve"> которой получены научно-обоснованные выводы.</w:t>
      </w:r>
    </w:p>
    <w:p w:rsidR="00A75A8D" w:rsidRDefault="008A6A51">
      <w:pPr>
        <w:spacing w:after="0" w:line="240" w:lineRule="auto"/>
        <w:rPr>
          <w:rFonts w:ascii="Times New Roman" w:hAnsi="Times New Roman" w:cs="Times New Roman"/>
          <w:b/>
          <w:sz w:val="28"/>
        </w:rPr>
      </w:pPr>
      <w:r>
        <w:rPr>
          <w:rFonts w:ascii="Times New Roman" w:hAnsi="Times New Roman" w:cs="Times New Roman"/>
          <w:b/>
          <w:sz w:val="28"/>
        </w:rPr>
        <w:br w:type="page"/>
      </w:r>
    </w:p>
    <w:p w:rsidR="00A75A8D" w:rsidRDefault="008A6A51">
      <w:pPr>
        <w:spacing w:after="0" w:line="240" w:lineRule="auto"/>
        <w:ind w:firstLineChars="201" w:firstLine="563"/>
        <w:jc w:val="both"/>
        <w:rPr>
          <w:rFonts w:ascii="Times New Roman" w:hAnsi="Times New Roman" w:cs="Times New Roman"/>
          <w:bCs/>
          <w:sz w:val="28"/>
          <w:szCs w:val="28"/>
        </w:rPr>
      </w:pPr>
      <w:r>
        <w:rPr>
          <w:rFonts w:ascii="Times New Roman" w:hAnsi="Times New Roman" w:cs="Times New Roman"/>
          <w:b/>
          <w:sz w:val="28"/>
        </w:rPr>
        <w:lastRenderedPageBreak/>
        <w:t>ЗАКЛЮЧЕНИЕ</w:t>
      </w:r>
    </w:p>
    <w:p w:rsidR="00A75A8D" w:rsidRDefault="00A75A8D">
      <w:pPr>
        <w:spacing w:after="0" w:line="240" w:lineRule="auto"/>
        <w:ind w:firstLineChars="201" w:firstLine="563"/>
        <w:jc w:val="center"/>
        <w:rPr>
          <w:rFonts w:ascii="Times New Roman" w:hAnsi="Times New Roman" w:cs="Times New Roman"/>
          <w:bCs/>
          <w:sz w:val="28"/>
          <w:szCs w:val="28"/>
        </w:rPr>
      </w:pPr>
    </w:p>
    <w:p w:rsidR="00A75A8D" w:rsidRDefault="008A6A51">
      <w:pPr>
        <w:pStyle w:val="af3"/>
      </w:pPr>
      <w:r>
        <w:t>Применение низкодозной компьютерной томографии в диагностике рака легкого продемонстрировала высокие показатели чувствительности, специфичности и отрицательной прогностической ценности. В литерату</w:t>
      </w:r>
      <w:r>
        <w:t>рном обзоре освещена эпидемиологическая ситуация по заболеваемости и смертности от рака легкого в развитых и развивающихся странах мира с выявлением особенностей тенденции этих показателей. В ходе исследования был проведен обзор литературных данных, посвящ</w:t>
      </w:r>
      <w:r>
        <w:t xml:space="preserve">енных изучению факторов риска развития рака легкого и методов лучевой диагностики. </w:t>
      </w:r>
    </w:p>
    <w:p w:rsidR="00A75A8D" w:rsidRDefault="008A6A51">
      <w:pPr>
        <w:pStyle w:val="af3"/>
      </w:pPr>
      <w:r>
        <w:rPr>
          <w:bCs/>
        </w:rPr>
        <w:t xml:space="preserve">Анализ </w:t>
      </w:r>
      <w:r>
        <w:t>36 744 новых случаев рака легкого и 28 077 летальных исходов было исследовано с целью изучения показателей заболеваемости и смертности от рака легкого за период 2009</w:t>
      </w:r>
      <w:r>
        <w:t>-2018 гг. с определением поло-возрастных групп и географических регионов с высокими показателями.</w:t>
      </w:r>
    </w:p>
    <w:p w:rsidR="00A75A8D" w:rsidRDefault="008A6A51">
      <w:pPr>
        <w:pStyle w:val="af3"/>
      </w:pPr>
      <w:r>
        <w:t xml:space="preserve">С целью внедрения низкодозной компьютерной томографии в РК как метода ранней диагностики рака легкого изданы методические рекомендации. Методика проведения и </w:t>
      </w:r>
      <w:r>
        <w:t>интерпретации низкодозной компьютерной томографии внедрена в практику отделения радиологии и ядерной медицины АО «Казахского научно-исследовательского института онкологии и радиологии» г.Алматы, ВКО «Многопрофильный центр онкологии и хирургии» «Павлодарски</w:t>
      </w:r>
      <w:r>
        <w:t xml:space="preserve">й областной онкологический диспансер» и «Костанайская городская онкологическая многопрофильная больница». </w:t>
      </w:r>
    </w:p>
    <w:p w:rsidR="00A75A8D" w:rsidRDefault="008A6A51">
      <w:pPr>
        <w:pStyle w:val="af3"/>
      </w:pPr>
      <w:r>
        <w:t>В рамках мультицентрового исследования, проведено низкодозно-томографическое исследование 3671 бессимптомным участникам, соответствующим критериям вк</w:t>
      </w:r>
      <w:r>
        <w:t xml:space="preserve">лючения, из которых у 79 выявлен рак легкого, а показатель </w:t>
      </w:r>
      <w:r>
        <w:rPr>
          <w:lang w:val="en-US"/>
        </w:rPr>
        <w:t>CDR</w:t>
      </w:r>
      <w:r>
        <w:t xml:space="preserve"> составил 2,15%. </w:t>
      </w:r>
    </w:p>
    <w:p w:rsidR="00A75A8D" w:rsidRDefault="008A6A51">
      <w:pPr>
        <w:pStyle w:val="af3"/>
      </w:pPr>
      <w:r>
        <w:t xml:space="preserve">При сравнительном анализе стадий рака легкого между среднегодовым показателем в изучаемых регионах за исследуемый период с 2009 по 2018 год и в результате проведения </w:t>
      </w:r>
      <w:r>
        <w:t xml:space="preserve">низкодозной компьютерной томографии процент выявления рака легкого при I стадии увеличился на 38,7% с 6,2% до 10,1%; процент выявления II стадии увеличился на 25,4% с 21,7% до 29,1%. Общий процент выявления рака легкого на ранних стадиях (I-II) увеличился </w:t>
      </w:r>
      <w:r>
        <w:t>на 28,8%. Анализ данных показал, что в результате применения низкодозной компьютерной томографии легких отмечается значительное и статистически достоверное снижение процента выявления рака легкого IV стадии с 21,2% до 1,3%, что также имело статистически зн</w:t>
      </w:r>
      <w:r>
        <w:t>ачимую связь.</w:t>
      </w:r>
    </w:p>
    <w:p w:rsidR="00A75A8D" w:rsidRDefault="008A6A51">
      <w:pPr>
        <w:pStyle w:val="af3"/>
      </w:pPr>
      <w:r>
        <w:t>При анализе данных выявлены факторы, увеличивающие частоту выявления рака легкого у бессимптомного населения, а именно отношения шансов возникновения рака легкого в зависимости от пола, возраста и статуса курения. Так, отношение шансов выявле</w:t>
      </w:r>
      <w:r>
        <w:t xml:space="preserve">ния рака </w:t>
      </w:r>
      <w:r>
        <w:rPr>
          <w:lang w:eastAsia="zh-CN"/>
        </w:rPr>
        <w:t xml:space="preserve">легкого </w:t>
      </w:r>
      <w:r>
        <w:t xml:space="preserve">у мужчин в 2,8 раза выше, чем среди женщин (ОШ=2,808, 95% ДИ: </w:t>
      </w:r>
      <w:r>
        <w:rPr>
          <w:color w:val="000000"/>
          <w:lang w:eastAsia="zh-CN" w:bidi="ar"/>
        </w:rPr>
        <w:t>1,718-4,589, р&lt;0,05</w:t>
      </w:r>
      <w:r>
        <w:t xml:space="preserve">). В возрастном аспекте статистически достоверные данные получены при сравнении возрастных групп 60-69 лет против 70-75 </w:t>
      </w:r>
      <w:r>
        <w:rPr>
          <w:lang w:eastAsia="ru-RU"/>
        </w:rPr>
        <w:t xml:space="preserve">лет </w:t>
      </w:r>
      <w:r>
        <w:t>и 50-59 лет против 70-75лет. По ре</w:t>
      </w:r>
      <w:r>
        <w:t xml:space="preserve">зультатам нашего исследования, риск рака легкого среди участников возрастной категории 70-75 </w:t>
      </w:r>
      <w:r>
        <w:lastRenderedPageBreak/>
        <w:t>выше, чем в группах 50-59 лет и 60-69 лет (ОШ=</w:t>
      </w:r>
      <w:r>
        <w:rPr>
          <w:lang w:eastAsia="zh-CN"/>
        </w:rPr>
        <w:t xml:space="preserve">0,452, 95% ДИ: 0,251-0,815 и </w:t>
      </w:r>
      <w:r>
        <w:t>ОШ=</w:t>
      </w:r>
      <w:r>
        <w:rPr>
          <w:lang w:eastAsia="zh-CN"/>
        </w:rPr>
        <w:t>0,327, 95% ДИ: 0,168-0,636 соответственно, р&lt;0,05</w:t>
      </w:r>
      <w:r>
        <w:t xml:space="preserve">). Анализ данных касательно статуса </w:t>
      </w:r>
      <w:r>
        <w:t xml:space="preserve">курения показал, что отношение шансов выявления рака легкого у курильщиков выше, чем у не курящих (ОШ =2,448, 95% ДИ: </w:t>
      </w:r>
      <w:r>
        <w:rPr>
          <w:lang w:eastAsia="zh-CN"/>
        </w:rPr>
        <w:t>1,526-4,056</w:t>
      </w:r>
      <w:r>
        <w:t xml:space="preserve">, </w:t>
      </w:r>
      <w:r>
        <w:rPr>
          <w:color w:val="000000"/>
          <w:lang w:eastAsia="zh-CN" w:bidi="ar"/>
        </w:rPr>
        <w:t>р&lt;0,05</w:t>
      </w:r>
      <w:r>
        <w:t>) и у бывших курильщиков (ОШ =</w:t>
      </w:r>
      <w:r>
        <w:rPr>
          <w:lang w:eastAsia="zh-CN"/>
        </w:rPr>
        <w:t>2,325</w:t>
      </w:r>
      <w:r>
        <w:t xml:space="preserve">, 95% ДИ: </w:t>
      </w:r>
      <w:r>
        <w:rPr>
          <w:lang w:eastAsia="zh-CN"/>
        </w:rPr>
        <w:t>1,068-5.060</w:t>
      </w:r>
      <w:r>
        <w:t xml:space="preserve">, </w:t>
      </w:r>
      <w:r>
        <w:rPr>
          <w:color w:val="000000"/>
          <w:lang w:eastAsia="zh-CN" w:bidi="ar"/>
        </w:rPr>
        <w:t>р&lt;0,05</w:t>
      </w:r>
      <w:r>
        <w:t xml:space="preserve">.  </w:t>
      </w:r>
    </w:p>
    <w:p w:rsidR="00A75A8D" w:rsidRDefault="008A6A51">
      <w:pPr>
        <w:pStyle w:val="af3"/>
        <w:rPr>
          <w:rFonts w:eastAsia="Times New Roman"/>
          <w:bCs/>
          <w:color w:val="000000"/>
          <w:lang w:eastAsia="ru-RU"/>
        </w:rPr>
      </w:pPr>
      <w:r>
        <w:t>На основании изучения радиологических признаков выя</w:t>
      </w:r>
      <w:r>
        <w:t>вленных легочных узлов, определены патогномоничные признаки рака легкого при низкодозной компьютерной томографии</w:t>
      </w:r>
      <w:r>
        <w:rPr>
          <w:rFonts w:eastAsia="Times New Roman"/>
          <w:bCs/>
          <w:color w:val="000000"/>
          <w:lang w:eastAsia="ru-RU"/>
        </w:rPr>
        <w:t>.</w:t>
      </w:r>
    </w:p>
    <w:p w:rsidR="00A75A8D" w:rsidRDefault="008A6A51">
      <w:pPr>
        <w:pStyle w:val="af3"/>
        <w:rPr>
          <w:color w:val="0000FF"/>
          <w:lang w:eastAsia="ru-RU"/>
        </w:rPr>
      </w:pPr>
      <w:r>
        <w:rPr>
          <w:lang w:eastAsia="ru-RU"/>
        </w:rPr>
        <w:t xml:space="preserve">Изучение вариантов применения </w:t>
      </w:r>
      <w:r>
        <w:rPr>
          <w:lang w:val="en-US"/>
        </w:rPr>
        <w:t>DL</w:t>
      </w:r>
      <w:r>
        <w:t>-</w:t>
      </w:r>
      <w:r>
        <w:rPr>
          <w:lang w:val="en-US"/>
        </w:rPr>
        <w:t>C</w:t>
      </w:r>
      <w:r>
        <w:t>А</w:t>
      </w:r>
      <w:r>
        <w:rPr>
          <w:lang w:val="en-US"/>
        </w:rPr>
        <w:t>D</w:t>
      </w:r>
      <w:r>
        <w:rPr>
          <w:lang w:eastAsia="ru-RU"/>
        </w:rPr>
        <w:t xml:space="preserve"> при низкодозной компьютерной томографии позволило оптимизировать процесс интерпретации НДКТ-изображений п</w:t>
      </w:r>
      <w:r>
        <w:rPr>
          <w:lang w:eastAsia="ru-RU"/>
        </w:rPr>
        <w:t>утем выявления наиболее эффективного способа, а именно в качестве параллельного чтения, который не только позволяет значительно сократить время интерпретации, но повысить точность путем снижения количества ложноположительных результатов.</w:t>
      </w:r>
      <w:r>
        <w:rPr>
          <w:color w:val="0000FF"/>
          <w:lang w:eastAsia="ru-RU"/>
        </w:rPr>
        <w:t xml:space="preserve"> </w:t>
      </w:r>
      <w:r>
        <w:rPr>
          <w:lang w:eastAsia="ru-RU"/>
        </w:rPr>
        <w:t>По результатам про</w:t>
      </w:r>
      <w:r>
        <w:rPr>
          <w:lang w:eastAsia="ru-RU"/>
        </w:rPr>
        <w:t xml:space="preserve">веденного исследования получено авторское свидетельство: </w:t>
      </w:r>
      <w:r>
        <w:rPr>
          <w:lang w:eastAsia="zh-CN"/>
        </w:rPr>
        <w:t>Оптимизированный протокол интерпретации низкодозных компьютерно-томографических изображений с применением искусственного интеллекта на основе глубокого обучения (DL-CAD).</w:t>
      </w:r>
    </w:p>
    <w:p w:rsidR="00A75A8D" w:rsidRDefault="008A6A51">
      <w:pPr>
        <w:pStyle w:val="af3"/>
        <w:rPr>
          <w:b/>
          <w:color w:val="FF0000"/>
          <w:lang w:eastAsia="ru-RU"/>
        </w:rPr>
      </w:pPr>
      <w:r>
        <w:rPr>
          <w:lang w:eastAsia="ru-RU"/>
        </w:rPr>
        <w:t>Таким образом, проведенное н</w:t>
      </w:r>
      <w:r>
        <w:rPr>
          <w:lang w:eastAsia="ru-RU"/>
        </w:rPr>
        <w:t xml:space="preserve">ами исследование позволило сделать следующие </w:t>
      </w:r>
      <w:r>
        <w:rPr>
          <w:b/>
          <w:lang w:eastAsia="ru-RU"/>
        </w:rPr>
        <w:t xml:space="preserve">выводы: </w:t>
      </w:r>
    </w:p>
    <w:p w:rsidR="00A75A8D" w:rsidRDefault="008A6A51">
      <w:pPr>
        <w:pStyle w:val="af3"/>
        <w:numPr>
          <w:ilvl w:val="0"/>
          <w:numId w:val="7"/>
        </w:numPr>
        <w:tabs>
          <w:tab w:val="left" w:pos="851"/>
        </w:tabs>
        <w:ind w:left="0" w:firstLine="567"/>
        <w:rPr>
          <w:rFonts w:eastAsia="Times New Roman"/>
          <w:bCs/>
          <w:lang w:eastAsia="ru-RU"/>
        </w:rPr>
      </w:pPr>
      <w:r>
        <w:t xml:space="preserve">Показатели заболеваемости и смертности от рака легкого в РК за 10-летний период умеренно и неравномерно снижались на 9,4% и 32,5% соответственно, с превалированием поздних стадий (средний показатель за </w:t>
      </w:r>
      <w:r>
        <w:t xml:space="preserve">10 лет составил 74,2%), преобладанием в Северных, Восточных регионах с высоким коэффициентом корреляции (0,6-0,8) в зависимости от радонового загрязнения, превалированием в 4 раза среди мужской популяции и в возрастной группе 70-75 лет (р&lt;0,001). </w:t>
      </w:r>
    </w:p>
    <w:p w:rsidR="00A75A8D" w:rsidRDefault="008A6A51">
      <w:pPr>
        <w:pStyle w:val="af3"/>
        <w:numPr>
          <w:ilvl w:val="0"/>
          <w:numId w:val="7"/>
        </w:numPr>
        <w:tabs>
          <w:tab w:val="left" w:pos="851"/>
        </w:tabs>
        <w:ind w:left="0" w:firstLine="567"/>
        <w:rPr>
          <w:rFonts w:eastAsia="Times New Roman"/>
          <w:bCs/>
          <w:lang w:eastAsia="ru-RU"/>
        </w:rPr>
      </w:pPr>
      <w:r>
        <w:t>Проведен</w:t>
      </w:r>
      <w:r>
        <w:t>ие низкодозной компьютерной томографии в избранных регионах с высокими показателями заболеваемости, смертности и радонового загрязнения позволило выявить ранние стадии рака легкого в 39,2% случаев (31/79) что улучшило раннюю диагностику на 28,8</w:t>
      </w:r>
      <w:r>
        <w:rPr>
          <w:bCs/>
        </w:rPr>
        <w:t xml:space="preserve">%. </w:t>
      </w:r>
    </w:p>
    <w:p w:rsidR="00A75A8D" w:rsidRDefault="008A6A51">
      <w:pPr>
        <w:pStyle w:val="af3"/>
        <w:numPr>
          <w:ilvl w:val="0"/>
          <w:numId w:val="7"/>
        </w:numPr>
        <w:tabs>
          <w:tab w:val="left" w:pos="851"/>
        </w:tabs>
        <w:ind w:left="0" w:firstLine="567"/>
        <w:rPr>
          <w:rFonts w:eastAsia="Times New Roman"/>
          <w:bCs/>
          <w:color w:val="000000"/>
          <w:lang w:eastAsia="ru-RU"/>
        </w:rPr>
      </w:pPr>
      <w:r>
        <w:t>Низкодоз</w:t>
      </w:r>
      <w:r>
        <w:t>ная компьютерная томография демонстрирует высокую чувствительность 94,1%, специфичность 85,2% и точность 86,7% в диагностике рака легкого. Статистически достоверными НДКТ паттернами рака легкого являются: субсолидный тип структуры узла, неправильная форма,</w:t>
      </w:r>
      <w:r>
        <w:t xml:space="preserve"> нечеткие/неровные и спикулообразные контуры, размер более 31 мм, плотность 10-35HU, наличие реакции прилежащей плевры и перифокальная инфильтрация (р&lt;0,001)</w:t>
      </w:r>
      <w:r>
        <w:rPr>
          <w:bCs/>
        </w:rPr>
        <w:t>.</w:t>
      </w:r>
    </w:p>
    <w:p w:rsidR="00A75A8D" w:rsidRDefault="008A6A51">
      <w:pPr>
        <w:pStyle w:val="af3"/>
        <w:numPr>
          <w:ilvl w:val="0"/>
          <w:numId w:val="7"/>
        </w:numPr>
        <w:tabs>
          <w:tab w:val="left" w:pos="851"/>
        </w:tabs>
        <w:ind w:left="0" w:firstLine="567"/>
        <w:rPr>
          <w:rFonts w:eastAsia="Times New Roman"/>
          <w:bCs/>
          <w:color w:val="000000"/>
          <w:lang w:eastAsia="ru-RU"/>
        </w:rPr>
      </w:pPr>
      <w:r>
        <w:t>Искусственный интеллект на основе глубокого обучения (DL-CAD) при параллельном чтении обладает вы</w:t>
      </w:r>
      <w:r>
        <w:t xml:space="preserve">сокой чувствительностью в диагностике легочных узлов (94,8%) с </w:t>
      </w:r>
      <w:r>
        <w:t>сокращением</w:t>
      </w:r>
      <w:r>
        <w:t xml:space="preserve"> время интерпретации на 21,1% (р&lt;0,001)</w:t>
      </w:r>
      <w:r>
        <w:rPr>
          <w:bCs/>
        </w:rPr>
        <w:t xml:space="preserve">. </w:t>
      </w:r>
    </w:p>
    <w:p w:rsidR="00A75A8D" w:rsidRDefault="008A6A51">
      <w:pPr>
        <w:pStyle w:val="af3"/>
        <w:rPr>
          <w:b/>
          <w:lang w:eastAsia="ru-RU"/>
        </w:rPr>
      </w:pPr>
      <w:r>
        <w:rPr>
          <w:lang w:eastAsia="ru-RU"/>
        </w:rPr>
        <w:t xml:space="preserve">На основании всего вышесказанного мы предлагаем следующие научно-обоснованные </w:t>
      </w:r>
      <w:r>
        <w:rPr>
          <w:b/>
          <w:lang w:eastAsia="ru-RU"/>
        </w:rPr>
        <w:t>практические рекомендации:</w:t>
      </w:r>
    </w:p>
    <w:p w:rsidR="00A75A8D" w:rsidRDefault="008A6A51">
      <w:pPr>
        <w:pStyle w:val="af3"/>
        <w:numPr>
          <w:ilvl w:val="0"/>
          <w:numId w:val="8"/>
        </w:numPr>
        <w:rPr>
          <w:rFonts w:eastAsia="Times New Roman"/>
          <w:color w:val="000000"/>
          <w:lang w:eastAsia="ru-RU"/>
        </w:rPr>
      </w:pPr>
      <w:r>
        <w:lastRenderedPageBreak/>
        <w:t xml:space="preserve">В регионах РК с высокими </w:t>
      </w:r>
      <w:r>
        <w:t>показателями заболеваемости, смертности и радонового загрязнения необходимо применять низкодозную компьютерную томографию для ранней диагностики рака легкого.</w:t>
      </w:r>
    </w:p>
    <w:p w:rsidR="00A75A8D" w:rsidRDefault="008A6A51">
      <w:pPr>
        <w:pStyle w:val="af3"/>
        <w:numPr>
          <w:ilvl w:val="0"/>
          <w:numId w:val="8"/>
        </w:numPr>
        <w:rPr>
          <w:rFonts w:eastAsia="Times New Roman"/>
          <w:color w:val="000000"/>
          <w:lang w:eastAsia="ru-RU"/>
        </w:rPr>
      </w:pPr>
      <w:r>
        <w:t>Для оптимизации процесса интерпретации НДКТ-изображений рекомендуется применять систему компьютер</w:t>
      </w:r>
      <w:r>
        <w:t>ной диагностики на основе глубокого обучения в качестве параллельного чтения</w:t>
      </w:r>
      <w:r>
        <w:rPr>
          <w:lang w:eastAsia="ru-RU"/>
        </w:rPr>
        <w:t>.</w:t>
      </w:r>
      <w:r>
        <w:rPr>
          <w:color w:val="0000FF"/>
        </w:rPr>
        <w:br w:type="page"/>
      </w:r>
    </w:p>
    <w:p w:rsidR="00A75A8D" w:rsidRDefault="008A6A51">
      <w:pPr>
        <w:pStyle w:val="1"/>
        <w:numPr>
          <w:ilvl w:val="0"/>
          <w:numId w:val="0"/>
        </w:numPr>
        <w:spacing w:before="0" w:line="240" w:lineRule="auto"/>
        <w:jc w:val="center"/>
        <w:rPr>
          <w:rFonts w:ascii="Times New Roman" w:hAnsi="Times New Roman" w:cs="Times New Roman"/>
          <w:b/>
          <w:color w:val="auto"/>
          <w:sz w:val="28"/>
          <w:lang w:val="en-US" w:eastAsia="zh-CN"/>
        </w:rPr>
      </w:pPr>
      <w:bookmarkStart w:id="25" w:name="_Toc186925744"/>
      <w:r>
        <w:rPr>
          <w:rFonts w:ascii="Times New Roman" w:hAnsi="Times New Roman" w:cs="Times New Roman"/>
          <w:b/>
          <w:color w:val="auto"/>
          <w:sz w:val="28"/>
          <w:lang w:eastAsia="zh-CN"/>
        </w:rPr>
        <w:lastRenderedPageBreak/>
        <w:t>СПИСОК</w:t>
      </w:r>
      <w:r>
        <w:rPr>
          <w:rFonts w:ascii="Times New Roman" w:hAnsi="Times New Roman" w:cs="Times New Roman"/>
          <w:b/>
          <w:color w:val="auto"/>
          <w:sz w:val="28"/>
          <w:lang w:val="en-US" w:eastAsia="zh-CN"/>
        </w:rPr>
        <w:t xml:space="preserve"> </w:t>
      </w:r>
      <w:r>
        <w:rPr>
          <w:rFonts w:ascii="Times New Roman" w:hAnsi="Times New Roman" w:cs="Times New Roman"/>
          <w:b/>
          <w:color w:val="auto"/>
          <w:sz w:val="28"/>
          <w:lang w:eastAsia="zh-CN"/>
        </w:rPr>
        <w:t>ИСПОЛЬЗОВАННЫХ</w:t>
      </w:r>
      <w:r>
        <w:rPr>
          <w:rFonts w:ascii="Times New Roman" w:hAnsi="Times New Roman" w:cs="Times New Roman"/>
          <w:b/>
          <w:color w:val="auto"/>
          <w:sz w:val="28"/>
          <w:lang w:val="en-US" w:eastAsia="zh-CN"/>
        </w:rPr>
        <w:t xml:space="preserve"> </w:t>
      </w:r>
      <w:r>
        <w:rPr>
          <w:rFonts w:ascii="Times New Roman" w:hAnsi="Times New Roman" w:cs="Times New Roman"/>
          <w:b/>
          <w:color w:val="auto"/>
          <w:sz w:val="28"/>
          <w:lang w:eastAsia="zh-CN"/>
        </w:rPr>
        <w:t>ИСТОЧНИКОВ</w:t>
      </w:r>
      <w:bookmarkEnd w:id="25"/>
      <w:r>
        <w:rPr>
          <w:rFonts w:ascii="Times New Roman" w:hAnsi="Times New Roman" w:cs="Times New Roman"/>
          <w:b/>
          <w:color w:val="auto"/>
          <w:sz w:val="28"/>
          <w:lang w:val="en-US" w:eastAsia="zh-CN"/>
        </w:rPr>
        <w:t xml:space="preserve"> </w:t>
      </w:r>
    </w:p>
    <w:p w:rsidR="00A75A8D" w:rsidRDefault="00A75A8D">
      <w:pPr>
        <w:spacing w:after="0" w:line="240" w:lineRule="auto"/>
        <w:ind w:firstLineChars="201" w:firstLine="563"/>
        <w:jc w:val="center"/>
        <w:rPr>
          <w:rFonts w:ascii="Times New Roman" w:hAnsi="Times New Roman" w:cs="Times New Roman"/>
          <w:bCs/>
          <w:sz w:val="28"/>
          <w:szCs w:val="28"/>
          <w:lang w:val="en-US"/>
        </w:rPr>
      </w:pPr>
    </w:p>
    <w:p w:rsidR="00A75A8D" w:rsidRDefault="008A6A51">
      <w:pPr>
        <w:pStyle w:val="af7"/>
        <w:tabs>
          <w:tab w:val="left" w:pos="440"/>
        </w:tabs>
        <w:jc w:val="both"/>
        <w:rPr>
          <w:rFonts w:ascii="Times New Roman" w:hAnsi="Times New Roman"/>
          <w:sz w:val="28"/>
          <w:szCs w:val="28"/>
          <w:lang w:val="en-US"/>
        </w:rPr>
      </w:pPr>
      <w:r>
        <w:rPr>
          <w:rFonts w:ascii="Times New Roman" w:hAnsi="Times New Roman"/>
          <w:sz w:val="28"/>
          <w:szCs w:val="28"/>
          <w:lang w:val="en-US"/>
        </w:rPr>
        <w:t>1</w:t>
      </w:r>
      <w:r>
        <w:rPr>
          <w:rFonts w:ascii="Times New Roman" w:hAnsi="Times New Roman"/>
          <w:sz w:val="28"/>
          <w:szCs w:val="28"/>
          <w:lang w:val="en-US"/>
        </w:rPr>
        <w:tab/>
        <w:t xml:space="preserve">Bray F, Laversanne M, Sung H, Ferlay J, Siegel RL, Soerjomataram I, Jemal A. Global cancer statistics 2022: GLOBOCAN estimates of incidence </w:t>
      </w:r>
      <w:r>
        <w:rPr>
          <w:rFonts w:ascii="Times New Roman" w:hAnsi="Times New Roman"/>
          <w:sz w:val="28"/>
          <w:szCs w:val="28"/>
          <w:lang w:val="en-US"/>
        </w:rPr>
        <w:t>and mortality worldwide for 36 cancers in 185 countries //CA Cancer J Clin. - 2024. - Vol. 74, № 3. - P. 229-263.</w:t>
      </w:r>
    </w:p>
    <w:p w:rsidR="00A75A8D" w:rsidRDefault="008A6A51">
      <w:pPr>
        <w:pStyle w:val="af7"/>
        <w:tabs>
          <w:tab w:val="left" w:pos="440"/>
        </w:tabs>
        <w:jc w:val="both"/>
        <w:rPr>
          <w:rFonts w:ascii="Times New Roman" w:hAnsi="Times New Roman"/>
          <w:sz w:val="28"/>
          <w:szCs w:val="28"/>
        </w:rPr>
      </w:pPr>
      <w:r>
        <w:rPr>
          <w:rFonts w:ascii="Times New Roman" w:hAnsi="Times New Roman"/>
          <w:sz w:val="28"/>
          <w:szCs w:val="28"/>
        </w:rPr>
        <w:t>2</w:t>
      </w:r>
      <w:r>
        <w:rPr>
          <w:rFonts w:ascii="Times New Roman" w:hAnsi="Times New Roman"/>
          <w:sz w:val="28"/>
          <w:szCs w:val="28"/>
        </w:rPr>
        <w:tab/>
        <w:t>Кайдарова Д.Р., Показатели онкологической службы Республики Казахстан за 2022 год (статистические материалы). Алматы. Казахский Научно-иссле</w:t>
      </w:r>
      <w:r>
        <w:rPr>
          <w:rFonts w:ascii="Times New Roman" w:hAnsi="Times New Roman"/>
          <w:sz w:val="28"/>
          <w:szCs w:val="28"/>
        </w:rPr>
        <w:t>довательский институт Онкологии и Радиологии. - Алматы, 2023. - С 22-24.</w:t>
      </w:r>
    </w:p>
    <w:p w:rsidR="00A75A8D" w:rsidRDefault="008A6A51">
      <w:pPr>
        <w:pStyle w:val="af7"/>
        <w:tabs>
          <w:tab w:val="left" w:pos="440"/>
        </w:tabs>
        <w:jc w:val="both"/>
        <w:rPr>
          <w:rFonts w:ascii="Times New Roman" w:hAnsi="Times New Roman"/>
          <w:sz w:val="28"/>
          <w:szCs w:val="28"/>
          <w:lang w:val="en-US"/>
        </w:rPr>
      </w:pPr>
      <w:r>
        <w:rPr>
          <w:rFonts w:ascii="Times New Roman" w:hAnsi="Times New Roman"/>
          <w:sz w:val="28"/>
          <w:szCs w:val="28"/>
          <w:lang w:val="en-US"/>
        </w:rPr>
        <w:t>3</w:t>
      </w:r>
      <w:r>
        <w:rPr>
          <w:rFonts w:ascii="Times New Roman" w:hAnsi="Times New Roman"/>
          <w:sz w:val="28"/>
          <w:szCs w:val="28"/>
          <w:lang w:val="en-US"/>
        </w:rPr>
        <w:tab/>
        <w:t>Woodard G., Jones K., Jablons M. Lung Cancer Staging and Prognosis //Lung Cancer.  - 2016. - Vol. 170. - P. 47–75.</w:t>
      </w:r>
    </w:p>
    <w:p w:rsidR="00A75A8D" w:rsidRDefault="008A6A51">
      <w:pPr>
        <w:pStyle w:val="af7"/>
        <w:tabs>
          <w:tab w:val="left" w:pos="440"/>
        </w:tabs>
        <w:jc w:val="both"/>
        <w:rPr>
          <w:rFonts w:ascii="Times New Roman" w:hAnsi="Times New Roman"/>
          <w:sz w:val="28"/>
          <w:szCs w:val="28"/>
          <w:lang w:val="en-US"/>
        </w:rPr>
      </w:pPr>
      <w:r>
        <w:rPr>
          <w:rFonts w:ascii="Times New Roman" w:hAnsi="Times New Roman"/>
          <w:sz w:val="28"/>
          <w:szCs w:val="28"/>
          <w:lang w:val="en-US"/>
        </w:rPr>
        <w:t>4</w:t>
      </w:r>
      <w:r>
        <w:rPr>
          <w:rFonts w:ascii="Times New Roman" w:hAnsi="Times New Roman"/>
          <w:sz w:val="28"/>
          <w:szCs w:val="28"/>
          <w:lang w:val="en-US"/>
        </w:rPr>
        <w:tab/>
        <w:t xml:space="preserve">Barta JA, Farjah F, Thomson CC, Dyer DS, Wiener RS, Slatore CG. </w:t>
      </w:r>
      <w:r>
        <w:rPr>
          <w:rFonts w:ascii="Times New Roman" w:hAnsi="Times New Roman"/>
          <w:sz w:val="28"/>
          <w:szCs w:val="28"/>
          <w:lang w:val="en-US"/>
        </w:rPr>
        <w:t>The American Cancer Society National Lung Cancer Roundtable strategic plan: Optimizing strategies for lung nodule evaluation and management //Cancer. - 2024. - Vol. 130, № 24. - P. 4177-4187.</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5</w:t>
      </w:r>
      <w:r>
        <w:rPr>
          <w:rFonts w:ascii="Times New Roman" w:hAnsi="Times New Roman"/>
          <w:sz w:val="28"/>
          <w:szCs w:val="28"/>
          <w:lang w:val="en-US"/>
        </w:rPr>
        <w:tab/>
        <w:t>Lemjabbar-Alaoui H, Hassan O, Yang Y-W, Buchanan P., et al. Lu</w:t>
      </w:r>
      <w:r>
        <w:rPr>
          <w:rFonts w:ascii="Times New Roman" w:hAnsi="Times New Roman"/>
          <w:sz w:val="28"/>
          <w:szCs w:val="28"/>
          <w:lang w:val="en-US"/>
        </w:rPr>
        <w:t>ng cancer: Biology and treatment options //Biochimica et Biophysica Acta. - 2015. - Vol. 1856, №2. - P. 189–210.</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6</w:t>
      </w:r>
      <w:r>
        <w:rPr>
          <w:rFonts w:ascii="Times New Roman" w:hAnsi="Times New Roman"/>
          <w:sz w:val="28"/>
          <w:szCs w:val="28"/>
          <w:lang w:val="en-US"/>
        </w:rPr>
        <w:tab/>
        <w:t xml:space="preserve">Adams J., Stone E., Baldwin R., Vliegenthart R., Lee P., Fintelmann J. Lung cancer screening //The Lancet. - 2023. - Vol. 401, № 10374. - P. </w:t>
      </w:r>
      <w:r>
        <w:rPr>
          <w:rFonts w:ascii="Times New Roman" w:hAnsi="Times New Roman"/>
          <w:sz w:val="28"/>
          <w:szCs w:val="28"/>
          <w:lang w:val="en-US"/>
        </w:rPr>
        <w:t xml:space="preserve">390-408. </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7</w:t>
      </w:r>
      <w:r>
        <w:rPr>
          <w:rFonts w:ascii="Times New Roman" w:hAnsi="Times New Roman"/>
          <w:sz w:val="28"/>
          <w:szCs w:val="28"/>
          <w:lang w:val="en-US"/>
        </w:rPr>
        <w:tab/>
        <w:t>Huang KL, Wang SY, Lu WC, Chang YH, Su J, Lu YT. Effects of low-dose computed tomography on lung cancer screening: a systematic review, meta-analysis, and trial sequential analysis // BMC Pulm Med. - 2019. - Vol. 19, № 1. - P. 126.</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8</w:t>
      </w:r>
      <w:r>
        <w:rPr>
          <w:rFonts w:ascii="Times New Roman" w:hAnsi="Times New Roman"/>
          <w:sz w:val="28"/>
          <w:szCs w:val="28"/>
          <w:lang w:val="en-US"/>
        </w:rPr>
        <w:tab/>
        <w:t>Sun K, You</w:t>
      </w:r>
      <w:r>
        <w:rPr>
          <w:rFonts w:ascii="Times New Roman" w:hAnsi="Times New Roman"/>
          <w:sz w:val="28"/>
          <w:szCs w:val="28"/>
          <w:lang w:val="en-US"/>
        </w:rPr>
        <w:t xml:space="preserve"> A, Wang B, Song N, Wan Z, Wu F, Zhao W, Zhou F, Li W. Clinical T1aN0M0 lung cancer: differences in clinicopathological patterns and oncological outcomes based on the findings on high-resolution computed tomography // Eur Radiol. - 2021. - Vol. 31, № 10. -</w:t>
      </w:r>
      <w:r>
        <w:rPr>
          <w:rFonts w:ascii="Times New Roman" w:hAnsi="Times New Roman"/>
          <w:sz w:val="28"/>
          <w:szCs w:val="28"/>
          <w:lang w:val="en-US"/>
        </w:rPr>
        <w:t xml:space="preserve"> P. 7353-7362.</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9</w:t>
      </w:r>
      <w:r>
        <w:rPr>
          <w:rFonts w:ascii="Times New Roman" w:hAnsi="Times New Roman"/>
          <w:sz w:val="28"/>
          <w:szCs w:val="28"/>
          <w:lang w:val="en-US"/>
        </w:rPr>
        <w:tab/>
        <w:t>Zhu L, Liu J, Zeng L, Moonindranath S, An P, Chen H, Xiang Q, Wang Z. Thoracic high resolution computed tomography evaluation of imaging abnormalities of 108 lung cancer patients with different pulmonary function // Cancer Imaging. - 2024.</w:t>
      </w:r>
      <w:r>
        <w:rPr>
          <w:rFonts w:ascii="Times New Roman" w:hAnsi="Times New Roman"/>
          <w:sz w:val="28"/>
          <w:szCs w:val="28"/>
          <w:lang w:val="en-US"/>
        </w:rPr>
        <w:t xml:space="preserve"> - Vol. 24, № 1. - P. 78. </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10</w:t>
      </w:r>
      <w:r>
        <w:rPr>
          <w:rFonts w:ascii="Times New Roman" w:hAnsi="Times New Roman"/>
          <w:sz w:val="28"/>
          <w:szCs w:val="28"/>
          <w:lang w:val="en-US"/>
        </w:rPr>
        <w:tab/>
        <w:t xml:space="preserve">Kim L. Sandler, MDa ; Travis S. Henry, MDb ; Arya Amini, MDc ; Saeed Elojeimy, American College of Radiology: Lung Cancer Screening Appropriateness Criteria. Available at: https://www.acraccreditation. </w:t>
      </w:r>
      <w:r>
        <w:rPr>
          <w:rFonts w:ascii="Times New Roman" w:hAnsi="Times New Roman"/>
          <w:sz w:val="28"/>
          <w:szCs w:val="28"/>
          <w:lang w:val="en-US"/>
        </w:rPr>
        <w:t>org/-/media/ACRAccreditation/Documents/LCS/Lung-Cancer-ScreeningTechnical-Specifications.pdf?la=en. Accessed December 23, 2018.</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eastAsia="zh-CN"/>
        </w:rPr>
        <w:t>11</w:t>
      </w:r>
      <w:r>
        <w:rPr>
          <w:rFonts w:ascii="Times New Roman" w:hAnsi="Times New Roman"/>
          <w:sz w:val="28"/>
          <w:szCs w:val="28"/>
          <w:lang w:val="en-US" w:eastAsia="zh-CN"/>
        </w:rPr>
        <w:tab/>
        <w:t>Infante M, Cavuto S, Lutman FR, Passera E, Chiarenza M, Chiesa G. Long-Term Follow-up Results of the DANTE Trial, a Randomize</w:t>
      </w:r>
      <w:r>
        <w:rPr>
          <w:rFonts w:ascii="Times New Roman" w:hAnsi="Times New Roman"/>
          <w:sz w:val="28"/>
          <w:szCs w:val="28"/>
          <w:lang w:val="en-US" w:eastAsia="zh-CN"/>
        </w:rPr>
        <w:t xml:space="preserve">d Study of Lung Cancer Screening with Spiral Computed Tomography //Am J Respir Crit Care Med. - 2015. - Vol. 191, № 10. - P. 1166-1175. </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eastAsia="zh-CN"/>
        </w:rPr>
        <w:t>12</w:t>
      </w:r>
      <w:r>
        <w:rPr>
          <w:rFonts w:ascii="Times New Roman" w:hAnsi="Times New Roman"/>
          <w:sz w:val="28"/>
          <w:szCs w:val="28"/>
          <w:lang w:val="en-US" w:eastAsia="zh-CN"/>
        </w:rPr>
        <w:tab/>
        <w:t>Becker N, Motsch E, Gross ML, Eigentopf A, Heussel CP, Dienemann H, Schnabel PA. Randomized Study on Early Detection</w:t>
      </w:r>
      <w:r>
        <w:rPr>
          <w:rFonts w:ascii="Times New Roman" w:hAnsi="Times New Roman"/>
          <w:sz w:val="28"/>
          <w:szCs w:val="28"/>
          <w:lang w:val="en-US" w:eastAsia="zh-CN"/>
        </w:rPr>
        <w:t xml:space="preserve"> of Lung Cancer with MSCT in Germany: Results of the First 3 Years of Follow-up After Randomization //J Thorac Oncol. - 2015. - Vol. 10, № 6. - P. 890-896.</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eastAsia="zh-CN"/>
        </w:rPr>
        <w:lastRenderedPageBreak/>
        <w:t>13</w:t>
      </w:r>
      <w:r>
        <w:rPr>
          <w:rFonts w:ascii="Times New Roman" w:hAnsi="Times New Roman"/>
          <w:sz w:val="28"/>
          <w:szCs w:val="28"/>
          <w:lang w:val="en-US" w:eastAsia="zh-CN"/>
        </w:rPr>
        <w:tab/>
        <w:t>Henschke CI, Yankelevitz DF, Libby DM, Pasmantier MW, Smith JP, Miettinen OS. Survival of patient</w:t>
      </w:r>
      <w:r>
        <w:rPr>
          <w:rFonts w:ascii="Times New Roman" w:hAnsi="Times New Roman"/>
          <w:sz w:val="28"/>
          <w:szCs w:val="28"/>
          <w:lang w:val="en-US" w:eastAsia="zh-CN"/>
        </w:rPr>
        <w:t>s with stage I lung cancer detected on CT screening //N Engl J Med. – 2006. – Vol. 355, №17. – P.1763–1771</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14</w:t>
      </w:r>
      <w:r>
        <w:rPr>
          <w:rFonts w:ascii="Times New Roman" w:hAnsi="Times New Roman"/>
          <w:sz w:val="28"/>
          <w:szCs w:val="28"/>
          <w:lang w:val="en-US"/>
        </w:rPr>
        <w:tab/>
        <w:t>Aberle DR, Adams AM, Berg CD, et al. Reduced lung-cancer mortality with low-dose computed tomographic screening //N Engl J Med. – 2011. – Vol. 365</w:t>
      </w:r>
      <w:r>
        <w:rPr>
          <w:rFonts w:ascii="Times New Roman" w:hAnsi="Times New Roman"/>
          <w:sz w:val="28"/>
          <w:szCs w:val="28"/>
          <w:lang w:val="en-US"/>
        </w:rPr>
        <w:t>, №5. – P.395–409.</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15</w:t>
      </w:r>
      <w:r>
        <w:rPr>
          <w:rFonts w:ascii="Times New Roman" w:hAnsi="Times New Roman"/>
          <w:sz w:val="28"/>
          <w:szCs w:val="28"/>
          <w:lang w:val="en-US"/>
        </w:rPr>
        <w:tab/>
        <w:t>de Koning HJ, van der Aalst CM, de Jong PA, et al. Reduced lung-cancer mortality with volume CT screening in a randomized trial //N Engl J Med. – 2020. – Vol. 382. – P.503–513.</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16</w:t>
      </w:r>
      <w:r>
        <w:rPr>
          <w:rFonts w:ascii="Times New Roman" w:hAnsi="Times New Roman"/>
          <w:sz w:val="28"/>
          <w:szCs w:val="28"/>
          <w:lang w:val="en-US"/>
        </w:rPr>
        <w:tab/>
        <w:t>Ramaswa A. Lung Cancer Screening: Review and 2021 Upda</w:t>
      </w:r>
      <w:r>
        <w:rPr>
          <w:rFonts w:ascii="Times New Roman" w:hAnsi="Times New Roman"/>
          <w:sz w:val="28"/>
          <w:szCs w:val="28"/>
          <w:lang w:val="en-US"/>
        </w:rPr>
        <w:t>te //Curr Pulmonol Rep. – 2022. – Vol.11, №1. – P.15–28.</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17</w:t>
      </w:r>
      <w:r>
        <w:rPr>
          <w:rFonts w:ascii="Times New Roman" w:hAnsi="Times New Roman"/>
          <w:sz w:val="28"/>
          <w:szCs w:val="28"/>
          <w:lang w:val="en-US"/>
        </w:rPr>
        <w:tab/>
        <w:t>Reck M, Dettmer S, Kauczor HU, Kaaks R, Reinmuth N, Vogel-Claussen J. Lung Cancer Screening With Low-Dose Computed Tomography //Dtsch Arztebl Int. – 2023. – Vol.120, №23. – P.387-392.</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18</w:t>
      </w:r>
      <w:r>
        <w:rPr>
          <w:rFonts w:ascii="Times New Roman" w:hAnsi="Times New Roman"/>
          <w:sz w:val="28"/>
          <w:szCs w:val="28"/>
          <w:lang w:val="en-US"/>
        </w:rPr>
        <w:tab/>
        <w:t xml:space="preserve">Zhang Y, </w:t>
      </w:r>
      <w:r>
        <w:rPr>
          <w:rFonts w:ascii="Times New Roman" w:hAnsi="Times New Roman"/>
          <w:sz w:val="28"/>
          <w:szCs w:val="28"/>
          <w:lang w:val="en-US"/>
        </w:rPr>
        <w:t xml:space="preserve">Jiang B, Zhang L, Greuter MJW, de Bock GH, Zhang H, Xie X. Lung Nodule Detectability of Artificial Intelligence-assisted CT Image Reading in Lung Cancer Screening // Curr Med Imaging. – 2022. – Vol.18, №3. – P.327-334. </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19</w:t>
      </w:r>
      <w:r>
        <w:rPr>
          <w:rFonts w:ascii="Times New Roman" w:hAnsi="Times New Roman"/>
          <w:sz w:val="28"/>
          <w:szCs w:val="28"/>
          <w:lang w:val="en-US"/>
        </w:rPr>
        <w:tab/>
        <w:t xml:space="preserve">Ardila D, Kiraly P, Bharadwaj S, </w:t>
      </w:r>
      <w:r>
        <w:rPr>
          <w:rFonts w:ascii="Times New Roman" w:hAnsi="Times New Roman"/>
          <w:sz w:val="28"/>
          <w:szCs w:val="28"/>
          <w:lang w:val="en-US"/>
        </w:rPr>
        <w:t>Choi B, Reicher J, Peng L, Tse D, Etemadi M, Wenxing Y. End-to-end lung cancer screening with three-dimensional deep learning on low-dose chest computed tomography // Nat Med. – 2019. – Vol.25, №6. – P.954-961.</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20</w:t>
      </w:r>
      <w:r>
        <w:rPr>
          <w:rFonts w:ascii="Times New Roman" w:hAnsi="Times New Roman"/>
          <w:sz w:val="28"/>
          <w:szCs w:val="28"/>
          <w:lang w:val="en-US"/>
        </w:rPr>
        <w:tab/>
        <w:t>Gu Y, Chi J, Liu J, Yang L, Zhang B, Yu D,</w:t>
      </w:r>
      <w:r>
        <w:rPr>
          <w:rFonts w:ascii="Times New Roman" w:hAnsi="Times New Roman"/>
          <w:sz w:val="28"/>
          <w:szCs w:val="28"/>
          <w:lang w:val="en-US"/>
        </w:rPr>
        <w:t xml:space="preserve"> Zhao Y, Lu X. A survey of computer-aided diagnosis of lung nodules from CT scans using deep learning // Comput Biol Med. – 2021. – Vol.137. – P.104806.</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21</w:t>
      </w:r>
      <w:r>
        <w:rPr>
          <w:rFonts w:ascii="Times New Roman" w:hAnsi="Times New Roman"/>
          <w:sz w:val="28"/>
          <w:szCs w:val="28"/>
          <w:lang w:val="en-US"/>
        </w:rPr>
        <w:tab/>
        <w:t xml:space="preserve">Cellina M, Cacioppa LM, Ce M, Chiarpenello V, Costa M, Vincenzo Z, Pais D, Bausano MV, Rossini N, </w:t>
      </w:r>
      <w:r>
        <w:rPr>
          <w:rFonts w:ascii="Times New Roman" w:hAnsi="Times New Roman"/>
          <w:sz w:val="28"/>
          <w:szCs w:val="28"/>
          <w:lang w:val="en-US"/>
        </w:rPr>
        <w:t>Bruno A, Floridi C. Artificial Intelligence in Lung Cancer Screening: The Future Is Now //Cancers (Basel). – 2023. – Vol.15, №17. – P.4344.</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22</w:t>
      </w:r>
      <w:r>
        <w:rPr>
          <w:rFonts w:ascii="Times New Roman" w:hAnsi="Times New Roman"/>
          <w:sz w:val="28"/>
          <w:szCs w:val="28"/>
          <w:lang w:val="en-US"/>
        </w:rPr>
        <w:tab/>
        <w:t>Mastouri R, Khlifa N, Neji H, Hantous-Zannad S. Deep learning-based CAD schemes for the detection and classificat</w:t>
      </w:r>
      <w:r>
        <w:rPr>
          <w:rFonts w:ascii="Times New Roman" w:hAnsi="Times New Roman"/>
          <w:sz w:val="28"/>
          <w:szCs w:val="28"/>
          <w:lang w:val="en-US"/>
        </w:rPr>
        <w:t>ion of lung nodules from CT images: A survey //J Xray Sci Technol. – 2020. – Vol.28, №4. – P.591-617.</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23</w:t>
      </w:r>
      <w:r>
        <w:rPr>
          <w:rFonts w:ascii="Times New Roman" w:hAnsi="Times New Roman"/>
          <w:sz w:val="28"/>
          <w:szCs w:val="28"/>
          <w:lang w:val="en-US"/>
        </w:rPr>
        <w:tab/>
        <w:t>Park S, Park H, Lee SM, Ahn Y, Kim W, Jung K, Seo JB. Application of computer-aided diagnosis for Lung-RADS categorization in CT screening for lung can</w:t>
      </w:r>
      <w:r>
        <w:rPr>
          <w:rFonts w:ascii="Times New Roman" w:hAnsi="Times New Roman"/>
          <w:sz w:val="28"/>
          <w:szCs w:val="28"/>
          <w:lang w:val="en-US"/>
        </w:rPr>
        <w:t>cer: effect on inter-reader agreement //Eur Radiol. – 2022. – Vol.32, №2. – P.1054-1064.</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24</w:t>
      </w:r>
      <w:r>
        <w:rPr>
          <w:rFonts w:ascii="Times New Roman" w:hAnsi="Times New Roman"/>
          <w:sz w:val="28"/>
          <w:szCs w:val="28"/>
          <w:lang w:val="en-US"/>
        </w:rPr>
        <w:tab/>
        <w:t>Eur J Radiol . 2022 Jan:146:110068. doi: 10.1016/j.ejrad.2021.110068. Epub 2021 Nov 24. Performance of a deep learning-based lung nodule detection system as an alte</w:t>
      </w:r>
      <w:r>
        <w:rPr>
          <w:rFonts w:ascii="Times New Roman" w:hAnsi="Times New Roman"/>
          <w:sz w:val="28"/>
          <w:szCs w:val="28"/>
          <w:lang w:val="en-US"/>
        </w:rPr>
        <w:t>rnative reader in a Chinese lung cancer screening program Xiaonan Cui 1, Sunyi Zheng 2, Marjolein A Heuvelmans 3, Yihui Du 3, Grigory Sidorenkov 3, Shuxuan Fan 4, Yanju Li 4</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25</w:t>
      </w:r>
      <w:r>
        <w:rPr>
          <w:rFonts w:ascii="Times New Roman" w:hAnsi="Times New Roman"/>
          <w:sz w:val="28"/>
          <w:szCs w:val="28"/>
          <w:lang w:val="en-US"/>
        </w:rPr>
        <w:tab/>
        <w:t>World Health Organization. Lung cancer. - 2020 Доступно по ссылке: http://globo</w:t>
      </w:r>
      <w:r>
        <w:rPr>
          <w:rFonts w:ascii="Times New Roman" w:hAnsi="Times New Roman"/>
          <w:sz w:val="28"/>
          <w:szCs w:val="28"/>
          <w:lang w:val="en-US"/>
        </w:rPr>
        <w:t xml:space="preserve">can.iarc.fr/ Pages/fact_sheets_cancer.aspx. </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26</w:t>
      </w:r>
      <w:r>
        <w:rPr>
          <w:rFonts w:ascii="Times New Roman" w:hAnsi="Times New Roman"/>
          <w:sz w:val="28"/>
          <w:szCs w:val="28"/>
          <w:lang w:val="en-US"/>
        </w:rPr>
        <w:tab/>
        <w:t xml:space="preserve">Shlomi D, Ben-Avi R, Balmor GR, Onn A, Peled N. Screening for lung cancer: time for large-scale screening by chest computed tomography //Eur Respir J. – 2014. – Vol.44, №1. – P.217–238. </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lastRenderedPageBreak/>
        <w:t>27</w:t>
      </w:r>
      <w:r>
        <w:rPr>
          <w:rFonts w:ascii="Times New Roman" w:hAnsi="Times New Roman"/>
          <w:sz w:val="28"/>
          <w:szCs w:val="28"/>
          <w:lang w:val="en-US"/>
        </w:rPr>
        <w:tab/>
        <w:t xml:space="preserve">Sung H, Ferlay J, </w:t>
      </w:r>
      <w:r>
        <w:rPr>
          <w:rFonts w:ascii="Times New Roman" w:hAnsi="Times New Roman"/>
          <w:sz w:val="28"/>
          <w:szCs w:val="28"/>
          <w:lang w:val="en-US"/>
        </w:rPr>
        <w:t>Siegel RL, Laversanne M, Soerjomataram I, Jemal A, Bray F. Global Cancer Statistics 2020: GLOBOCAN Estimates of Incidence and Mortality Worldwide for 36 Cancers in 185 Countries //CA Cancer J Clin. – 2021. – Vol.71, №3. – P.209–249.</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28</w:t>
      </w:r>
      <w:r>
        <w:rPr>
          <w:rFonts w:ascii="Times New Roman" w:hAnsi="Times New Roman"/>
          <w:sz w:val="28"/>
          <w:szCs w:val="28"/>
          <w:lang w:val="en-US"/>
        </w:rPr>
        <w:tab/>
        <w:t>Mao Y, Yang D, He J,</w:t>
      </w:r>
      <w:r>
        <w:rPr>
          <w:rFonts w:ascii="Times New Roman" w:hAnsi="Times New Roman"/>
          <w:sz w:val="28"/>
          <w:szCs w:val="28"/>
          <w:lang w:val="en-US"/>
        </w:rPr>
        <w:t xml:space="preserve"> Krasna MJ. Epidemiology of Lung Cancer //Surg Oncol Clin N Am. – 2016. – Vol.25, №3. – P.439–445.</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29</w:t>
      </w:r>
      <w:r>
        <w:rPr>
          <w:rFonts w:ascii="Times New Roman" w:hAnsi="Times New Roman"/>
          <w:sz w:val="28"/>
          <w:szCs w:val="28"/>
          <w:lang w:val="en-US"/>
        </w:rPr>
        <w:tab/>
        <w:t>Schwartz AG, Cote ML. Epidemiology of Lung Cancer //Adv Exp Med Biol. – 2015. – P.21–41.</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30</w:t>
      </w:r>
      <w:r>
        <w:rPr>
          <w:rFonts w:ascii="Times New Roman" w:hAnsi="Times New Roman"/>
          <w:sz w:val="28"/>
          <w:szCs w:val="28"/>
          <w:lang w:val="en-US"/>
        </w:rPr>
        <w:tab/>
        <w:t>Turner MC, Andersen ZJ, Baccarelli A, et al. Outdoor air pollu</w:t>
      </w:r>
      <w:r>
        <w:rPr>
          <w:rFonts w:ascii="Times New Roman" w:hAnsi="Times New Roman"/>
          <w:sz w:val="28"/>
          <w:szCs w:val="28"/>
          <w:lang w:val="en-US"/>
        </w:rPr>
        <w:t>tion and cancer: an overview of the current evidence and public health recommendations //CA Cancer J Clin. – 2020. – Vol.70. – P.460–479.</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31</w:t>
      </w:r>
      <w:r>
        <w:rPr>
          <w:rFonts w:ascii="Times New Roman" w:hAnsi="Times New Roman"/>
          <w:sz w:val="28"/>
          <w:szCs w:val="28"/>
          <w:lang w:val="en-US"/>
        </w:rPr>
        <w:tab/>
        <w:t>Fenta HM, Dessie ZG, Tesfaw LM. Lung cancer mortality and associated predictors: systematic review using 32 scienti</w:t>
      </w:r>
      <w:r>
        <w:rPr>
          <w:rFonts w:ascii="Times New Roman" w:hAnsi="Times New Roman"/>
          <w:sz w:val="28"/>
          <w:szCs w:val="28"/>
          <w:lang w:val="en-US"/>
        </w:rPr>
        <w:t>fic research findings //Front Oncol. - 2023. - Vol. 13.</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32</w:t>
      </w:r>
      <w:r>
        <w:rPr>
          <w:rFonts w:ascii="Times New Roman" w:hAnsi="Times New Roman"/>
          <w:sz w:val="28"/>
          <w:szCs w:val="28"/>
          <w:lang w:val="en-US"/>
        </w:rPr>
        <w:tab/>
        <w:t>Mu L, Liu L, Niu R, et al. Indoor air pollution and risk of lung cancer among Chinese female non-smokers //Cancer Causes Control. – 2013. – Vol.24. – P.439–450.</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33</w:t>
      </w:r>
      <w:r>
        <w:rPr>
          <w:rFonts w:ascii="Times New Roman" w:hAnsi="Times New Roman"/>
          <w:sz w:val="28"/>
          <w:szCs w:val="28"/>
          <w:lang w:val="en-US"/>
        </w:rPr>
        <w:tab/>
        <w:t>Jeon J, Holford TR, Levy DT, et a</w:t>
      </w:r>
      <w:r>
        <w:rPr>
          <w:rFonts w:ascii="Times New Roman" w:hAnsi="Times New Roman"/>
          <w:sz w:val="28"/>
          <w:szCs w:val="28"/>
          <w:lang w:val="en-US"/>
        </w:rPr>
        <w:t>l. Smoking and lung cancer mortality in the United States from 2015 to 2065: a comparative modeling approach //Ann Intern Med. – 2018. – Vol.169, №10. – P.684–693.</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34</w:t>
      </w:r>
      <w:r>
        <w:rPr>
          <w:rFonts w:ascii="Times New Roman" w:hAnsi="Times New Roman"/>
          <w:sz w:val="28"/>
          <w:szCs w:val="28"/>
          <w:lang w:val="en-US"/>
        </w:rPr>
        <w:tab/>
        <w:t>Goizueta AA, Estrada-Y-Martin RM, Cherian SV. Lung cancer in women: a review // Curr Pulm</w:t>
      </w:r>
      <w:r>
        <w:rPr>
          <w:rFonts w:ascii="Times New Roman" w:hAnsi="Times New Roman"/>
          <w:sz w:val="28"/>
          <w:szCs w:val="28"/>
          <w:lang w:val="en-US"/>
        </w:rPr>
        <w:t>onol Rep. – 2021. – Vol.10. – P.53–61.</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35</w:t>
      </w:r>
      <w:r>
        <w:rPr>
          <w:rFonts w:ascii="Times New Roman" w:hAnsi="Times New Roman"/>
          <w:sz w:val="28"/>
          <w:szCs w:val="28"/>
          <w:lang w:val="en-US"/>
        </w:rPr>
        <w:tab/>
        <w:t>Torre LA, Siegel RL, Jemal A. Lung Cancer Statistics //Adv Exp Med Biol. – 2016. – Vol.893. – P.1–19.</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36</w:t>
      </w:r>
      <w:r>
        <w:rPr>
          <w:rFonts w:ascii="Times New Roman" w:hAnsi="Times New Roman"/>
          <w:sz w:val="28"/>
          <w:szCs w:val="28"/>
          <w:lang w:val="en-US"/>
        </w:rPr>
        <w:tab/>
        <w:t>Siegel RL, Miller KD, Jemal A. Cancer statistics, 2018 //CA Cancer J Clin. – 2018. – Vol.68. – P.7–30.</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37</w:t>
      </w:r>
      <w:r>
        <w:rPr>
          <w:rFonts w:ascii="Times New Roman" w:hAnsi="Times New Roman"/>
          <w:sz w:val="28"/>
          <w:szCs w:val="28"/>
          <w:lang w:val="en-US"/>
        </w:rPr>
        <w:tab/>
        <w:t>Arn</w:t>
      </w:r>
      <w:r>
        <w:rPr>
          <w:rFonts w:ascii="Times New Roman" w:hAnsi="Times New Roman"/>
          <w:sz w:val="28"/>
          <w:szCs w:val="28"/>
          <w:lang w:val="en-US"/>
        </w:rPr>
        <w:t>old BN, Thomas DC, Rosen JE, et al. Lung Cancer in the Very Young: Treatment and Survival in the National Cancer Data Base //J Thorac Oncol. – 2016. – Vol.11. – P.1121–1131.</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38</w:t>
      </w:r>
      <w:r>
        <w:rPr>
          <w:rFonts w:ascii="Times New Roman" w:hAnsi="Times New Roman"/>
          <w:sz w:val="28"/>
          <w:szCs w:val="28"/>
          <w:lang w:val="en-US"/>
        </w:rPr>
        <w:tab/>
        <w:t>Siegfried JM. Sex and Gender Differences in Lung Cancer and Chronic Obstructive</w:t>
      </w:r>
      <w:r>
        <w:rPr>
          <w:rFonts w:ascii="Times New Roman" w:hAnsi="Times New Roman"/>
          <w:sz w:val="28"/>
          <w:szCs w:val="28"/>
          <w:lang w:val="en-US"/>
        </w:rPr>
        <w:t xml:space="preserve"> Lung Disease //Endocrinology. – 2022. – Vol.163, №2. – P.S352.</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39</w:t>
      </w:r>
      <w:r>
        <w:rPr>
          <w:rFonts w:ascii="Times New Roman" w:hAnsi="Times New Roman"/>
          <w:sz w:val="28"/>
          <w:szCs w:val="28"/>
          <w:lang w:val="en-US"/>
        </w:rPr>
        <w:tab/>
        <w:t>Jemal A, Miller KD, Ma J, et al. Higher lung cancer incidence in young women than young men in the United States //N Engl J Med. – 2018. – Vol.378, №21. – P.1999–2009.</w:t>
      </w:r>
    </w:p>
    <w:p w:rsidR="00A75A8D" w:rsidRDefault="008A6A51">
      <w:pPr>
        <w:pStyle w:val="af7"/>
        <w:jc w:val="both"/>
        <w:rPr>
          <w:rFonts w:ascii="Times New Roman" w:hAnsi="Times New Roman"/>
          <w:sz w:val="28"/>
          <w:szCs w:val="28"/>
        </w:rPr>
      </w:pPr>
      <w:r>
        <w:rPr>
          <w:rFonts w:ascii="Times New Roman" w:hAnsi="Times New Roman"/>
          <w:sz w:val="28"/>
          <w:szCs w:val="28"/>
        </w:rPr>
        <w:t>40</w:t>
      </w:r>
      <w:r>
        <w:rPr>
          <w:rFonts w:ascii="Times New Roman" w:hAnsi="Times New Roman"/>
          <w:sz w:val="28"/>
          <w:szCs w:val="28"/>
        </w:rPr>
        <w:tab/>
        <w:t>Кайдарова Д.Р., Ша</w:t>
      </w:r>
      <w:r>
        <w:rPr>
          <w:rFonts w:ascii="Times New Roman" w:hAnsi="Times New Roman"/>
          <w:sz w:val="28"/>
          <w:szCs w:val="28"/>
        </w:rPr>
        <w:t xml:space="preserve">тковская О.В., Жолдыбай Ж.Ж., Жылкайдарова А.Ж, Панина А.С. </w:t>
      </w:r>
      <w:r>
        <w:rPr>
          <w:rFonts w:ascii="Times New Roman" w:hAnsi="Times New Roman"/>
          <w:sz w:val="28"/>
          <w:szCs w:val="28"/>
          <w:lang w:eastAsia="zh-CN"/>
        </w:rPr>
        <w:t>Рак легких в Республике Казахстан: половозрастные особенности</w:t>
      </w:r>
      <w:r>
        <w:rPr>
          <w:rFonts w:ascii="Times New Roman" w:hAnsi="Times New Roman"/>
          <w:sz w:val="28"/>
          <w:szCs w:val="28"/>
        </w:rPr>
        <w:t xml:space="preserve"> //Онкология и радиология Казахстана. – 2020. – №1 (55). – С. 4-10.</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41</w:t>
      </w:r>
      <w:r>
        <w:rPr>
          <w:rFonts w:ascii="Times New Roman" w:hAnsi="Times New Roman"/>
          <w:sz w:val="28"/>
          <w:szCs w:val="28"/>
          <w:lang w:val="en-US"/>
        </w:rPr>
        <w:tab/>
        <w:t>Allemani C, Matsuda T, Di Carlo V, et al. Global surveillance of</w:t>
      </w:r>
      <w:r>
        <w:rPr>
          <w:rFonts w:ascii="Times New Roman" w:hAnsi="Times New Roman"/>
          <w:sz w:val="28"/>
          <w:szCs w:val="28"/>
          <w:lang w:val="en-US"/>
        </w:rPr>
        <w:t xml:space="preserve"> trends in cancer survival 2000-14 (CONCORD-3): analysis of individual records for 37 513 025 patients diagnosed with one of 18 cancers from 322 population-based registries in 71 countries // Lancet. – 2018. – Vol.391. – P.1023–1075.</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42</w:t>
      </w:r>
      <w:r>
        <w:rPr>
          <w:rFonts w:ascii="Times New Roman" w:hAnsi="Times New Roman"/>
          <w:sz w:val="28"/>
          <w:szCs w:val="28"/>
          <w:lang w:val="en-US"/>
        </w:rPr>
        <w:tab/>
        <w:t>SEER Cancer Statist</w:t>
      </w:r>
      <w:r>
        <w:rPr>
          <w:rFonts w:ascii="Times New Roman" w:hAnsi="Times New Roman"/>
          <w:sz w:val="28"/>
          <w:szCs w:val="28"/>
          <w:lang w:val="en-US"/>
        </w:rPr>
        <w:t xml:space="preserve">ic Review, 1975-2014 [Internet]. National Cancer Institute 2017. Доступно по ссылке: </w:t>
      </w:r>
      <w:hyperlink r:id="rId34" w:history="1">
        <w:r>
          <w:rPr>
            <w:rFonts w:ascii="Times New Roman" w:hAnsi="Times New Roman"/>
            <w:sz w:val="28"/>
            <w:szCs w:val="28"/>
            <w:lang w:val="en-US"/>
          </w:rPr>
          <w:t>https://seer.cancer.gov/csr/1975_2014/</w:t>
        </w:r>
      </w:hyperlink>
      <w:r>
        <w:rPr>
          <w:rFonts w:ascii="Times New Roman" w:hAnsi="Times New Roman"/>
          <w:sz w:val="28"/>
          <w:szCs w:val="28"/>
          <w:lang w:val="en-US"/>
        </w:rPr>
        <w:t>.</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43</w:t>
      </w:r>
      <w:r>
        <w:rPr>
          <w:rFonts w:ascii="Times New Roman" w:hAnsi="Times New Roman"/>
          <w:sz w:val="28"/>
          <w:szCs w:val="28"/>
          <w:lang w:val="en-US"/>
        </w:rPr>
        <w:tab/>
        <w:t xml:space="preserve">Siegel RL, Miller KD, Fuchs HE, Jemal A. Cancer statistics, 2022 // CA </w:t>
      </w:r>
      <w:r>
        <w:rPr>
          <w:rFonts w:ascii="Times New Roman" w:hAnsi="Times New Roman"/>
          <w:sz w:val="28"/>
          <w:szCs w:val="28"/>
          <w:lang w:val="en-US"/>
        </w:rPr>
        <w:t>Cancer J Clin. – 2022. – Vol.72. – P.7–33.</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lastRenderedPageBreak/>
        <w:t>44</w:t>
      </w:r>
      <w:r>
        <w:rPr>
          <w:rFonts w:ascii="Times New Roman" w:hAnsi="Times New Roman"/>
          <w:sz w:val="28"/>
          <w:szCs w:val="28"/>
          <w:lang w:val="en-US"/>
        </w:rPr>
        <w:tab/>
        <w:t>González M, Calvo V, Redondo I, Provencio M. Overall survival for early and locally advanced non-small-cell lung cancer from one institution: 2000–2017 //Clin Transl Oncol. – 2021. – Vol.23, №7. – P.1325–1333. </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45</w:t>
      </w:r>
      <w:r>
        <w:rPr>
          <w:rFonts w:ascii="Times New Roman" w:hAnsi="Times New Roman"/>
          <w:sz w:val="28"/>
          <w:szCs w:val="28"/>
          <w:lang w:val="en-US"/>
        </w:rPr>
        <w:tab/>
        <w:t>Li J, He J, Zhang Y, Huang Y, Liu S, Li Y, Xu J, He X, Lan Q. Survival in Lung Cancer among Female Never-smokers in Rural Xuanwei and Fuyuan Counties in Eastern Yunnan Province, China //Zhongguo Fei Ai Za Zhi. – 2019. – Vol.22, №8. – P.477–487.</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46</w:t>
      </w:r>
      <w:r>
        <w:rPr>
          <w:rFonts w:ascii="Times New Roman" w:hAnsi="Times New Roman"/>
          <w:sz w:val="28"/>
          <w:szCs w:val="28"/>
          <w:lang w:val="en-US"/>
        </w:rPr>
        <w:tab/>
        <w:t>Maur</w:t>
      </w:r>
      <w:r>
        <w:rPr>
          <w:rFonts w:ascii="Times New Roman" w:hAnsi="Times New Roman"/>
          <w:sz w:val="28"/>
          <w:szCs w:val="28"/>
          <w:lang w:val="en-US"/>
        </w:rPr>
        <w:t xml:space="preserve">i D, Pentheroudakis G, Bafaloukos D, et al. Non-small Cell Lung Cancer in the Young: A Retrospective Analysis of Diagnosis, Management and Outcome Data //Anticancer Res. – 2006. – Vol.26. – P.3175–3181. </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47</w:t>
      </w:r>
      <w:r>
        <w:rPr>
          <w:rFonts w:ascii="Times New Roman" w:hAnsi="Times New Roman"/>
          <w:sz w:val="28"/>
          <w:szCs w:val="28"/>
          <w:lang w:val="en-US"/>
        </w:rPr>
        <w:tab/>
        <w:t>Skarin AT, Herbst RS, Leong TL, et al. Lung cance</w:t>
      </w:r>
      <w:r>
        <w:rPr>
          <w:rFonts w:ascii="Times New Roman" w:hAnsi="Times New Roman"/>
          <w:sz w:val="28"/>
          <w:szCs w:val="28"/>
          <w:lang w:val="en-US"/>
        </w:rPr>
        <w:t>r in patients under age 40 // Lung Cancer. – 2001. – Vol.32. – P.255–264</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48</w:t>
      </w:r>
      <w:r>
        <w:rPr>
          <w:rFonts w:ascii="Times New Roman" w:hAnsi="Times New Roman"/>
          <w:sz w:val="28"/>
          <w:szCs w:val="28"/>
          <w:lang w:val="en-US"/>
        </w:rPr>
        <w:tab/>
        <w:t>Lara MS, Brunson A, Wun T, et al. Predictors of survival for younger patients less than 50 years of age with non-small cell lung cancer (NSCLC): A California Cancer Registry analys</w:t>
      </w:r>
      <w:r>
        <w:rPr>
          <w:rFonts w:ascii="Times New Roman" w:hAnsi="Times New Roman"/>
          <w:sz w:val="28"/>
          <w:szCs w:val="28"/>
          <w:lang w:val="en-US"/>
        </w:rPr>
        <w:t>is //Lung Cancer. – 2014. – Vol.85. – P.264–269</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49</w:t>
      </w:r>
      <w:r>
        <w:rPr>
          <w:rFonts w:ascii="Times New Roman" w:hAnsi="Times New Roman"/>
          <w:sz w:val="28"/>
          <w:szCs w:val="28"/>
          <w:lang w:val="en-US"/>
        </w:rPr>
        <w:tab/>
        <w:t>Thomas A, Chen Y, Yu T, et al. Trends and Characteristics of Young Non-Small Cell Lung Cancer Patients in the United States //Front Oncol. – 2015. – Vol.5. – P.113.</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50</w:t>
      </w:r>
      <w:r>
        <w:rPr>
          <w:rFonts w:ascii="Times New Roman" w:hAnsi="Times New Roman"/>
          <w:sz w:val="28"/>
          <w:szCs w:val="28"/>
          <w:lang w:val="en-US"/>
        </w:rPr>
        <w:tab/>
        <w:t xml:space="preserve">Arnold BN, Thomas DC, Rosen JE, </w:t>
      </w:r>
      <w:r>
        <w:rPr>
          <w:rFonts w:ascii="Times New Roman" w:hAnsi="Times New Roman"/>
          <w:sz w:val="28"/>
          <w:szCs w:val="28"/>
          <w:lang w:val="en-US"/>
        </w:rPr>
        <w:t>Salazar MC, Blasberg JD, Boffa DJ, Kim AW. Lung Cancer in the Very Young: Treatment and Survival in the National Cancer Data Base //J Thorac Oncol. – 2016. – Vol.11, №7. – P.1121–1131.</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eastAsia="zh-CN"/>
        </w:rPr>
        <w:t>51</w:t>
      </w:r>
      <w:r>
        <w:rPr>
          <w:rFonts w:ascii="Times New Roman" w:hAnsi="Times New Roman"/>
          <w:sz w:val="28"/>
          <w:szCs w:val="28"/>
          <w:lang w:val="en-US" w:eastAsia="zh-CN"/>
        </w:rPr>
        <w:tab/>
        <w:t>Ferlay J, Soerjomataram I, Dikshit R, et al. Cancer incidence and mo</w:t>
      </w:r>
      <w:r>
        <w:rPr>
          <w:rFonts w:ascii="Times New Roman" w:hAnsi="Times New Roman"/>
          <w:sz w:val="28"/>
          <w:szCs w:val="28"/>
          <w:lang w:val="en-US" w:eastAsia="zh-CN"/>
        </w:rPr>
        <w:t>rtality worldwide: sources, methods and major patterns in GLOBOCAN 2012 //Int J Cancer. – 2015. – Vol.136, №5. – P.E359–E386.</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52</w:t>
      </w:r>
      <w:r>
        <w:rPr>
          <w:rFonts w:ascii="Times New Roman" w:hAnsi="Times New Roman"/>
          <w:sz w:val="28"/>
          <w:szCs w:val="28"/>
          <w:lang w:val="en-US"/>
        </w:rPr>
        <w:tab/>
        <w:t>Melamed MR, Flehinger BJ, Zaman MB, Heelan RT, Perchick WA, Martini N. Screening for Early Lung Cancer //Chest. – 1984. – Vol.8</w:t>
      </w:r>
      <w:r>
        <w:rPr>
          <w:rFonts w:ascii="Times New Roman" w:hAnsi="Times New Roman"/>
          <w:sz w:val="28"/>
          <w:szCs w:val="28"/>
          <w:lang w:val="en-US"/>
        </w:rPr>
        <w:t>6, №1. – P.44–53. </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53</w:t>
      </w:r>
      <w:r>
        <w:rPr>
          <w:rFonts w:ascii="Times New Roman" w:hAnsi="Times New Roman"/>
          <w:sz w:val="28"/>
          <w:szCs w:val="28"/>
          <w:lang w:val="en-US"/>
        </w:rPr>
        <w:tab/>
        <w:t>Frost J, Ball WC, Levin M, et al. Early lung cancer detection: results of the initial (prevalence) radiologic and cytologic screening in the Johns Hopkins Study //Am Rev Respir Dis. – 1984. – Vol.130. – P.549–554.</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54</w:t>
      </w:r>
      <w:r>
        <w:rPr>
          <w:rFonts w:ascii="Times New Roman" w:hAnsi="Times New Roman"/>
          <w:sz w:val="28"/>
          <w:szCs w:val="28"/>
          <w:lang w:val="en-US"/>
        </w:rPr>
        <w:tab/>
        <w:t>Fontana S, Sander</w:t>
      </w:r>
      <w:r>
        <w:rPr>
          <w:rFonts w:ascii="Times New Roman" w:hAnsi="Times New Roman"/>
          <w:sz w:val="28"/>
          <w:szCs w:val="28"/>
          <w:lang w:val="en-US"/>
        </w:rPr>
        <w:t>son R, Woolner B, Taylor F, Miller E, Muhm JR. Lung Cancer Screening: The Mayo Program //J Occup Med. – 1986. – Vol.28, №8. – P.746–750. </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55</w:t>
      </w:r>
      <w:r>
        <w:rPr>
          <w:rFonts w:ascii="Times New Roman" w:hAnsi="Times New Roman"/>
          <w:sz w:val="28"/>
          <w:szCs w:val="28"/>
          <w:lang w:val="en-US"/>
        </w:rPr>
        <w:tab/>
        <w:t xml:space="preserve">Oken M, Hocking G, Kvale P, Andriole L, Buys S, Church R, Crawford ED, Fouad MN. Screening by chest radiograph and </w:t>
      </w:r>
      <w:r>
        <w:rPr>
          <w:rFonts w:ascii="Times New Roman" w:hAnsi="Times New Roman"/>
          <w:sz w:val="28"/>
          <w:szCs w:val="28"/>
          <w:lang w:val="en-US"/>
        </w:rPr>
        <w:t>lung cancer mortality: the Prostate, Lung, Colorectal, and Ovarian (PLCO) randomized trial //JAMA. – 2011. – Vol.306. – P.1865–1873.</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56</w:t>
      </w:r>
      <w:r>
        <w:rPr>
          <w:rFonts w:ascii="Times New Roman" w:hAnsi="Times New Roman"/>
          <w:sz w:val="28"/>
          <w:szCs w:val="28"/>
          <w:lang w:val="en-US"/>
        </w:rPr>
        <w:tab/>
        <w:t>Pastorino U, Sverzellati N, Sestini S, Silva M, Sabia F, Boeri M, Cantarutti A, Sozzi G, Corrao G, Marchianò A. Ten-year</w:t>
      </w:r>
      <w:r>
        <w:rPr>
          <w:rFonts w:ascii="Times New Roman" w:hAnsi="Times New Roman"/>
          <w:sz w:val="28"/>
          <w:szCs w:val="28"/>
          <w:lang w:val="en-US"/>
        </w:rPr>
        <w:t xml:space="preserve"> results of the MILD trial demonstrate the safety and efficacy of biennial lung cancer screening //Eur J Cancer. – 2019. – Vol.118. – P.142–148.</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57</w:t>
      </w:r>
      <w:r>
        <w:rPr>
          <w:rFonts w:ascii="Times New Roman" w:hAnsi="Times New Roman"/>
          <w:sz w:val="28"/>
          <w:szCs w:val="28"/>
          <w:lang w:val="en-US"/>
        </w:rPr>
        <w:tab/>
        <w:t xml:space="preserve">National Lung Screening Trial Research Team. Lung cancer incidence and mortality with extended follow-up in </w:t>
      </w:r>
      <w:r>
        <w:rPr>
          <w:rFonts w:ascii="Times New Roman" w:hAnsi="Times New Roman"/>
          <w:sz w:val="28"/>
          <w:szCs w:val="28"/>
          <w:lang w:val="en-US"/>
        </w:rPr>
        <w:t>the National Lung Screening Trial //J Thorac Oncol. – 2019. – Vol.14. – P.1732–1742.</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58</w:t>
      </w:r>
      <w:r>
        <w:rPr>
          <w:rFonts w:ascii="Times New Roman" w:hAnsi="Times New Roman"/>
          <w:sz w:val="28"/>
          <w:szCs w:val="28"/>
          <w:lang w:val="en-US"/>
        </w:rPr>
        <w:tab/>
        <w:t>de Koning HJ, van der Aalst CM, de Jong PA, et al. Reduced lung-cancer mortality with volume CT screening in a randomized trial //N Engl J Med. – 2020. – Vol.382. – P.5</w:t>
      </w:r>
      <w:r>
        <w:rPr>
          <w:rFonts w:ascii="Times New Roman" w:hAnsi="Times New Roman"/>
          <w:sz w:val="28"/>
          <w:szCs w:val="28"/>
          <w:lang w:val="en-US"/>
        </w:rPr>
        <w:t>03–513.</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lastRenderedPageBreak/>
        <w:t>59</w:t>
      </w:r>
      <w:r>
        <w:rPr>
          <w:rFonts w:ascii="Times New Roman" w:hAnsi="Times New Roman"/>
          <w:sz w:val="28"/>
          <w:szCs w:val="28"/>
          <w:lang w:val="en-US"/>
        </w:rPr>
        <w:tab/>
        <w:t>White C. Research on smoking and lung cancer: a landmark in the history of chronic disease epidemiology //Yale J Biol Med. – 1990. – Vol.63, №1. – P.29–46</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60</w:t>
      </w:r>
      <w:r>
        <w:rPr>
          <w:rFonts w:ascii="Times New Roman" w:hAnsi="Times New Roman"/>
          <w:sz w:val="28"/>
          <w:szCs w:val="28"/>
          <w:lang w:val="en-US"/>
        </w:rPr>
        <w:tab/>
        <w:t>Doll R, Hill AB. Smoking and carcinoma of the lung; preliminary report //Br Med J. – 19</w:t>
      </w:r>
      <w:r>
        <w:rPr>
          <w:rFonts w:ascii="Times New Roman" w:hAnsi="Times New Roman"/>
          <w:sz w:val="28"/>
          <w:szCs w:val="28"/>
          <w:lang w:val="en-US"/>
        </w:rPr>
        <w:t>50. – Vol.2. – P.739–748.</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61</w:t>
      </w:r>
      <w:r>
        <w:rPr>
          <w:rFonts w:ascii="Times New Roman" w:hAnsi="Times New Roman"/>
          <w:sz w:val="28"/>
          <w:szCs w:val="28"/>
          <w:lang w:val="en-US"/>
        </w:rPr>
        <w:tab/>
        <w:t>Wynder EL, Graham EA. Tobacco smoking as a possible etiologic factor in bronchiogenic carcinoma; a study of 684 proved cases //J Am Med Assoc. – 1950. – Vol.143. – P.329–336.</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62</w:t>
      </w:r>
      <w:r>
        <w:rPr>
          <w:rFonts w:ascii="Times New Roman" w:hAnsi="Times New Roman"/>
          <w:sz w:val="28"/>
          <w:szCs w:val="28"/>
          <w:lang w:val="en-US"/>
        </w:rPr>
        <w:tab/>
        <w:t>Jha P. Avoidable global cancer deaths and total d</w:t>
      </w:r>
      <w:r>
        <w:rPr>
          <w:rFonts w:ascii="Times New Roman" w:hAnsi="Times New Roman"/>
          <w:sz w:val="28"/>
          <w:szCs w:val="28"/>
          <w:lang w:val="en-US"/>
        </w:rPr>
        <w:t>eaths from smoking // Nat Rev Cancer. – 2009. – Vol.9, №9. – P.655–664. </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63</w:t>
      </w:r>
      <w:r>
        <w:rPr>
          <w:rFonts w:ascii="Times New Roman" w:hAnsi="Times New Roman"/>
          <w:sz w:val="28"/>
          <w:szCs w:val="28"/>
          <w:lang w:val="en-US"/>
        </w:rPr>
        <w:tab/>
        <w:t>Maiyo AK, Kibet JK, Kengara FO. A review of the characteristic properties of selected tobacco chemicals and their associated etiological risks // Rev Environ Health. – 2023. – Vol.</w:t>
      </w:r>
      <w:r>
        <w:rPr>
          <w:rFonts w:ascii="Times New Roman" w:hAnsi="Times New Roman"/>
          <w:sz w:val="28"/>
          <w:szCs w:val="28"/>
          <w:lang w:val="en-US"/>
        </w:rPr>
        <w:t>38, №3. – P.479–491.</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64</w:t>
      </w:r>
      <w:r>
        <w:rPr>
          <w:rFonts w:ascii="Times New Roman" w:hAnsi="Times New Roman"/>
          <w:sz w:val="28"/>
          <w:szCs w:val="28"/>
          <w:lang w:val="en-US"/>
        </w:rPr>
        <w:tab/>
        <w:t>Shen K, Xia L, Jiao K, Pan F, Xiang B, Zhou W. Characterization techniques for tobacco and its derivatives: a systematic review //Front Chem. – 2024. – Vol.12.</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65</w:t>
      </w:r>
      <w:r>
        <w:rPr>
          <w:rFonts w:ascii="Times New Roman" w:hAnsi="Times New Roman"/>
          <w:sz w:val="28"/>
          <w:szCs w:val="28"/>
          <w:lang w:val="en-US"/>
        </w:rPr>
        <w:tab/>
        <w:t>Richter P, Stanfill SB, WHO study group on tobacco product regulation</w:t>
      </w:r>
      <w:r>
        <w:rPr>
          <w:rFonts w:ascii="Times New Roman" w:hAnsi="Times New Roman"/>
          <w:sz w:val="28"/>
          <w:szCs w:val="28"/>
          <w:lang w:val="en-US"/>
        </w:rPr>
        <w:t>. Report on the Scientific Basis of Tobacco Product Regulation: Seventh Report of a WHO Study Group. – October 2019. – P.207–231.</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66</w:t>
      </w:r>
      <w:r>
        <w:rPr>
          <w:rFonts w:ascii="Times New Roman" w:hAnsi="Times New Roman"/>
          <w:sz w:val="28"/>
          <w:szCs w:val="28"/>
          <w:lang w:val="en-US"/>
        </w:rPr>
        <w:tab/>
        <w:t>Upadhyay S, Rahman M, Johanson G, Palmberg L, Ganguly K. Heated tobacco products: insights into composition and toxicity //</w:t>
      </w:r>
      <w:r>
        <w:rPr>
          <w:rFonts w:ascii="Times New Roman" w:hAnsi="Times New Roman"/>
          <w:sz w:val="28"/>
          <w:szCs w:val="28"/>
          <w:lang w:val="en-US"/>
        </w:rPr>
        <w:t>Toxics. – 2023. – Vol.11. – P.667.</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67</w:t>
      </w:r>
      <w:r>
        <w:rPr>
          <w:rFonts w:ascii="Times New Roman" w:hAnsi="Times New Roman"/>
          <w:sz w:val="28"/>
          <w:szCs w:val="28"/>
          <w:lang w:val="en-US"/>
        </w:rPr>
        <w:tab/>
        <w:t>Xue J, Yang S, Seng S. Mechanisms of Cancer Induction by Tobacco-Specific NNK and NNN // Cancers (Basel). – 2014. – Vol.6(2). – P.1138–1156.</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68</w:t>
      </w:r>
      <w:r>
        <w:rPr>
          <w:rFonts w:ascii="Times New Roman" w:hAnsi="Times New Roman"/>
          <w:sz w:val="28"/>
          <w:szCs w:val="28"/>
          <w:lang w:val="en-US"/>
        </w:rPr>
        <w:tab/>
        <w:t>Dempsey R, Rodrigo G, Vonmoos F, Gunduz I, Belushkin M, Esposito M. Prelim</w:t>
      </w:r>
      <w:r>
        <w:rPr>
          <w:rFonts w:ascii="Times New Roman" w:hAnsi="Times New Roman"/>
          <w:sz w:val="28"/>
          <w:szCs w:val="28"/>
          <w:lang w:val="en-US"/>
        </w:rPr>
        <w:t>inary toxicological assessment of heated tobacco products: a review of the literature and proposed strategy //Toxicol Rep. – 2023. – Vol.10. – P.195–205</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69</w:t>
      </w:r>
      <w:r>
        <w:rPr>
          <w:rFonts w:ascii="Times New Roman" w:hAnsi="Times New Roman"/>
          <w:sz w:val="28"/>
          <w:szCs w:val="28"/>
          <w:lang w:val="en-US"/>
        </w:rPr>
        <w:tab/>
        <w:t>Zengin T, Önal-Süzek T. Analysis of genomic and transcriptomic variations as prognostic signature fo</w:t>
      </w:r>
      <w:r>
        <w:rPr>
          <w:rFonts w:ascii="Times New Roman" w:hAnsi="Times New Roman"/>
          <w:sz w:val="28"/>
          <w:szCs w:val="28"/>
          <w:lang w:val="en-US"/>
        </w:rPr>
        <w:t>r lung adenocarcinoma //BMC Bioinformatics. – 2020. – Vol.21(Suppl 14). – P.368.</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70</w:t>
      </w:r>
      <w:r>
        <w:rPr>
          <w:rFonts w:ascii="Times New Roman" w:hAnsi="Times New Roman"/>
          <w:sz w:val="28"/>
          <w:szCs w:val="28"/>
          <w:lang w:val="en-US"/>
        </w:rPr>
        <w:tab/>
        <w:t xml:space="preserve">Cancer Genome Atlas Research Network. Author Correction: Comprehensive molecular profiling of lung adenocarcinoma //Nature. – 2018. – Vol.559(7715). – P.E12.  </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71</w:t>
      </w:r>
      <w:r>
        <w:rPr>
          <w:rFonts w:ascii="Times New Roman" w:hAnsi="Times New Roman"/>
          <w:sz w:val="28"/>
          <w:szCs w:val="28"/>
          <w:lang w:val="en-US"/>
        </w:rPr>
        <w:tab/>
        <w:t>Shi J, Hu</w:t>
      </w:r>
      <w:r>
        <w:rPr>
          <w:rFonts w:ascii="Times New Roman" w:hAnsi="Times New Roman"/>
          <w:sz w:val="28"/>
          <w:szCs w:val="28"/>
          <w:lang w:val="en-US"/>
        </w:rPr>
        <w:t>a X, Zhu B, Ravichandran S, Wang M, Nguyen C. Somatic genomics and clinical features of lung adenocarcinoma: a retrospective study // PLoS Med. – 2016. – Vol.13(12):e1002162.</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72</w:t>
      </w:r>
      <w:r>
        <w:rPr>
          <w:rFonts w:ascii="Times New Roman" w:hAnsi="Times New Roman"/>
          <w:sz w:val="28"/>
          <w:szCs w:val="28"/>
          <w:lang w:val="en-US"/>
        </w:rPr>
        <w:tab/>
        <w:t>Yang JJ, Yu D, Wen W, Shu XO, Saito E, Rahman S. Tobacco smoking and mortality</w:t>
      </w:r>
      <w:r>
        <w:rPr>
          <w:rFonts w:ascii="Times New Roman" w:hAnsi="Times New Roman"/>
          <w:sz w:val="28"/>
          <w:szCs w:val="28"/>
          <w:lang w:val="en-US"/>
        </w:rPr>
        <w:t xml:space="preserve"> in Asia: a pooled meta-analysis //JAMA Netw Open. – 2019. – Vol.2(3):e191474.</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73</w:t>
      </w:r>
      <w:r>
        <w:rPr>
          <w:rFonts w:ascii="Times New Roman" w:hAnsi="Times New Roman"/>
          <w:sz w:val="28"/>
          <w:szCs w:val="28"/>
          <w:lang w:val="en-US"/>
        </w:rPr>
        <w:tab/>
        <w:t xml:space="preserve">Hastert TA, Beresford SA, Sheppard L, et al. Disparities in cancer incidence and mortality by area-level socioeconomic status: a multilevel analysis // J Epidemiol Community </w:t>
      </w:r>
      <w:r>
        <w:rPr>
          <w:rFonts w:ascii="Times New Roman" w:hAnsi="Times New Roman"/>
          <w:sz w:val="28"/>
          <w:szCs w:val="28"/>
          <w:lang w:val="en-US"/>
        </w:rPr>
        <w:t xml:space="preserve">Health. – 2015. – Vol.69(2). – P.168–176.   </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74</w:t>
      </w:r>
      <w:r>
        <w:rPr>
          <w:rFonts w:ascii="Times New Roman" w:hAnsi="Times New Roman"/>
          <w:sz w:val="28"/>
          <w:szCs w:val="28"/>
          <w:lang w:val="en-US"/>
        </w:rPr>
        <w:tab/>
        <w:t xml:space="preserve">Rosskamp M, Verbeeck J, Gadeyne S, Verdoodt F, De Schutter H. Socio-Economic Position, Cancer Incidence and Stage at Diagnosis: A Nationwide Cohort Study in Belgium // Cancers (Basel). – 2021. – Vol.13(5). – </w:t>
      </w:r>
      <w:r>
        <w:rPr>
          <w:rFonts w:ascii="Times New Roman" w:hAnsi="Times New Roman"/>
          <w:sz w:val="28"/>
          <w:szCs w:val="28"/>
          <w:lang w:val="en-US"/>
        </w:rPr>
        <w:t>P.933.</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75</w:t>
      </w:r>
      <w:r>
        <w:rPr>
          <w:rFonts w:ascii="Times New Roman" w:hAnsi="Times New Roman"/>
          <w:sz w:val="28"/>
          <w:szCs w:val="28"/>
          <w:lang w:val="en-US"/>
        </w:rPr>
        <w:tab/>
        <w:t xml:space="preserve">Redondo-Sánchez D, Petrova D, Rodríguez-Barranco M, Fernández-Navarro P, Jiménez-Moleón JJ, Sánchez MJ. Socio-Economic Inequalities in Lung Cancer </w:t>
      </w:r>
      <w:r>
        <w:rPr>
          <w:rFonts w:ascii="Times New Roman" w:hAnsi="Times New Roman"/>
          <w:sz w:val="28"/>
          <w:szCs w:val="28"/>
          <w:lang w:val="en-US"/>
        </w:rPr>
        <w:lastRenderedPageBreak/>
        <w:t xml:space="preserve">Outcomes: An Overview of Systematic Reviews // Cancers (Basel). – 2022. – Vol.14(2). – P.398. </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76</w:t>
      </w:r>
      <w:r>
        <w:rPr>
          <w:rFonts w:ascii="Times New Roman" w:hAnsi="Times New Roman"/>
          <w:sz w:val="28"/>
          <w:szCs w:val="28"/>
          <w:lang w:val="en-US"/>
        </w:rPr>
        <w:tab/>
        <w:t>A</w:t>
      </w:r>
      <w:r>
        <w:rPr>
          <w:rFonts w:ascii="Times New Roman" w:hAnsi="Times New Roman"/>
          <w:sz w:val="28"/>
          <w:szCs w:val="28"/>
          <w:lang w:val="en-US"/>
        </w:rPr>
        <w:t>gaku IT, King BA, Dube SR. Current cigarette smoking among adults – United States, 2005–2012 // MMWR Morb Mortal Wkly Rep. – 2014. – Vol.63(2). – P.29–34.</w:t>
      </w:r>
    </w:p>
    <w:p w:rsidR="00A75A8D" w:rsidRDefault="008A6A51">
      <w:pPr>
        <w:pStyle w:val="af7"/>
        <w:jc w:val="both"/>
        <w:rPr>
          <w:rFonts w:ascii="Times New Roman" w:hAnsi="Times New Roman"/>
          <w:sz w:val="28"/>
          <w:szCs w:val="28"/>
        </w:rPr>
      </w:pPr>
      <w:r>
        <w:rPr>
          <w:rFonts w:ascii="Times New Roman" w:hAnsi="Times New Roman"/>
          <w:sz w:val="28"/>
          <w:szCs w:val="28"/>
        </w:rPr>
        <w:t>77</w:t>
      </w:r>
      <w:r>
        <w:rPr>
          <w:rFonts w:ascii="Times New Roman" w:hAnsi="Times New Roman"/>
          <w:sz w:val="28"/>
          <w:szCs w:val="28"/>
        </w:rPr>
        <w:tab/>
        <w:t>Отчет о реализации научно-технической программы: «Разработка концептуальных подходов к снижению по</w:t>
      </w:r>
      <w:r>
        <w:rPr>
          <w:rFonts w:ascii="Times New Roman" w:hAnsi="Times New Roman"/>
          <w:sz w:val="28"/>
          <w:szCs w:val="28"/>
        </w:rPr>
        <w:t>требления табака для формирования здорового образа жизни, профилактики нарушений репродуктивного здоровья мужчин и снижения предотвратимых причин смертности населения от рака легких», Алматы - 2015.</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78</w:t>
      </w:r>
      <w:r>
        <w:rPr>
          <w:rFonts w:ascii="Times New Roman" w:hAnsi="Times New Roman"/>
          <w:sz w:val="28"/>
          <w:szCs w:val="28"/>
          <w:lang w:val="en-US"/>
        </w:rPr>
        <w:tab/>
      </w:r>
      <w:r>
        <w:rPr>
          <w:rFonts w:ascii="Times New Roman" w:hAnsi="Times New Roman"/>
          <w:sz w:val="28"/>
          <w:szCs w:val="28"/>
          <w:lang w:val="en-US"/>
        </w:rPr>
        <w:t xml:space="preserve">U.S. Department of Health and Human Services. The Health Consequences of Smoking - 50 Years of Progress: A Report of the Surgeon General. - 2014. Доступно по ссылке: https://pubmed.ncbi.nlm.nih.gov/24455788/. </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79</w:t>
      </w:r>
      <w:r>
        <w:rPr>
          <w:rFonts w:ascii="Times New Roman" w:hAnsi="Times New Roman"/>
          <w:sz w:val="28"/>
          <w:szCs w:val="28"/>
          <w:lang w:val="en-US"/>
        </w:rPr>
        <w:tab/>
        <w:t xml:space="preserve">Wang A, Kubo J, Luo J, Desai M, Hedlin H, </w:t>
      </w:r>
      <w:r>
        <w:rPr>
          <w:rFonts w:ascii="Times New Roman" w:hAnsi="Times New Roman"/>
          <w:sz w:val="28"/>
          <w:szCs w:val="28"/>
          <w:lang w:val="en-US"/>
        </w:rPr>
        <w:t>Henderson M. Active and passive smoking in relation to lung cancer incidence in the Women's Health Initiative Observational Study prospective cohort //Ann Oncol. – 2015. – Vol.26(1). – P.221–230.</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80</w:t>
      </w:r>
      <w:r>
        <w:rPr>
          <w:rFonts w:ascii="Times New Roman" w:hAnsi="Times New Roman"/>
          <w:sz w:val="28"/>
          <w:szCs w:val="28"/>
          <w:lang w:val="en-US"/>
        </w:rPr>
        <w:tab/>
        <w:t>Mochizuki A, Shiraishi K, Honda T, Inaba Higashiyama R, S</w:t>
      </w:r>
      <w:r>
        <w:rPr>
          <w:rFonts w:ascii="Times New Roman" w:hAnsi="Times New Roman"/>
          <w:sz w:val="28"/>
          <w:szCs w:val="28"/>
          <w:lang w:val="en-US"/>
        </w:rPr>
        <w:t>unami K, Matsuda M. Passive Smoking-Induced Mutagenesis as a Promoter of Lung Carcinogenesis //J Thorac Oncol. – 2024. – Vol.19(7). – P.984–994.</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81</w:t>
      </w:r>
      <w:r>
        <w:rPr>
          <w:rFonts w:ascii="Times New Roman" w:hAnsi="Times New Roman"/>
          <w:sz w:val="28"/>
          <w:szCs w:val="28"/>
          <w:lang w:val="en-US"/>
        </w:rPr>
        <w:tab/>
        <w:t>Li Y, Xiao X, Li J, Han Y, Cheng C, Fernandes GF. Lung Cancer in Ever- and Never-Smokers: Findings from Mult</w:t>
      </w:r>
      <w:r>
        <w:rPr>
          <w:rFonts w:ascii="Times New Roman" w:hAnsi="Times New Roman"/>
          <w:sz w:val="28"/>
          <w:szCs w:val="28"/>
          <w:lang w:val="en-US"/>
        </w:rPr>
        <w:t xml:space="preserve">i-Population GWAS Studies //Cancer Epidemiol Biomarkers Prev. – 2024. – Vol.33(3). – P.389–399. </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82</w:t>
      </w:r>
      <w:r>
        <w:rPr>
          <w:rFonts w:ascii="Times New Roman" w:hAnsi="Times New Roman"/>
          <w:sz w:val="28"/>
          <w:szCs w:val="28"/>
          <w:lang w:val="en-US"/>
        </w:rPr>
        <w:tab/>
        <w:t>Okazaki I, Ishikawa S, Ando W. Lung Adenocarcinoma in Never Smokers: Problems of Primary Prevention from Aspects of Susceptible Genes and Carcinogens //Anti</w:t>
      </w:r>
      <w:r>
        <w:rPr>
          <w:rFonts w:ascii="Times New Roman" w:hAnsi="Times New Roman"/>
          <w:sz w:val="28"/>
          <w:szCs w:val="28"/>
          <w:lang w:val="en-US"/>
        </w:rPr>
        <w:t>cancer Res. – 2016. – Vol.36(12). – P. 6207-6224.</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83</w:t>
      </w:r>
      <w:r>
        <w:rPr>
          <w:rFonts w:ascii="Times New Roman" w:hAnsi="Times New Roman"/>
          <w:sz w:val="28"/>
          <w:szCs w:val="28"/>
          <w:lang w:val="en-US"/>
        </w:rPr>
        <w:tab/>
        <w:t>Pinheiro PS, Callahan KE, Medina HN, Koru-Sengul T, Kobetz EN, Gomez SL, de Lima Lopes G. Lung cancer in never smokers: Distinct population-based patterns by age, sex, and race/ethnicity //Lung Cancer. –</w:t>
      </w:r>
      <w:r>
        <w:rPr>
          <w:rFonts w:ascii="Times New Roman" w:hAnsi="Times New Roman"/>
          <w:sz w:val="28"/>
          <w:szCs w:val="28"/>
          <w:lang w:val="en-US"/>
        </w:rPr>
        <w:t xml:space="preserve"> 2022. – Vol.174. – P.50–56.</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84</w:t>
      </w:r>
      <w:r>
        <w:rPr>
          <w:rFonts w:ascii="Times New Roman" w:hAnsi="Times New Roman"/>
          <w:sz w:val="28"/>
          <w:szCs w:val="28"/>
          <w:lang w:val="en-US"/>
        </w:rPr>
        <w:tab/>
        <w:t xml:space="preserve">Cali Daylan AE, Miao E, Tang K, Chiu G, Cheng H. Lung cancer in never smokers: delving into epidemiology, genomic and immune landscape, prognosis, treatment, and screening //Lung. – 2023. – Vol.201(6). – P.521–529.  </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85</w:t>
      </w:r>
      <w:r>
        <w:rPr>
          <w:rFonts w:ascii="Times New Roman" w:hAnsi="Times New Roman"/>
          <w:sz w:val="28"/>
          <w:szCs w:val="28"/>
          <w:lang w:val="en-US"/>
        </w:rPr>
        <w:tab/>
        <w:t>Issa</w:t>
      </w:r>
      <w:r>
        <w:rPr>
          <w:rFonts w:ascii="Times New Roman" w:hAnsi="Times New Roman"/>
          <w:sz w:val="28"/>
          <w:szCs w:val="28"/>
          <w:lang w:val="en-US"/>
        </w:rPr>
        <w:t xml:space="preserve">nov A, Aravindakshan A, Puil L, Tammemägi MC, Lam S, Dummer TJB. Risk prediction models for lung cancer in people who have never smoked: a protocol of a systematic review //Diagn Progn Res. – 2024. – Vol.8. – P.3. </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86</w:t>
      </w:r>
      <w:r>
        <w:rPr>
          <w:rFonts w:ascii="Times New Roman" w:hAnsi="Times New Roman"/>
          <w:sz w:val="28"/>
          <w:szCs w:val="28"/>
          <w:lang w:val="en-US"/>
        </w:rPr>
        <w:tab/>
        <w:t>Pelosof L, Ahn C, Gao A, Horn L, Madri</w:t>
      </w:r>
      <w:r>
        <w:rPr>
          <w:rFonts w:ascii="Times New Roman" w:hAnsi="Times New Roman"/>
          <w:sz w:val="28"/>
          <w:szCs w:val="28"/>
          <w:lang w:val="en-US"/>
        </w:rPr>
        <w:t>gales A, Cox J, et al. Proportion of never-smoker non–small cell lung cancer patients at three diverse institutions //J Natl Cancer Inst. – 2017. – Vol.109(7):djw295.</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87</w:t>
      </w:r>
      <w:r>
        <w:rPr>
          <w:rFonts w:ascii="Times New Roman" w:hAnsi="Times New Roman"/>
          <w:sz w:val="28"/>
          <w:szCs w:val="28"/>
          <w:lang w:val="en-US"/>
        </w:rPr>
        <w:tab/>
        <w:t>Chen W, Xia C, Zheng R, Zhou M, Lin C, Zeng H, et al. Disparities by province, age, an</w:t>
      </w:r>
      <w:r>
        <w:rPr>
          <w:rFonts w:ascii="Times New Roman" w:hAnsi="Times New Roman"/>
          <w:sz w:val="28"/>
          <w:szCs w:val="28"/>
          <w:lang w:val="en-US"/>
        </w:rPr>
        <w:t>d sex in site-specific cancer burden attributable to 23 potentially modifiable risk factors in China: a comparative risk assessment //Lancet Glob Health. – 2019. – Vol.7(2). – P.e257–e269.</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88</w:t>
      </w:r>
      <w:r>
        <w:rPr>
          <w:rFonts w:ascii="Times New Roman" w:hAnsi="Times New Roman"/>
          <w:sz w:val="28"/>
          <w:szCs w:val="28"/>
          <w:lang w:val="en-US"/>
        </w:rPr>
        <w:tab/>
        <w:t>Kakinuma R, Muramatsu Y, Asamura H, et al. Low-dose CT lung canc</w:t>
      </w:r>
      <w:r>
        <w:rPr>
          <w:rFonts w:ascii="Times New Roman" w:hAnsi="Times New Roman"/>
          <w:sz w:val="28"/>
          <w:szCs w:val="28"/>
          <w:lang w:val="en-US"/>
        </w:rPr>
        <w:t>er screening in never-smokers and smokers: results of an eight-year observational study //Transl Lung Cancer Res. – 2020. – Vol.9(1). – P.10–22.</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lastRenderedPageBreak/>
        <w:t>89</w:t>
      </w:r>
      <w:r>
        <w:rPr>
          <w:rFonts w:ascii="Times New Roman" w:hAnsi="Times New Roman"/>
          <w:sz w:val="28"/>
          <w:szCs w:val="28"/>
          <w:lang w:val="en-US"/>
        </w:rPr>
        <w:tab/>
        <w:t xml:space="preserve">Bade BC, Dela Cruz CS. Lung Cancer 2020: Epidemiology, Etiology, and Prevention //Clin Chest Med. – 2020. – </w:t>
      </w:r>
      <w:r>
        <w:rPr>
          <w:rFonts w:ascii="Times New Roman" w:hAnsi="Times New Roman"/>
          <w:sz w:val="28"/>
          <w:szCs w:val="28"/>
          <w:lang w:val="en-US"/>
        </w:rPr>
        <w:t>Vol.41(1). – P.1–24.</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90</w:t>
      </w:r>
      <w:r>
        <w:rPr>
          <w:rFonts w:ascii="Times New Roman" w:hAnsi="Times New Roman"/>
          <w:sz w:val="28"/>
          <w:szCs w:val="28"/>
          <w:lang w:val="en-US"/>
        </w:rPr>
        <w:tab/>
        <w:t>Stapelfeld C, Dammann C, Maser E. Sex-specificity in lung cancer risk // Int J Cancer. – 2020. – Vol.146. – P.2376–2382.</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91</w:t>
      </w:r>
      <w:r>
        <w:rPr>
          <w:rFonts w:ascii="Times New Roman" w:hAnsi="Times New Roman"/>
          <w:sz w:val="28"/>
          <w:szCs w:val="28"/>
          <w:lang w:val="en-US"/>
        </w:rPr>
        <w:tab/>
        <w:t>Samet JM. Tobacco Smoking //Thorac Surg Clin. – 2013. – Vol.23(2). – P.103–112.</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92</w:t>
      </w:r>
      <w:r>
        <w:rPr>
          <w:rFonts w:ascii="Times New Roman" w:hAnsi="Times New Roman"/>
          <w:sz w:val="28"/>
          <w:szCs w:val="28"/>
          <w:lang w:val="en-US"/>
        </w:rPr>
        <w:tab/>
        <w:t>Neupane BK, Acharya BK, C</w:t>
      </w:r>
      <w:r>
        <w:rPr>
          <w:rFonts w:ascii="Times New Roman" w:hAnsi="Times New Roman"/>
          <w:sz w:val="28"/>
          <w:szCs w:val="28"/>
          <w:lang w:val="en-US"/>
        </w:rPr>
        <w:t>ao C, Xu M, Bhattarai H, Yang Y, Wang S. A systematic review of spatial and temporal epidemiological approaches, focus on lung cancer risk associated with particulate matter // BMC Public Health. – 2024. – Vol.24. – Article number: 2945.</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93</w:t>
      </w:r>
      <w:r>
        <w:rPr>
          <w:rFonts w:ascii="Times New Roman" w:hAnsi="Times New Roman"/>
          <w:sz w:val="28"/>
          <w:szCs w:val="28"/>
          <w:lang w:val="en-US"/>
        </w:rPr>
        <w:tab/>
        <w:t>Garzillo C, Pug</w:t>
      </w:r>
      <w:r>
        <w:rPr>
          <w:rFonts w:ascii="Times New Roman" w:hAnsi="Times New Roman"/>
          <w:sz w:val="28"/>
          <w:szCs w:val="28"/>
          <w:lang w:val="en-US"/>
        </w:rPr>
        <w:t>liese M, Loffredo F, Quarto M. Indoor radon exposure and lung cancer risk: a meta-analysis of case-control studies //Transl Cancer Res. – 2017. – Vol.6(Suppl 5).</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94</w:t>
      </w:r>
      <w:r>
        <w:rPr>
          <w:rFonts w:ascii="Times New Roman" w:hAnsi="Times New Roman"/>
          <w:sz w:val="28"/>
          <w:szCs w:val="28"/>
          <w:lang w:val="en-US"/>
        </w:rPr>
        <w:tab/>
        <w:t>Yoon JY, Lee JD, Joo SW, Kang DR. Indoor radon exposure and lung cancer: a review of ecolog</w:t>
      </w:r>
      <w:r>
        <w:rPr>
          <w:rFonts w:ascii="Times New Roman" w:hAnsi="Times New Roman"/>
          <w:sz w:val="28"/>
          <w:szCs w:val="28"/>
          <w:lang w:val="en-US"/>
        </w:rPr>
        <w:t>ical studies // Ann Occup Environ Med. – 2016. – Vol.28. – P. 15.</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95</w:t>
      </w:r>
      <w:r>
        <w:rPr>
          <w:rFonts w:ascii="Times New Roman" w:hAnsi="Times New Roman"/>
          <w:sz w:val="28"/>
          <w:szCs w:val="28"/>
          <w:lang w:val="en-US"/>
        </w:rPr>
        <w:tab/>
        <w:t>Malinovsky G, Yarmoshenko I, Vasilyev A. Meta-analysis of case-control studies on the relationship between lung cancer and indoor radon exposure // Radiat Environ Biophys. – 2019. – Vol.5</w:t>
      </w:r>
      <w:r>
        <w:rPr>
          <w:rFonts w:ascii="Times New Roman" w:hAnsi="Times New Roman"/>
          <w:sz w:val="28"/>
          <w:szCs w:val="28"/>
          <w:lang w:val="en-US"/>
        </w:rPr>
        <w:t>8, №1. – P. 39–47.</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96</w:t>
      </w:r>
      <w:r>
        <w:rPr>
          <w:rFonts w:ascii="Times New Roman" w:hAnsi="Times New Roman"/>
          <w:sz w:val="28"/>
          <w:szCs w:val="28"/>
          <w:lang w:val="en-US"/>
        </w:rPr>
        <w:tab/>
        <w:t>Hamra GB, Guha N, Cohen A, Laden F, Raaschou-Nielsen O, Samet JM, Vineis P, Forastiere F, Saldiva P, Yorifuji T, Loomis D. Outdoor particulate matter exposure and lung cancer: a systematic review and meta-analysis // Environ Health Pe</w:t>
      </w:r>
      <w:r>
        <w:rPr>
          <w:rFonts w:ascii="Times New Roman" w:hAnsi="Times New Roman"/>
          <w:sz w:val="28"/>
          <w:szCs w:val="28"/>
          <w:lang w:val="en-US"/>
        </w:rPr>
        <w:t>rspect. – 2014. – Vol.122. – P.906–911.</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97</w:t>
      </w:r>
      <w:r>
        <w:rPr>
          <w:rFonts w:ascii="Times New Roman" w:hAnsi="Times New Roman"/>
          <w:sz w:val="28"/>
          <w:szCs w:val="28"/>
          <w:lang w:val="en-US"/>
        </w:rPr>
        <w:tab/>
        <w:t>Rivera GA, Wakelee H. Lung cancer in never smokers // Adv Exp Med Biol. – 2016. – Vol.893. – P.43–57.</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98</w:t>
      </w:r>
      <w:r>
        <w:rPr>
          <w:rFonts w:ascii="Times New Roman" w:hAnsi="Times New Roman"/>
          <w:sz w:val="28"/>
          <w:szCs w:val="28"/>
          <w:lang w:val="en-US"/>
        </w:rPr>
        <w:tab/>
        <w:t>Hahn EJ, Wiggins AT, Rademacher K, Butler KM, Huntington-Moskos L, Rayens MK. FRESH: Long-term outcomes of a</w:t>
      </w:r>
      <w:r>
        <w:rPr>
          <w:rFonts w:ascii="Times New Roman" w:hAnsi="Times New Roman"/>
          <w:sz w:val="28"/>
          <w:szCs w:val="28"/>
          <w:lang w:val="en-US"/>
        </w:rPr>
        <w:t xml:space="preserve"> randomized trial to reduce radon and tobacco smoke in the home //Prev Chronic Dis. – 2019. – Vol.16. – Article E127.</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99</w:t>
      </w:r>
      <w:r>
        <w:rPr>
          <w:rFonts w:ascii="Times New Roman" w:hAnsi="Times New Roman"/>
          <w:sz w:val="28"/>
          <w:szCs w:val="28"/>
          <w:lang w:val="en-US"/>
        </w:rPr>
        <w:tab/>
        <w:t>Ngoc LTN, Park D, Lee YC. Human health impacts of residential radon exposure: updated systematic review and meta-analysis of case–contr</w:t>
      </w:r>
      <w:r>
        <w:rPr>
          <w:rFonts w:ascii="Times New Roman" w:hAnsi="Times New Roman"/>
          <w:sz w:val="28"/>
          <w:szCs w:val="28"/>
          <w:lang w:val="en-US"/>
        </w:rPr>
        <w:t>ol studies // Int J Environ Res Public Health. – 2022. – Vol. 20, №1. – Article 97.</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100</w:t>
      </w:r>
      <w:r>
        <w:rPr>
          <w:rFonts w:ascii="Times New Roman" w:hAnsi="Times New Roman"/>
          <w:sz w:val="28"/>
          <w:szCs w:val="28"/>
          <w:lang w:val="en-US"/>
        </w:rPr>
        <w:tab/>
        <w:t>World Health Organization. WHO Handbook on Indoor Radon: A Public Health Perspective; World Health Organization: Geneva, Switzerland, 2015. https://www.paho.org/en/docu</w:t>
      </w:r>
      <w:r>
        <w:rPr>
          <w:rFonts w:ascii="Times New Roman" w:hAnsi="Times New Roman"/>
          <w:sz w:val="28"/>
          <w:szCs w:val="28"/>
          <w:lang w:val="en-US"/>
        </w:rPr>
        <w:t>ments/who-handbook-indoor-radon-public-health-perspective-2015.</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101</w:t>
      </w:r>
      <w:r>
        <w:rPr>
          <w:rFonts w:ascii="Times New Roman" w:hAnsi="Times New Roman"/>
          <w:sz w:val="28"/>
          <w:szCs w:val="28"/>
          <w:lang w:val="en-US"/>
        </w:rPr>
        <w:tab/>
        <w:t>Lipfert FW, Wyzga RE. Longitudinal relationships between lung cancer mortality rates, smoking, and ambient air quality: a comprehensive review and analysis // Crit Rev Toxicol. – 2019. – V</w:t>
      </w:r>
      <w:r>
        <w:rPr>
          <w:rFonts w:ascii="Times New Roman" w:hAnsi="Times New Roman"/>
          <w:sz w:val="28"/>
          <w:szCs w:val="28"/>
          <w:lang w:val="en-US"/>
        </w:rPr>
        <w:t>ol.49(9). – P.790–818.</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102</w:t>
      </w:r>
      <w:r>
        <w:rPr>
          <w:rFonts w:ascii="Times New Roman" w:hAnsi="Times New Roman"/>
          <w:sz w:val="28"/>
          <w:szCs w:val="28"/>
          <w:lang w:val="en-US"/>
        </w:rPr>
        <w:tab/>
        <w:t>Tchorz-Trzeciakiewicz D, Kłos M. Factors affecting atmospheric radon concentration, human health // Sci Total Environ. – 2017. – Vol.584. – P.911–920</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103</w:t>
      </w:r>
      <w:r>
        <w:rPr>
          <w:rFonts w:ascii="Times New Roman" w:hAnsi="Times New Roman"/>
          <w:sz w:val="28"/>
          <w:szCs w:val="28"/>
          <w:lang w:val="en-US"/>
        </w:rPr>
        <w:tab/>
        <w:t>Li C., Wang Ch., Yu J., Fan Y., Liu D., Zhou W., Shi T. Residential radon a</w:t>
      </w:r>
      <w:r>
        <w:rPr>
          <w:rFonts w:ascii="Times New Roman" w:hAnsi="Times New Roman"/>
          <w:sz w:val="28"/>
          <w:szCs w:val="28"/>
          <w:lang w:val="en-US"/>
        </w:rPr>
        <w:t>nd histological types of lung cancer: a meta-analysis of case-control studies // Int J Environ Res Public Health. – 2020. – Vol. 17, №4. – P. 1457.</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lastRenderedPageBreak/>
        <w:t>104</w:t>
      </w:r>
      <w:r>
        <w:rPr>
          <w:rFonts w:ascii="Times New Roman" w:hAnsi="Times New Roman"/>
          <w:sz w:val="28"/>
          <w:szCs w:val="28"/>
          <w:lang w:val="en-US"/>
        </w:rPr>
        <w:tab/>
        <w:t>Ajrouche R, Ielsch G, Cléro E, Roudier C, Gay D, Guillevic J, Laurier D, Le Tertre A. Quantitative healt</w:t>
      </w:r>
      <w:r>
        <w:rPr>
          <w:rFonts w:ascii="Times New Roman" w:hAnsi="Times New Roman"/>
          <w:sz w:val="28"/>
          <w:szCs w:val="28"/>
          <w:lang w:val="en-US"/>
        </w:rPr>
        <w:t xml:space="preserve">h risk assessment of indoor radon: a systematic review // Radiat Prot Dosimetry. – 2017. – Vol. 177, №1-2. – P. 69-77.  </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105</w:t>
      </w:r>
      <w:r>
        <w:rPr>
          <w:rFonts w:ascii="Times New Roman" w:hAnsi="Times New Roman"/>
          <w:sz w:val="28"/>
          <w:szCs w:val="28"/>
          <w:lang w:val="en-US"/>
        </w:rPr>
        <w:tab/>
        <w:t>Zou K., Sun P., Huang H., Zhuo H., Qie R., Xie Y., Luo J., Li N., Li J., He J., Aschebrook-Kilfoy B., Zhang Y. Etiology of lung can</w:t>
      </w:r>
      <w:r>
        <w:rPr>
          <w:rFonts w:ascii="Times New Roman" w:hAnsi="Times New Roman"/>
          <w:sz w:val="28"/>
          <w:szCs w:val="28"/>
          <w:lang w:val="en-US"/>
        </w:rPr>
        <w:t>cer: evidence from epidemiologic studies // J Natl Cancer Cent. – 2022. – Vol. 2, №4. – P. 216–225.</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106</w:t>
      </w:r>
      <w:r>
        <w:rPr>
          <w:rFonts w:ascii="Times New Roman" w:hAnsi="Times New Roman"/>
          <w:sz w:val="28"/>
          <w:szCs w:val="28"/>
          <w:lang w:val="en-US"/>
        </w:rPr>
        <w:tab/>
        <w:t>Li C, Wang Ch, Yu J, Fan Y, Liu D, Zhou W, Shi T. Residential Radon and Histological Types of Lung Cancer: a Meta-Analysis of Case-Control Studies // In</w:t>
      </w:r>
      <w:r>
        <w:rPr>
          <w:rFonts w:ascii="Times New Roman" w:hAnsi="Times New Roman"/>
          <w:sz w:val="28"/>
          <w:szCs w:val="28"/>
          <w:lang w:val="en-US"/>
        </w:rPr>
        <w:t xml:space="preserve">t J Environ Res Public Health. – 2020. – Vol.17(4). – P.1457. </w:t>
      </w:r>
    </w:p>
    <w:p w:rsidR="00A75A8D" w:rsidRDefault="008A6A51">
      <w:pPr>
        <w:pStyle w:val="af7"/>
        <w:jc w:val="both"/>
        <w:rPr>
          <w:rFonts w:ascii="Times New Roman" w:hAnsi="Times New Roman"/>
          <w:sz w:val="28"/>
          <w:szCs w:val="28"/>
        </w:rPr>
      </w:pPr>
      <w:r>
        <w:rPr>
          <w:rFonts w:ascii="Times New Roman" w:hAnsi="Times New Roman"/>
          <w:sz w:val="28"/>
          <w:szCs w:val="28"/>
        </w:rPr>
        <w:t>107</w:t>
      </w:r>
      <w:r>
        <w:rPr>
          <w:rFonts w:ascii="Times New Roman" w:hAnsi="Times New Roman"/>
          <w:sz w:val="28"/>
          <w:szCs w:val="28"/>
        </w:rPr>
        <w:tab/>
        <w:t>Отчет о научно-исследовательской работе: «Проведение радиационного мониторинга сельских населенных пунктов», Астана - 2011. Доступно по ссылке:</w:t>
      </w:r>
      <w:r>
        <w:rPr>
          <w:rFonts w:ascii="Times New Roman" w:hAnsi="Times New Roman"/>
          <w:sz w:val="28"/>
          <w:szCs w:val="28"/>
          <w:lang w:val="en-US"/>
        </w:rPr>
        <w:t>https</w:t>
      </w:r>
      <w:r>
        <w:rPr>
          <w:rFonts w:ascii="Times New Roman" w:hAnsi="Times New Roman"/>
          <w:sz w:val="28"/>
          <w:szCs w:val="28"/>
        </w:rPr>
        <w:t>://</w:t>
      </w:r>
      <w:r>
        <w:rPr>
          <w:rFonts w:ascii="Times New Roman" w:hAnsi="Times New Roman"/>
          <w:sz w:val="28"/>
          <w:szCs w:val="28"/>
          <w:lang w:val="en-US"/>
        </w:rPr>
        <w:t>cesdrr</w:t>
      </w:r>
      <w:r>
        <w:rPr>
          <w:rFonts w:ascii="Times New Roman" w:hAnsi="Times New Roman"/>
          <w:sz w:val="28"/>
          <w:szCs w:val="28"/>
        </w:rPr>
        <w:t>.</w:t>
      </w:r>
      <w:r>
        <w:rPr>
          <w:rFonts w:ascii="Times New Roman" w:hAnsi="Times New Roman"/>
          <w:sz w:val="28"/>
          <w:szCs w:val="28"/>
          <w:lang w:val="en-US"/>
        </w:rPr>
        <w:t>org</w:t>
      </w:r>
      <w:r>
        <w:rPr>
          <w:rFonts w:ascii="Times New Roman" w:hAnsi="Times New Roman"/>
          <w:sz w:val="28"/>
          <w:szCs w:val="28"/>
        </w:rPr>
        <w:t>/</w:t>
      </w:r>
      <w:r>
        <w:rPr>
          <w:rFonts w:ascii="Times New Roman" w:hAnsi="Times New Roman"/>
          <w:sz w:val="28"/>
          <w:szCs w:val="28"/>
          <w:lang w:val="en-US"/>
        </w:rPr>
        <w:t>uploads</w:t>
      </w:r>
      <w:r>
        <w:rPr>
          <w:rFonts w:ascii="Times New Roman" w:hAnsi="Times New Roman"/>
          <w:sz w:val="28"/>
          <w:szCs w:val="28"/>
        </w:rPr>
        <w:t>/</w:t>
      </w:r>
      <w:r>
        <w:rPr>
          <w:rFonts w:ascii="Times New Roman" w:hAnsi="Times New Roman"/>
          <w:sz w:val="28"/>
          <w:szCs w:val="28"/>
          <w:lang w:val="en-US"/>
        </w:rPr>
        <w:t>projects</w:t>
      </w:r>
      <w:r>
        <w:rPr>
          <w:rFonts w:ascii="Times New Roman" w:hAnsi="Times New Roman"/>
          <w:sz w:val="28"/>
          <w:szCs w:val="28"/>
        </w:rPr>
        <w:t>/2.42.%20%</w:t>
      </w:r>
      <w:r>
        <w:rPr>
          <w:rFonts w:ascii="Times New Roman" w:hAnsi="Times New Roman"/>
          <w:sz w:val="28"/>
          <w:szCs w:val="28"/>
          <w:lang w:val="en-US"/>
        </w:rPr>
        <w:t>D</w:t>
      </w:r>
      <w:r>
        <w:rPr>
          <w:rFonts w:ascii="Times New Roman" w:hAnsi="Times New Roman"/>
          <w:sz w:val="28"/>
          <w:szCs w:val="28"/>
        </w:rPr>
        <w:t>0%9</w:t>
      </w:r>
      <w:r>
        <w:rPr>
          <w:rFonts w:ascii="Times New Roman" w:hAnsi="Times New Roman"/>
          <w:sz w:val="28"/>
          <w:szCs w:val="28"/>
          <w:lang w:val="en-US"/>
        </w:rPr>
        <w:t>A</w:t>
      </w:r>
      <w:r>
        <w:rPr>
          <w:rFonts w:ascii="Times New Roman" w:hAnsi="Times New Roman"/>
          <w:sz w:val="28"/>
          <w:szCs w:val="28"/>
        </w:rPr>
        <w:t>%</w:t>
      </w:r>
      <w:r>
        <w:rPr>
          <w:rFonts w:ascii="Times New Roman" w:hAnsi="Times New Roman"/>
          <w:sz w:val="28"/>
          <w:szCs w:val="28"/>
          <w:lang w:val="en-US"/>
        </w:rPr>
        <w:t>D</w:t>
      </w:r>
      <w:r>
        <w:rPr>
          <w:rFonts w:ascii="Times New Roman" w:hAnsi="Times New Roman"/>
          <w:sz w:val="28"/>
          <w:szCs w:val="28"/>
        </w:rPr>
        <w:t>0%</w:t>
      </w:r>
      <w:r>
        <w:rPr>
          <w:rFonts w:ascii="Times New Roman" w:hAnsi="Times New Roman"/>
          <w:sz w:val="28"/>
          <w:szCs w:val="28"/>
          <w:lang w:val="en-US"/>
        </w:rPr>
        <w:t>B</w:t>
      </w:r>
      <w:r>
        <w:rPr>
          <w:rFonts w:ascii="Times New Roman" w:hAnsi="Times New Roman"/>
          <w:sz w:val="28"/>
          <w:szCs w:val="28"/>
        </w:rPr>
        <w:t>0%</w:t>
      </w:r>
      <w:r>
        <w:rPr>
          <w:rFonts w:ascii="Times New Roman" w:hAnsi="Times New Roman"/>
          <w:sz w:val="28"/>
          <w:szCs w:val="28"/>
          <w:lang w:val="en-US"/>
        </w:rPr>
        <w:t>D</w:t>
      </w:r>
      <w:r>
        <w:rPr>
          <w:rFonts w:ascii="Times New Roman" w:hAnsi="Times New Roman"/>
          <w:sz w:val="28"/>
          <w:szCs w:val="28"/>
        </w:rPr>
        <w:t>0%</w:t>
      </w:r>
      <w:r>
        <w:rPr>
          <w:rFonts w:ascii="Times New Roman" w:hAnsi="Times New Roman"/>
          <w:sz w:val="28"/>
          <w:szCs w:val="28"/>
          <w:lang w:val="en-US"/>
        </w:rPr>
        <w:t>B</w:t>
      </w:r>
      <w:r>
        <w:rPr>
          <w:rFonts w:ascii="Times New Roman" w:hAnsi="Times New Roman"/>
          <w:sz w:val="28"/>
          <w:szCs w:val="28"/>
        </w:rPr>
        <w:t>7%</w:t>
      </w:r>
      <w:r>
        <w:rPr>
          <w:rFonts w:ascii="Times New Roman" w:hAnsi="Times New Roman"/>
          <w:sz w:val="28"/>
          <w:szCs w:val="28"/>
          <w:lang w:val="en-US"/>
        </w:rPr>
        <w:t>D</w:t>
      </w:r>
      <w:r>
        <w:rPr>
          <w:rFonts w:ascii="Times New Roman" w:hAnsi="Times New Roman"/>
          <w:sz w:val="28"/>
          <w:szCs w:val="28"/>
        </w:rPr>
        <w:t>0%</w:t>
      </w:r>
      <w:r>
        <w:rPr>
          <w:rFonts w:ascii="Times New Roman" w:hAnsi="Times New Roman"/>
          <w:sz w:val="28"/>
          <w:szCs w:val="28"/>
          <w:lang w:val="en-US"/>
        </w:rPr>
        <w:t>B</w:t>
      </w:r>
      <w:r>
        <w:rPr>
          <w:rFonts w:ascii="Times New Roman" w:hAnsi="Times New Roman"/>
          <w:sz w:val="28"/>
          <w:szCs w:val="28"/>
        </w:rPr>
        <w:t>0%</w:t>
      </w:r>
      <w:r>
        <w:rPr>
          <w:rFonts w:ascii="Times New Roman" w:hAnsi="Times New Roman"/>
          <w:sz w:val="28"/>
          <w:szCs w:val="28"/>
          <w:lang w:val="en-US"/>
        </w:rPr>
        <w:t>D</w:t>
      </w:r>
      <w:r>
        <w:rPr>
          <w:rFonts w:ascii="Times New Roman" w:hAnsi="Times New Roman"/>
          <w:sz w:val="28"/>
          <w:szCs w:val="28"/>
        </w:rPr>
        <w:t>1%85%</w:t>
      </w:r>
      <w:r>
        <w:rPr>
          <w:rFonts w:ascii="Times New Roman" w:hAnsi="Times New Roman"/>
          <w:sz w:val="28"/>
          <w:szCs w:val="28"/>
          <w:lang w:val="en-US"/>
        </w:rPr>
        <w:t>D</w:t>
      </w:r>
      <w:r>
        <w:rPr>
          <w:rFonts w:ascii="Times New Roman" w:hAnsi="Times New Roman"/>
          <w:sz w:val="28"/>
          <w:szCs w:val="28"/>
        </w:rPr>
        <w:t>1%81%</w:t>
      </w:r>
      <w:r>
        <w:rPr>
          <w:rFonts w:ascii="Times New Roman" w:hAnsi="Times New Roman"/>
          <w:sz w:val="28"/>
          <w:szCs w:val="28"/>
          <w:lang w:val="en-US"/>
        </w:rPr>
        <w:t>D</w:t>
      </w:r>
      <w:r>
        <w:rPr>
          <w:rFonts w:ascii="Times New Roman" w:hAnsi="Times New Roman"/>
          <w:sz w:val="28"/>
          <w:szCs w:val="28"/>
        </w:rPr>
        <w:t>1%82%</w:t>
      </w:r>
      <w:r>
        <w:rPr>
          <w:rFonts w:ascii="Times New Roman" w:hAnsi="Times New Roman"/>
          <w:sz w:val="28"/>
          <w:szCs w:val="28"/>
          <w:lang w:val="en-US"/>
        </w:rPr>
        <w:t>D</w:t>
      </w:r>
      <w:r>
        <w:rPr>
          <w:rFonts w:ascii="Times New Roman" w:hAnsi="Times New Roman"/>
          <w:sz w:val="28"/>
          <w:szCs w:val="28"/>
        </w:rPr>
        <w:t>0%</w:t>
      </w:r>
      <w:r>
        <w:rPr>
          <w:rFonts w:ascii="Times New Roman" w:hAnsi="Times New Roman"/>
          <w:sz w:val="28"/>
          <w:szCs w:val="28"/>
          <w:lang w:val="en-US"/>
        </w:rPr>
        <w:t>B</w:t>
      </w:r>
      <w:r>
        <w:rPr>
          <w:rFonts w:ascii="Times New Roman" w:hAnsi="Times New Roman"/>
          <w:sz w:val="28"/>
          <w:szCs w:val="28"/>
        </w:rPr>
        <w:t>0%</w:t>
      </w:r>
      <w:r>
        <w:rPr>
          <w:rFonts w:ascii="Times New Roman" w:hAnsi="Times New Roman"/>
          <w:sz w:val="28"/>
          <w:szCs w:val="28"/>
          <w:lang w:val="en-US"/>
        </w:rPr>
        <w:t>D</w:t>
      </w:r>
      <w:r>
        <w:rPr>
          <w:rFonts w:ascii="Times New Roman" w:hAnsi="Times New Roman"/>
          <w:sz w:val="28"/>
          <w:szCs w:val="28"/>
        </w:rPr>
        <w:t>0%</w:t>
      </w:r>
      <w:r>
        <w:rPr>
          <w:rFonts w:ascii="Times New Roman" w:hAnsi="Times New Roman"/>
          <w:sz w:val="28"/>
          <w:szCs w:val="28"/>
          <w:lang w:val="en-US"/>
        </w:rPr>
        <w:t>BD</w:t>
      </w:r>
      <w:r>
        <w:rPr>
          <w:rFonts w:ascii="Times New Roman" w:hAnsi="Times New Roman"/>
          <w:sz w:val="28"/>
          <w:szCs w:val="28"/>
        </w:rPr>
        <w:t>%20%20%</w:t>
      </w:r>
      <w:r>
        <w:rPr>
          <w:rFonts w:ascii="Times New Roman" w:hAnsi="Times New Roman"/>
          <w:sz w:val="28"/>
          <w:szCs w:val="28"/>
          <w:lang w:val="en-US"/>
        </w:rPr>
        <w:t>D</w:t>
      </w:r>
      <w:r>
        <w:rPr>
          <w:rFonts w:ascii="Times New Roman" w:hAnsi="Times New Roman"/>
          <w:sz w:val="28"/>
          <w:szCs w:val="28"/>
        </w:rPr>
        <w:t>0%</w:t>
      </w:r>
      <w:r>
        <w:rPr>
          <w:rFonts w:ascii="Times New Roman" w:hAnsi="Times New Roman"/>
          <w:sz w:val="28"/>
          <w:szCs w:val="28"/>
          <w:lang w:val="en-US"/>
        </w:rPr>
        <w:t>A</w:t>
      </w:r>
      <w:r>
        <w:rPr>
          <w:rFonts w:ascii="Times New Roman" w:hAnsi="Times New Roman"/>
          <w:sz w:val="28"/>
          <w:szCs w:val="28"/>
        </w:rPr>
        <w:t>3%</w:t>
      </w:r>
      <w:r>
        <w:rPr>
          <w:rFonts w:ascii="Times New Roman" w:hAnsi="Times New Roman"/>
          <w:sz w:val="28"/>
          <w:szCs w:val="28"/>
          <w:lang w:val="en-US"/>
        </w:rPr>
        <w:t>D</w:t>
      </w:r>
      <w:r>
        <w:rPr>
          <w:rFonts w:ascii="Times New Roman" w:hAnsi="Times New Roman"/>
          <w:sz w:val="28"/>
          <w:szCs w:val="28"/>
        </w:rPr>
        <w:t>0%</w:t>
      </w:r>
      <w:r>
        <w:rPr>
          <w:rFonts w:ascii="Times New Roman" w:hAnsi="Times New Roman"/>
          <w:sz w:val="28"/>
          <w:szCs w:val="28"/>
          <w:lang w:val="en-US"/>
        </w:rPr>
        <w:t>BF</w:t>
      </w:r>
      <w:r>
        <w:rPr>
          <w:rFonts w:ascii="Times New Roman" w:hAnsi="Times New Roman"/>
          <w:sz w:val="28"/>
          <w:szCs w:val="28"/>
        </w:rPr>
        <w:t>%</w:t>
      </w:r>
      <w:r>
        <w:rPr>
          <w:rFonts w:ascii="Times New Roman" w:hAnsi="Times New Roman"/>
          <w:sz w:val="28"/>
          <w:szCs w:val="28"/>
          <w:lang w:val="en-US"/>
        </w:rPr>
        <w:t>D</w:t>
      </w:r>
      <w:r>
        <w:rPr>
          <w:rFonts w:ascii="Times New Roman" w:hAnsi="Times New Roman"/>
          <w:sz w:val="28"/>
          <w:szCs w:val="28"/>
        </w:rPr>
        <w:t>1%80%</w:t>
      </w:r>
      <w:r>
        <w:rPr>
          <w:rFonts w:ascii="Times New Roman" w:hAnsi="Times New Roman"/>
          <w:sz w:val="28"/>
          <w:szCs w:val="28"/>
          <w:lang w:val="en-US"/>
        </w:rPr>
        <w:t>D</w:t>
      </w:r>
      <w:r>
        <w:rPr>
          <w:rFonts w:ascii="Times New Roman" w:hAnsi="Times New Roman"/>
          <w:sz w:val="28"/>
          <w:szCs w:val="28"/>
        </w:rPr>
        <w:t>0%</w:t>
      </w:r>
      <w:r>
        <w:rPr>
          <w:rFonts w:ascii="Times New Roman" w:hAnsi="Times New Roman"/>
          <w:sz w:val="28"/>
          <w:szCs w:val="28"/>
          <w:lang w:val="en-US"/>
        </w:rPr>
        <w:t>B</w:t>
      </w:r>
      <w:r>
        <w:rPr>
          <w:rFonts w:ascii="Times New Roman" w:hAnsi="Times New Roman"/>
          <w:sz w:val="28"/>
          <w:szCs w:val="28"/>
        </w:rPr>
        <w:t>0%</w:t>
      </w:r>
      <w:r>
        <w:rPr>
          <w:rFonts w:ascii="Times New Roman" w:hAnsi="Times New Roman"/>
          <w:sz w:val="28"/>
          <w:szCs w:val="28"/>
          <w:lang w:val="en-US"/>
        </w:rPr>
        <w:t>D</w:t>
      </w:r>
      <w:r>
        <w:rPr>
          <w:rFonts w:ascii="Times New Roman" w:hAnsi="Times New Roman"/>
          <w:sz w:val="28"/>
          <w:szCs w:val="28"/>
        </w:rPr>
        <w:t>0%</w:t>
      </w:r>
      <w:r>
        <w:rPr>
          <w:rFonts w:ascii="Times New Roman" w:hAnsi="Times New Roman"/>
          <w:sz w:val="28"/>
          <w:szCs w:val="28"/>
          <w:lang w:val="en-US"/>
        </w:rPr>
        <w:t>B</w:t>
      </w:r>
      <w:r>
        <w:rPr>
          <w:rFonts w:ascii="Times New Roman" w:hAnsi="Times New Roman"/>
          <w:sz w:val="28"/>
          <w:szCs w:val="28"/>
        </w:rPr>
        <w:t>2%</w:t>
      </w:r>
      <w:r>
        <w:rPr>
          <w:rFonts w:ascii="Times New Roman" w:hAnsi="Times New Roman"/>
          <w:sz w:val="28"/>
          <w:szCs w:val="28"/>
          <w:lang w:val="en-US"/>
        </w:rPr>
        <w:t>D</w:t>
      </w:r>
      <w:r>
        <w:rPr>
          <w:rFonts w:ascii="Times New Roman" w:hAnsi="Times New Roman"/>
          <w:sz w:val="28"/>
          <w:szCs w:val="28"/>
        </w:rPr>
        <w:t>0%</w:t>
      </w:r>
      <w:r>
        <w:rPr>
          <w:rFonts w:ascii="Times New Roman" w:hAnsi="Times New Roman"/>
          <w:sz w:val="28"/>
          <w:szCs w:val="28"/>
          <w:lang w:val="en-US"/>
        </w:rPr>
        <w:t>BB</w:t>
      </w:r>
      <w:r>
        <w:rPr>
          <w:rFonts w:ascii="Times New Roman" w:hAnsi="Times New Roman"/>
          <w:sz w:val="28"/>
          <w:szCs w:val="28"/>
        </w:rPr>
        <w:t>%</w:t>
      </w:r>
      <w:r>
        <w:rPr>
          <w:rFonts w:ascii="Times New Roman" w:hAnsi="Times New Roman"/>
          <w:sz w:val="28"/>
          <w:szCs w:val="28"/>
          <w:lang w:val="en-US"/>
        </w:rPr>
        <w:t>D</w:t>
      </w:r>
      <w:r>
        <w:rPr>
          <w:rFonts w:ascii="Times New Roman" w:hAnsi="Times New Roman"/>
          <w:sz w:val="28"/>
          <w:szCs w:val="28"/>
        </w:rPr>
        <w:t>0%</w:t>
      </w:r>
      <w:r>
        <w:rPr>
          <w:rFonts w:ascii="Times New Roman" w:hAnsi="Times New Roman"/>
          <w:sz w:val="28"/>
          <w:szCs w:val="28"/>
          <w:lang w:val="en-US"/>
        </w:rPr>
        <w:t>B</w:t>
      </w:r>
      <w:r>
        <w:rPr>
          <w:rFonts w:ascii="Times New Roman" w:hAnsi="Times New Roman"/>
          <w:sz w:val="28"/>
          <w:szCs w:val="28"/>
        </w:rPr>
        <w:t>5%</w:t>
      </w:r>
      <w:r>
        <w:rPr>
          <w:rFonts w:ascii="Times New Roman" w:hAnsi="Times New Roman"/>
          <w:sz w:val="28"/>
          <w:szCs w:val="28"/>
          <w:lang w:val="en-US"/>
        </w:rPr>
        <w:t>D</w:t>
      </w:r>
      <w:r>
        <w:rPr>
          <w:rFonts w:ascii="Times New Roman" w:hAnsi="Times New Roman"/>
          <w:sz w:val="28"/>
          <w:szCs w:val="28"/>
        </w:rPr>
        <w:t>0%</w:t>
      </w:r>
      <w:r>
        <w:rPr>
          <w:rFonts w:ascii="Times New Roman" w:hAnsi="Times New Roman"/>
          <w:sz w:val="28"/>
          <w:szCs w:val="28"/>
          <w:lang w:val="en-US"/>
        </w:rPr>
        <w:t>BD</w:t>
      </w:r>
      <w:r>
        <w:rPr>
          <w:rFonts w:ascii="Times New Roman" w:hAnsi="Times New Roman"/>
          <w:sz w:val="28"/>
          <w:szCs w:val="28"/>
        </w:rPr>
        <w:t>%</w:t>
      </w:r>
      <w:r>
        <w:rPr>
          <w:rFonts w:ascii="Times New Roman" w:hAnsi="Times New Roman"/>
          <w:sz w:val="28"/>
          <w:szCs w:val="28"/>
          <w:lang w:val="en-US"/>
        </w:rPr>
        <w:t>D</w:t>
      </w:r>
      <w:r>
        <w:rPr>
          <w:rFonts w:ascii="Times New Roman" w:hAnsi="Times New Roman"/>
          <w:sz w:val="28"/>
          <w:szCs w:val="28"/>
        </w:rPr>
        <w:t>0%</w:t>
      </w:r>
      <w:r>
        <w:rPr>
          <w:rFonts w:ascii="Times New Roman" w:hAnsi="Times New Roman"/>
          <w:sz w:val="28"/>
          <w:szCs w:val="28"/>
          <w:lang w:val="en-US"/>
        </w:rPr>
        <w:t>B</w:t>
      </w:r>
      <w:r>
        <w:rPr>
          <w:rFonts w:ascii="Times New Roman" w:hAnsi="Times New Roman"/>
          <w:sz w:val="28"/>
          <w:szCs w:val="28"/>
        </w:rPr>
        <w:t>8%</w:t>
      </w:r>
      <w:r>
        <w:rPr>
          <w:rFonts w:ascii="Times New Roman" w:hAnsi="Times New Roman"/>
          <w:sz w:val="28"/>
          <w:szCs w:val="28"/>
          <w:lang w:val="en-US"/>
        </w:rPr>
        <w:t>D</w:t>
      </w:r>
      <w:r>
        <w:rPr>
          <w:rFonts w:ascii="Times New Roman" w:hAnsi="Times New Roman"/>
          <w:sz w:val="28"/>
          <w:szCs w:val="28"/>
        </w:rPr>
        <w:t>0%</w:t>
      </w:r>
      <w:r>
        <w:rPr>
          <w:rFonts w:ascii="Times New Roman" w:hAnsi="Times New Roman"/>
          <w:sz w:val="28"/>
          <w:szCs w:val="28"/>
          <w:lang w:val="en-US"/>
        </w:rPr>
        <w:t>B</w:t>
      </w:r>
      <w:r>
        <w:rPr>
          <w:rFonts w:ascii="Times New Roman" w:hAnsi="Times New Roman"/>
          <w:sz w:val="28"/>
          <w:szCs w:val="28"/>
        </w:rPr>
        <w:t>5%20%</w:t>
      </w:r>
      <w:r>
        <w:rPr>
          <w:rFonts w:ascii="Times New Roman" w:hAnsi="Times New Roman"/>
          <w:sz w:val="28"/>
          <w:szCs w:val="28"/>
          <w:lang w:val="en-US"/>
        </w:rPr>
        <w:t>D</w:t>
      </w:r>
      <w:r>
        <w:rPr>
          <w:rFonts w:ascii="Times New Roman" w:hAnsi="Times New Roman"/>
          <w:sz w:val="28"/>
          <w:szCs w:val="28"/>
        </w:rPr>
        <w:t>1%80%</w:t>
      </w:r>
      <w:r>
        <w:rPr>
          <w:rFonts w:ascii="Times New Roman" w:hAnsi="Times New Roman"/>
          <w:sz w:val="28"/>
          <w:szCs w:val="28"/>
          <w:lang w:val="en-US"/>
        </w:rPr>
        <w:t>D</w:t>
      </w:r>
      <w:r>
        <w:rPr>
          <w:rFonts w:ascii="Times New Roman" w:hAnsi="Times New Roman"/>
          <w:sz w:val="28"/>
          <w:szCs w:val="28"/>
        </w:rPr>
        <w:t>0%</w:t>
      </w:r>
      <w:r>
        <w:rPr>
          <w:rFonts w:ascii="Times New Roman" w:hAnsi="Times New Roman"/>
          <w:sz w:val="28"/>
          <w:szCs w:val="28"/>
          <w:lang w:val="en-US"/>
        </w:rPr>
        <w:t>B</w:t>
      </w:r>
      <w:r>
        <w:rPr>
          <w:rFonts w:ascii="Times New Roman" w:hAnsi="Times New Roman"/>
          <w:sz w:val="28"/>
          <w:szCs w:val="28"/>
        </w:rPr>
        <w:t>8%</w:t>
      </w:r>
      <w:r>
        <w:rPr>
          <w:rFonts w:ascii="Times New Roman" w:hAnsi="Times New Roman"/>
          <w:sz w:val="28"/>
          <w:szCs w:val="28"/>
          <w:lang w:val="en-US"/>
        </w:rPr>
        <w:t>D</w:t>
      </w:r>
      <w:r>
        <w:rPr>
          <w:rFonts w:ascii="Times New Roman" w:hAnsi="Times New Roman"/>
          <w:sz w:val="28"/>
          <w:szCs w:val="28"/>
        </w:rPr>
        <w:t>1%81%</w:t>
      </w:r>
      <w:r>
        <w:rPr>
          <w:rFonts w:ascii="Times New Roman" w:hAnsi="Times New Roman"/>
          <w:sz w:val="28"/>
          <w:szCs w:val="28"/>
          <w:lang w:val="en-US"/>
        </w:rPr>
        <w:t>D</w:t>
      </w:r>
      <w:r>
        <w:rPr>
          <w:rFonts w:ascii="Times New Roman" w:hAnsi="Times New Roman"/>
          <w:sz w:val="28"/>
          <w:szCs w:val="28"/>
        </w:rPr>
        <w:t>0%</w:t>
      </w:r>
      <w:r>
        <w:rPr>
          <w:rFonts w:ascii="Times New Roman" w:hAnsi="Times New Roman"/>
          <w:sz w:val="28"/>
          <w:szCs w:val="28"/>
          <w:lang w:val="en-US"/>
        </w:rPr>
        <w:t>BA</w:t>
      </w:r>
      <w:r>
        <w:rPr>
          <w:rFonts w:ascii="Times New Roman" w:hAnsi="Times New Roman"/>
          <w:sz w:val="28"/>
          <w:szCs w:val="28"/>
        </w:rPr>
        <w:t>%</w:t>
      </w:r>
      <w:r>
        <w:rPr>
          <w:rFonts w:ascii="Times New Roman" w:hAnsi="Times New Roman"/>
          <w:sz w:val="28"/>
          <w:szCs w:val="28"/>
          <w:lang w:val="en-US"/>
        </w:rPr>
        <w:t>D</w:t>
      </w:r>
      <w:r>
        <w:rPr>
          <w:rFonts w:ascii="Times New Roman" w:hAnsi="Times New Roman"/>
          <w:sz w:val="28"/>
          <w:szCs w:val="28"/>
        </w:rPr>
        <w:t>0%</w:t>
      </w:r>
      <w:r>
        <w:rPr>
          <w:rFonts w:ascii="Times New Roman" w:hAnsi="Times New Roman"/>
          <w:sz w:val="28"/>
          <w:szCs w:val="28"/>
          <w:lang w:val="en-US"/>
        </w:rPr>
        <w:t>B</w:t>
      </w:r>
      <w:r>
        <w:rPr>
          <w:rFonts w:ascii="Times New Roman" w:hAnsi="Times New Roman"/>
          <w:sz w:val="28"/>
          <w:szCs w:val="28"/>
        </w:rPr>
        <w:t>0%</w:t>
      </w:r>
      <w:r>
        <w:rPr>
          <w:rFonts w:ascii="Times New Roman" w:hAnsi="Times New Roman"/>
          <w:sz w:val="28"/>
          <w:szCs w:val="28"/>
          <w:lang w:val="en-US"/>
        </w:rPr>
        <w:t>D</w:t>
      </w:r>
      <w:r>
        <w:rPr>
          <w:rFonts w:ascii="Times New Roman" w:hAnsi="Times New Roman"/>
          <w:sz w:val="28"/>
          <w:szCs w:val="28"/>
        </w:rPr>
        <w:t>0%</w:t>
      </w:r>
      <w:r>
        <w:rPr>
          <w:rFonts w:ascii="Times New Roman" w:hAnsi="Times New Roman"/>
          <w:sz w:val="28"/>
          <w:szCs w:val="28"/>
          <w:lang w:val="en-US"/>
        </w:rPr>
        <w:t>BC</w:t>
      </w:r>
      <w:r>
        <w:rPr>
          <w:rFonts w:ascii="Times New Roman" w:hAnsi="Times New Roman"/>
          <w:sz w:val="28"/>
          <w:szCs w:val="28"/>
        </w:rPr>
        <w:t>%</w:t>
      </w:r>
      <w:r>
        <w:rPr>
          <w:rFonts w:ascii="Times New Roman" w:hAnsi="Times New Roman"/>
          <w:sz w:val="28"/>
          <w:szCs w:val="28"/>
          <w:lang w:val="en-US"/>
        </w:rPr>
        <w:t>D</w:t>
      </w:r>
      <w:r>
        <w:rPr>
          <w:rFonts w:ascii="Times New Roman" w:hAnsi="Times New Roman"/>
          <w:sz w:val="28"/>
          <w:szCs w:val="28"/>
        </w:rPr>
        <w:t>0%</w:t>
      </w:r>
      <w:r>
        <w:rPr>
          <w:rFonts w:ascii="Times New Roman" w:hAnsi="Times New Roman"/>
          <w:sz w:val="28"/>
          <w:szCs w:val="28"/>
          <w:lang w:val="en-US"/>
        </w:rPr>
        <w:t>B</w:t>
      </w:r>
      <w:r>
        <w:rPr>
          <w:rFonts w:ascii="Times New Roman" w:hAnsi="Times New Roman"/>
          <w:sz w:val="28"/>
          <w:szCs w:val="28"/>
        </w:rPr>
        <w:t>8%20%20%</w:t>
      </w:r>
      <w:r>
        <w:rPr>
          <w:rFonts w:ascii="Times New Roman" w:hAnsi="Times New Roman"/>
          <w:sz w:val="28"/>
          <w:szCs w:val="28"/>
          <w:lang w:val="en-US"/>
        </w:rPr>
        <w:t>D</w:t>
      </w:r>
      <w:r>
        <w:rPr>
          <w:rFonts w:ascii="Times New Roman" w:hAnsi="Times New Roman"/>
          <w:sz w:val="28"/>
          <w:szCs w:val="28"/>
        </w:rPr>
        <w:t>0%</w:t>
      </w:r>
      <w:r>
        <w:rPr>
          <w:rFonts w:ascii="Times New Roman" w:hAnsi="Times New Roman"/>
          <w:sz w:val="28"/>
          <w:szCs w:val="28"/>
          <w:lang w:val="en-US"/>
        </w:rPr>
        <w:t>B</w:t>
      </w:r>
      <w:r>
        <w:rPr>
          <w:rFonts w:ascii="Times New Roman" w:hAnsi="Times New Roman"/>
          <w:sz w:val="28"/>
          <w:szCs w:val="28"/>
        </w:rPr>
        <w:t>8%20%</w:t>
      </w:r>
      <w:r>
        <w:rPr>
          <w:rFonts w:ascii="Times New Roman" w:hAnsi="Times New Roman"/>
          <w:sz w:val="28"/>
          <w:szCs w:val="28"/>
          <w:lang w:val="en-US"/>
        </w:rPr>
        <w:t>D</w:t>
      </w:r>
      <w:r>
        <w:rPr>
          <w:rFonts w:ascii="Times New Roman" w:hAnsi="Times New Roman"/>
          <w:sz w:val="28"/>
          <w:szCs w:val="28"/>
        </w:rPr>
        <w:t>0%9</w:t>
      </w:r>
      <w:r>
        <w:rPr>
          <w:rFonts w:ascii="Times New Roman" w:hAnsi="Times New Roman"/>
          <w:sz w:val="28"/>
          <w:szCs w:val="28"/>
          <w:lang w:val="en-US"/>
        </w:rPr>
        <w:t>E</w:t>
      </w:r>
      <w:r>
        <w:rPr>
          <w:rFonts w:ascii="Times New Roman" w:hAnsi="Times New Roman"/>
          <w:sz w:val="28"/>
          <w:szCs w:val="28"/>
        </w:rPr>
        <w:t>%</w:t>
      </w:r>
      <w:r>
        <w:rPr>
          <w:rFonts w:ascii="Times New Roman" w:hAnsi="Times New Roman"/>
          <w:sz w:val="28"/>
          <w:szCs w:val="28"/>
          <w:lang w:val="en-US"/>
        </w:rPr>
        <w:t>D</w:t>
      </w:r>
      <w:r>
        <w:rPr>
          <w:rFonts w:ascii="Times New Roman" w:hAnsi="Times New Roman"/>
          <w:sz w:val="28"/>
          <w:szCs w:val="28"/>
        </w:rPr>
        <w:t>0%</w:t>
      </w:r>
      <w:r>
        <w:rPr>
          <w:rFonts w:ascii="Times New Roman" w:hAnsi="Times New Roman"/>
          <w:sz w:val="28"/>
          <w:szCs w:val="28"/>
          <w:lang w:val="en-US"/>
        </w:rPr>
        <w:t>B</w:t>
      </w:r>
      <w:r>
        <w:rPr>
          <w:rFonts w:ascii="Times New Roman" w:hAnsi="Times New Roman"/>
          <w:sz w:val="28"/>
          <w:szCs w:val="28"/>
        </w:rPr>
        <w:t>1%</w:t>
      </w:r>
      <w:r>
        <w:rPr>
          <w:rFonts w:ascii="Times New Roman" w:hAnsi="Times New Roman"/>
          <w:sz w:val="28"/>
          <w:szCs w:val="28"/>
          <w:lang w:val="en-US"/>
        </w:rPr>
        <w:t>D</w:t>
      </w:r>
      <w:r>
        <w:rPr>
          <w:rFonts w:ascii="Times New Roman" w:hAnsi="Times New Roman"/>
          <w:sz w:val="28"/>
          <w:szCs w:val="28"/>
        </w:rPr>
        <w:t>0%</w:t>
      </w:r>
      <w:r>
        <w:rPr>
          <w:rFonts w:ascii="Times New Roman" w:hAnsi="Times New Roman"/>
          <w:sz w:val="28"/>
          <w:szCs w:val="28"/>
          <w:lang w:val="en-US"/>
        </w:rPr>
        <w:t>B</w:t>
      </w:r>
      <w:r>
        <w:rPr>
          <w:rFonts w:ascii="Times New Roman" w:hAnsi="Times New Roman"/>
          <w:sz w:val="28"/>
          <w:szCs w:val="28"/>
        </w:rPr>
        <w:t>7%</w:t>
      </w:r>
      <w:r>
        <w:rPr>
          <w:rFonts w:ascii="Times New Roman" w:hAnsi="Times New Roman"/>
          <w:sz w:val="28"/>
          <w:szCs w:val="28"/>
          <w:lang w:val="en-US"/>
        </w:rPr>
        <w:t>D</w:t>
      </w:r>
      <w:r>
        <w:rPr>
          <w:rFonts w:ascii="Times New Roman" w:hAnsi="Times New Roman"/>
          <w:sz w:val="28"/>
          <w:szCs w:val="28"/>
        </w:rPr>
        <w:t>0%</w:t>
      </w:r>
      <w:r>
        <w:rPr>
          <w:rFonts w:ascii="Times New Roman" w:hAnsi="Times New Roman"/>
          <w:sz w:val="28"/>
          <w:szCs w:val="28"/>
          <w:lang w:val="en-US"/>
        </w:rPr>
        <w:t>BE</w:t>
      </w:r>
      <w:r>
        <w:rPr>
          <w:rFonts w:ascii="Times New Roman" w:hAnsi="Times New Roman"/>
          <w:sz w:val="28"/>
          <w:szCs w:val="28"/>
        </w:rPr>
        <w:t>%</w:t>
      </w:r>
      <w:r>
        <w:rPr>
          <w:rFonts w:ascii="Times New Roman" w:hAnsi="Times New Roman"/>
          <w:sz w:val="28"/>
          <w:szCs w:val="28"/>
          <w:lang w:val="en-US"/>
        </w:rPr>
        <w:t>D</w:t>
      </w:r>
      <w:r>
        <w:rPr>
          <w:rFonts w:ascii="Times New Roman" w:hAnsi="Times New Roman"/>
          <w:sz w:val="28"/>
          <w:szCs w:val="28"/>
        </w:rPr>
        <w:t>1%80.</w:t>
      </w:r>
      <w:r>
        <w:rPr>
          <w:rFonts w:ascii="Times New Roman" w:hAnsi="Times New Roman"/>
          <w:sz w:val="28"/>
          <w:szCs w:val="28"/>
          <w:lang w:val="en-US"/>
        </w:rPr>
        <w:t>pdf</w:t>
      </w:r>
      <w:r>
        <w:rPr>
          <w:rFonts w:ascii="Times New Roman" w:hAnsi="Times New Roman"/>
          <w:sz w:val="28"/>
          <w:szCs w:val="28"/>
        </w:rPr>
        <w:t>.</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108</w:t>
      </w:r>
      <w:r>
        <w:rPr>
          <w:rFonts w:ascii="Times New Roman" w:hAnsi="Times New Roman"/>
          <w:sz w:val="28"/>
          <w:szCs w:val="28"/>
          <w:lang w:val="en-US"/>
        </w:rPr>
        <w:tab/>
      </w:r>
      <w:r>
        <w:rPr>
          <w:rFonts w:ascii="Times New Roman" w:hAnsi="Times New Roman"/>
          <w:sz w:val="28"/>
          <w:szCs w:val="28"/>
          <w:lang w:val="en-US"/>
        </w:rPr>
        <w:t xml:space="preserve">GBD Diseases and Injuries Collaborators. Global burden of 369 diseases and injuries in 204 countries and territories, 1990-2019: a systematic analysis for the Global Burden of Disease Study 2019 // Lancet. – 2020. – Vol. 396, №10258. – P. 1204–1222. </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109</w:t>
      </w:r>
      <w:r>
        <w:rPr>
          <w:rFonts w:ascii="Times New Roman" w:hAnsi="Times New Roman"/>
          <w:sz w:val="28"/>
          <w:szCs w:val="28"/>
          <w:lang w:val="en-US"/>
        </w:rPr>
        <w:tab/>
        <w:t>G</w:t>
      </w:r>
      <w:r>
        <w:rPr>
          <w:rFonts w:ascii="Times New Roman" w:hAnsi="Times New Roman"/>
          <w:sz w:val="28"/>
          <w:szCs w:val="28"/>
          <w:lang w:val="en-US"/>
        </w:rPr>
        <w:t>lobal Burden of Disease Liver Cancer Collaboration, Akinyemiju T., Abera S., Ahmed M., Alam N., Alemayohu M.A. The burden of primary liver cancer and underlying etiologies from 1990 to 2015 at the global, regional, and national level: results from the Glob</w:t>
      </w:r>
      <w:r>
        <w:rPr>
          <w:rFonts w:ascii="Times New Roman" w:hAnsi="Times New Roman"/>
          <w:sz w:val="28"/>
          <w:szCs w:val="28"/>
          <w:lang w:val="en-US"/>
        </w:rPr>
        <w:t>al Burden of Disease Study 2015 //JAMA Oncol. – 2017. – Vol. 3, №12. – P. 1683–1691.</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110</w:t>
      </w:r>
      <w:r>
        <w:rPr>
          <w:rFonts w:ascii="Times New Roman" w:hAnsi="Times New Roman"/>
          <w:sz w:val="28"/>
          <w:szCs w:val="28"/>
          <w:lang w:val="en-US"/>
        </w:rPr>
        <w:tab/>
        <w:t xml:space="preserve">GBD 2016 Occupational Carcinogens Collaborators. Global and regional burden of cancer in 2016 arising from occupational exposure to selected carcinogens: a systematic </w:t>
      </w:r>
      <w:r>
        <w:rPr>
          <w:rFonts w:ascii="Times New Roman" w:hAnsi="Times New Roman"/>
          <w:sz w:val="28"/>
          <w:szCs w:val="28"/>
          <w:lang w:val="en-US"/>
        </w:rPr>
        <w:t xml:space="preserve">analysis for the Global Burden of Disease Study 2016 // Occup Environ Med. – 2020. – Vol.77(3). – P.151–159. </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111</w:t>
      </w:r>
      <w:r>
        <w:rPr>
          <w:rFonts w:ascii="Times New Roman" w:hAnsi="Times New Roman"/>
          <w:sz w:val="28"/>
          <w:szCs w:val="28"/>
          <w:lang w:val="en-US"/>
        </w:rPr>
        <w:tab/>
        <w:t>Uguen M., Dewitte J.-D., Marcorelles P., Loddé B., Pougnet R., Saliou P. Asbestos-related lung cancers: a retrospective clinical and pathologi</w:t>
      </w:r>
      <w:r>
        <w:rPr>
          <w:rFonts w:ascii="Times New Roman" w:hAnsi="Times New Roman"/>
          <w:sz w:val="28"/>
          <w:szCs w:val="28"/>
          <w:lang w:val="en-US"/>
        </w:rPr>
        <w:t>cal study // Mol Clin Oncol. – 2017. – Vol. 7, №1. – P. 135–139.</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112</w:t>
      </w:r>
      <w:r>
        <w:rPr>
          <w:rFonts w:ascii="Times New Roman" w:hAnsi="Times New Roman"/>
          <w:sz w:val="28"/>
          <w:szCs w:val="28"/>
          <w:lang w:val="en-US"/>
        </w:rPr>
        <w:tab/>
        <w:t xml:space="preserve">De Matteis S, Consonni D, Lubin H, Tucker M, Peters S, Vermeulen C. Impact of occupational carcinogens on lung cancer risk in a general population //Int J Epidemiol. – 2013. – Vol.42(6). </w:t>
      </w:r>
      <w:r>
        <w:rPr>
          <w:rFonts w:ascii="Times New Roman" w:hAnsi="Times New Roman"/>
          <w:sz w:val="28"/>
          <w:szCs w:val="28"/>
          <w:lang w:val="en-US"/>
        </w:rPr>
        <w:t>– P.1902.</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113</w:t>
      </w:r>
      <w:r>
        <w:rPr>
          <w:rFonts w:ascii="Times New Roman" w:hAnsi="Times New Roman"/>
          <w:sz w:val="28"/>
          <w:szCs w:val="28"/>
          <w:lang w:val="en-US"/>
        </w:rPr>
        <w:tab/>
        <w:t xml:space="preserve">Klebe S., Leigh J., Henderson D.W., Nurminen M. Asbestos, smoking and lung cancer: an update //Int J Environ Res Public Health. – 2019. – Vol. 17, №1. – P. 258. </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114</w:t>
      </w:r>
      <w:r>
        <w:rPr>
          <w:rFonts w:ascii="Times New Roman" w:hAnsi="Times New Roman"/>
          <w:sz w:val="28"/>
          <w:szCs w:val="28"/>
          <w:lang w:val="en-US"/>
        </w:rPr>
        <w:tab/>
        <w:t>Olsson A.C., Vermeulen R., Schüz J., Kromhout H., Pesch B., Peters S., Behre</w:t>
      </w:r>
      <w:r>
        <w:rPr>
          <w:rFonts w:ascii="Times New Roman" w:hAnsi="Times New Roman"/>
          <w:sz w:val="28"/>
          <w:szCs w:val="28"/>
          <w:lang w:val="en-US"/>
        </w:rPr>
        <w:t>ns T., Portengen L. Exposure–response analyses of asbestos and lung cancer subtypes in a pooled analysis of case–control studies //Epidemiology. – 2017. – Vol. 28, №2. – P. 288–299.</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115</w:t>
      </w:r>
      <w:r>
        <w:rPr>
          <w:rFonts w:ascii="Times New Roman" w:hAnsi="Times New Roman"/>
          <w:sz w:val="28"/>
          <w:szCs w:val="28"/>
          <w:lang w:val="en-US"/>
        </w:rPr>
        <w:tab/>
        <w:t>Nielsen LS, Bælum J, Rasmussen J, et al. Occupational asbestos exposur</w:t>
      </w:r>
      <w:r>
        <w:rPr>
          <w:rFonts w:ascii="Times New Roman" w:hAnsi="Times New Roman"/>
          <w:sz w:val="28"/>
          <w:szCs w:val="28"/>
          <w:lang w:val="en-US"/>
        </w:rPr>
        <w:t>e and lung cancer–a systematic review of the literature //Arch Environ Occup Health. – 2014. – Vol.69(4). – P.191–206.</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lastRenderedPageBreak/>
        <w:t>116</w:t>
      </w:r>
      <w:r>
        <w:rPr>
          <w:rFonts w:ascii="Times New Roman" w:hAnsi="Times New Roman"/>
          <w:sz w:val="28"/>
          <w:szCs w:val="28"/>
          <w:lang w:val="en-US"/>
        </w:rPr>
        <w:tab/>
        <w:t>Uguen M, Dewitte JD, Marcorelles P, Loddé B, Pougnet R, Saliou P. Asbestos-related lung cancers: A retrospective clinical and patholo</w:t>
      </w:r>
      <w:r>
        <w:rPr>
          <w:rFonts w:ascii="Times New Roman" w:hAnsi="Times New Roman"/>
          <w:sz w:val="28"/>
          <w:szCs w:val="28"/>
          <w:lang w:val="en-US"/>
        </w:rPr>
        <w:t>gical study //Mol Clin Oncol. – 2017. – Vol.7(1). – P.135–139.</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117</w:t>
      </w:r>
      <w:r>
        <w:rPr>
          <w:rFonts w:ascii="Times New Roman" w:hAnsi="Times New Roman"/>
          <w:sz w:val="28"/>
          <w:szCs w:val="28"/>
          <w:lang w:val="en-US"/>
        </w:rPr>
        <w:tab/>
        <w:t>Kaidarova DR, Shatkovskaya OV, Zholdybay ZhZh, Panina AS. Lung cancer epidemiology in the Republic of Kazakhstan //Oncol Radiol Kazakhstan. – 2019. – Vol.2(52). – P.10–16</w:t>
      </w:r>
      <w:r>
        <w:rPr>
          <w:rFonts w:ascii="Times New Roman" w:hAnsi="Times New Roman"/>
          <w:sz w:val="28"/>
          <w:szCs w:val="28"/>
          <w:lang w:val="en-US" w:eastAsia="zh-CN"/>
        </w:rPr>
        <w:t>.</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118</w:t>
      </w:r>
      <w:r>
        <w:rPr>
          <w:rFonts w:ascii="Times New Roman" w:hAnsi="Times New Roman"/>
          <w:sz w:val="28"/>
          <w:szCs w:val="28"/>
          <w:lang w:val="en-US"/>
        </w:rPr>
        <w:tab/>
        <w:t xml:space="preserve">Li J, Li WX, </w:t>
      </w:r>
      <w:r>
        <w:rPr>
          <w:rFonts w:ascii="Times New Roman" w:hAnsi="Times New Roman"/>
          <w:sz w:val="28"/>
          <w:szCs w:val="28"/>
          <w:lang w:val="en-US"/>
        </w:rPr>
        <w:t>Bai C, et al. Particulate matter-induced epigenetic changes and lung cancer //Clin Respir J. – 2017. – Vol.11(5). – P.539–546.</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119</w:t>
      </w:r>
      <w:r>
        <w:rPr>
          <w:rFonts w:ascii="Times New Roman" w:hAnsi="Times New Roman"/>
          <w:sz w:val="28"/>
          <w:szCs w:val="28"/>
          <w:lang w:val="en-US"/>
        </w:rPr>
        <w:tab/>
        <w:t xml:space="preserve">Loomis D, Grosse Y, Lauby-Secretan B, et al. The carcinogenicity of outdoor air pollution // Lancet Oncol. – 2013. – Vol.14. </w:t>
      </w:r>
      <w:r>
        <w:rPr>
          <w:rFonts w:ascii="Times New Roman" w:hAnsi="Times New Roman"/>
          <w:sz w:val="28"/>
          <w:szCs w:val="28"/>
          <w:lang w:val="en-US"/>
        </w:rPr>
        <w:t>– P.1262–1263</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120</w:t>
      </w:r>
      <w:r>
        <w:rPr>
          <w:rFonts w:ascii="Times New Roman" w:hAnsi="Times New Roman"/>
          <w:sz w:val="28"/>
          <w:szCs w:val="28"/>
          <w:lang w:val="en-US"/>
        </w:rPr>
        <w:tab/>
        <w:t>Hamra GB, Guha N, Cohen A, Laden F, Raaschou-Nielsen O, Samet JM, et al. Outdoor particulate matter exposure and lung cancer: a systematic review and meta-analysis // Environ Health Perspect. – 2014. – Vol.122(9). – P.906–911.</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121</w:t>
      </w:r>
      <w:r>
        <w:rPr>
          <w:rFonts w:ascii="Times New Roman" w:hAnsi="Times New Roman"/>
          <w:sz w:val="28"/>
          <w:szCs w:val="28"/>
          <w:lang w:val="en-US"/>
        </w:rPr>
        <w:tab/>
        <w:t>Berg C.</w:t>
      </w:r>
      <w:r>
        <w:rPr>
          <w:rFonts w:ascii="Times New Roman" w:hAnsi="Times New Roman"/>
          <w:sz w:val="28"/>
          <w:szCs w:val="28"/>
          <w:lang w:val="en-US"/>
        </w:rPr>
        <w:t xml:space="preserve"> D., Schiller J. H., Boffetta P., Cai J., Connolly C., Kerpel-Fronius A. Air Pollution and Lung Cancer: A Review by International Association for the Study of Lung Cancer Early Detection and Screening Committee //J Thorac Oncol. – 2023. – Vol. 18, № 10. – </w:t>
      </w:r>
      <w:r>
        <w:rPr>
          <w:rFonts w:ascii="Times New Roman" w:hAnsi="Times New Roman"/>
          <w:sz w:val="28"/>
          <w:szCs w:val="28"/>
          <w:lang w:val="en-US"/>
        </w:rPr>
        <w:t>P. 1277–1289.</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122</w:t>
      </w:r>
      <w:r>
        <w:rPr>
          <w:rFonts w:ascii="Times New Roman" w:hAnsi="Times New Roman"/>
          <w:sz w:val="28"/>
          <w:szCs w:val="28"/>
          <w:lang w:val="en-US"/>
        </w:rPr>
        <w:tab/>
        <w:t>Hvidtfeldt U. A., Severi G., Andersen Z. J., Atkinson R., Bauwelinck M., Bellander T. et al. Long-term low-level ambient air pollution exposure and risk of lung cancer - A pooled analysis of 7 European cohorts //Environ Int. – 2021. – Vol</w:t>
      </w:r>
      <w:r>
        <w:rPr>
          <w:rFonts w:ascii="Times New Roman" w:hAnsi="Times New Roman"/>
          <w:sz w:val="28"/>
          <w:szCs w:val="28"/>
          <w:lang w:val="en-US"/>
        </w:rPr>
        <w:t>. 146. – P. 106249.</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123</w:t>
      </w:r>
      <w:r>
        <w:rPr>
          <w:rFonts w:ascii="Times New Roman" w:hAnsi="Times New Roman"/>
          <w:sz w:val="28"/>
          <w:szCs w:val="28"/>
          <w:lang w:val="en-US"/>
        </w:rPr>
        <w:tab/>
        <w:t xml:space="preserve">Schultz E.S., Litonjua A.A., Melén E. Effects of Long-Term Exposure to Traffic-Related Air Pollution on Lung Function in Children //Curr Allergy Asthma Rep. – 2017. – Vol. 17, №6. – P. 41.  </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124</w:t>
      </w:r>
      <w:r>
        <w:rPr>
          <w:rFonts w:ascii="Times New Roman" w:hAnsi="Times New Roman"/>
          <w:sz w:val="28"/>
          <w:szCs w:val="28"/>
          <w:lang w:val="en-US"/>
        </w:rPr>
        <w:tab/>
        <w:t>Hvidtfeldt UA, Severi G, Andersen ZJ,</w:t>
      </w:r>
      <w:r>
        <w:rPr>
          <w:rFonts w:ascii="Times New Roman" w:hAnsi="Times New Roman"/>
          <w:sz w:val="28"/>
          <w:szCs w:val="28"/>
          <w:lang w:val="en-US"/>
        </w:rPr>
        <w:t xml:space="preserve"> Atkinson R, Bauwelinck M, Bellander T, et al. Long-term low-level ambient air pollution exposure and risk of lung cancer - A pooled analysis of 7 European cohorts // Environ Int. – 2021. – Vol. 146. – P. 106249. повтор</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125</w:t>
      </w:r>
      <w:r>
        <w:rPr>
          <w:rFonts w:ascii="Times New Roman" w:hAnsi="Times New Roman"/>
          <w:sz w:val="28"/>
          <w:szCs w:val="28"/>
          <w:lang w:val="en-US"/>
        </w:rPr>
        <w:tab/>
        <w:t xml:space="preserve">Shankar A., Dubey A., Saini D., </w:t>
      </w:r>
      <w:r>
        <w:rPr>
          <w:rFonts w:ascii="Times New Roman" w:hAnsi="Times New Roman"/>
          <w:sz w:val="28"/>
          <w:szCs w:val="28"/>
          <w:lang w:val="en-US"/>
        </w:rPr>
        <w:t>Singh M., Prasad C.P., Roy S. Environmental and Occupational Determinants of Lung Cancer //Transl Lung Cancer Res. – 2019. – Vol. 8, Suppl. 1. – P. S31–S49.</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126</w:t>
      </w:r>
      <w:r>
        <w:rPr>
          <w:rFonts w:ascii="Times New Roman" w:hAnsi="Times New Roman"/>
          <w:sz w:val="28"/>
          <w:szCs w:val="28"/>
          <w:lang w:val="en-US"/>
        </w:rPr>
        <w:tab/>
        <w:t>Lelieveld J, Evans JS, Fnais M, Giannadaki D, Pozzer A. The contribution of outdoor air polluti</w:t>
      </w:r>
      <w:r>
        <w:rPr>
          <w:rFonts w:ascii="Times New Roman" w:hAnsi="Times New Roman"/>
          <w:sz w:val="28"/>
          <w:szCs w:val="28"/>
          <w:lang w:val="en-US"/>
        </w:rPr>
        <w:t>on sources to premature mortality on a global scale //Nature. – 2015. – Vol.525. – P.367–371.</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127</w:t>
      </w:r>
      <w:r>
        <w:rPr>
          <w:rFonts w:ascii="Times New Roman" w:hAnsi="Times New Roman"/>
          <w:sz w:val="28"/>
          <w:szCs w:val="28"/>
          <w:lang w:val="en-US"/>
        </w:rPr>
        <w:tab/>
        <w:t>Raaschou-Nielsen O, Pedersen M, Stafoggia M, et al. Outdoor air pollution and risk for kidney parenchyma cancer in 14 European cohorts //Int J Cancer. – 2017.</w:t>
      </w:r>
      <w:r>
        <w:rPr>
          <w:rFonts w:ascii="Times New Roman" w:hAnsi="Times New Roman"/>
          <w:sz w:val="28"/>
          <w:szCs w:val="28"/>
          <w:lang w:val="en-US"/>
        </w:rPr>
        <w:t xml:space="preserve"> – Vol.140(7). – P.1528–1537.</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128</w:t>
      </w:r>
      <w:r>
        <w:rPr>
          <w:rFonts w:ascii="Times New Roman" w:hAnsi="Times New Roman"/>
          <w:sz w:val="28"/>
          <w:szCs w:val="28"/>
          <w:lang w:val="en-US"/>
        </w:rPr>
        <w:tab/>
        <w:t>Huang F, Pan B, Wu J, Chen E, Chen L. Relationship between exposure to PM2.5 and lung cancer incidence and mortality: A meta-analysis //Oncotarget. – 2017. – Vol.8. – P.43322–43331.</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129</w:t>
      </w:r>
      <w:r>
        <w:rPr>
          <w:rFonts w:ascii="Times New Roman" w:hAnsi="Times New Roman"/>
          <w:sz w:val="28"/>
          <w:szCs w:val="28"/>
          <w:lang w:val="en-US"/>
        </w:rPr>
        <w:tab/>
        <w:t>Ang L, Chan CPY, Yau WP, Seow WJ. As</w:t>
      </w:r>
      <w:r>
        <w:rPr>
          <w:rFonts w:ascii="Times New Roman" w:hAnsi="Times New Roman"/>
          <w:sz w:val="28"/>
          <w:szCs w:val="28"/>
          <w:lang w:val="en-US"/>
        </w:rPr>
        <w:t>sociation between family history of lung cancer and lung cancer risk: a systematic review and meta-analysis //Lung Cancer. – 2020. – Vol.148. – P.129–137.</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lastRenderedPageBreak/>
        <w:t>130</w:t>
      </w:r>
      <w:r>
        <w:rPr>
          <w:rFonts w:ascii="Times New Roman" w:hAnsi="Times New Roman"/>
          <w:sz w:val="28"/>
          <w:szCs w:val="28"/>
          <w:lang w:val="en-US"/>
        </w:rPr>
        <w:tab/>
        <w:t>Li J, Li C, Cheng B, He J, Liang W. The relative impact of family history of different cancers on</w:t>
      </w:r>
      <w:r>
        <w:rPr>
          <w:rFonts w:ascii="Times New Roman" w:hAnsi="Times New Roman"/>
          <w:sz w:val="28"/>
          <w:szCs w:val="28"/>
          <w:lang w:val="en-US"/>
        </w:rPr>
        <w:t xml:space="preserve"> lung cancer risk //J Thorac Oncol. – 2019. – Vol.14(11). – P.e248–e249.</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131</w:t>
      </w:r>
      <w:r>
        <w:rPr>
          <w:rFonts w:ascii="Times New Roman" w:hAnsi="Times New Roman"/>
          <w:sz w:val="28"/>
          <w:szCs w:val="28"/>
          <w:lang w:val="en-US"/>
        </w:rPr>
        <w:tab/>
        <w:t xml:space="preserve">Kanwal M, Ding XJ, Cao Y. Familial risk for lung cancer //Oncol Lett. - 2017. - Vol. 13. - P. 535-542. </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132</w:t>
      </w:r>
      <w:r>
        <w:rPr>
          <w:rFonts w:ascii="Times New Roman" w:hAnsi="Times New Roman"/>
          <w:sz w:val="28"/>
          <w:szCs w:val="28"/>
          <w:lang w:val="en-US"/>
        </w:rPr>
        <w:tab/>
        <w:t>Wang CL, Hsu KH, Chang YH, Ho CC, Chiang CJ, et al. Low-dose computed t</w:t>
      </w:r>
      <w:r>
        <w:rPr>
          <w:rFonts w:ascii="Times New Roman" w:hAnsi="Times New Roman"/>
          <w:sz w:val="28"/>
          <w:szCs w:val="28"/>
          <w:lang w:val="en-US"/>
        </w:rPr>
        <w:t>omography screening in relatives with a family history of lung cancer // J Thorac Oncol. – 2023. – Vol.18(11). – P.1492–1503.</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133</w:t>
      </w:r>
      <w:r>
        <w:rPr>
          <w:rFonts w:ascii="Times New Roman" w:hAnsi="Times New Roman"/>
          <w:sz w:val="28"/>
          <w:szCs w:val="28"/>
          <w:lang w:val="en-US"/>
        </w:rPr>
        <w:tab/>
        <w:t>Lin H, Huang YS, Yan HH, Yang XN, Zhong WZ, Ye HW. A family history of cancer and lung cancer risk in never-smokers: a clinic-</w:t>
      </w:r>
      <w:r>
        <w:rPr>
          <w:rFonts w:ascii="Times New Roman" w:hAnsi="Times New Roman"/>
          <w:sz w:val="28"/>
          <w:szCs w:val="28"/>
          <w:lang w:val="en-US"/>
        </w:rPr>
        <w:t>based case-control study //Lung Cancer. – 2015. – Vol.89(2). – P.94–98.</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134</w:t>
      </w:r>
      <w:r>
        <w:rPr>
          <w:rFonts w:ascii="Times New Roman" w:hAnsi="Times New Roman"/>
          <w:sz w:val="28"/>
          <w:szCs w:val="28"/>
          <w:lang w:val="en-US"/>
        </w:rPr>
        <w:tab/>
        <w:t>Mucci LA, Hjelmborg JB, Harris JR, Czene K, Havelick DJ, Scheike T, for the Nordic Twin Study of Cancer (NorTwinCan) Collaboration. Familial risk and heritability of cancer among t</w:t>
      </w:r>
      <w:r>
        <w:rPr>
          <w:rFonts w:ascii="Times New Roman" w:hAnsi="Times New Roman"/>
          <w:sz w:val="28"/>
          <w:szCs w:val="28"/>
          <w:lang w:val="en-US"/>
        </w:rPr>
        <w:t>wins in Nordic countries //JAMA. – 2016. – Vol.315. – P.68–76.</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135</w:t>
      </w:r>
      <w:r>
        <w:rPr>
          <w:rFonts w:ascii="Times New Roman" w:hAnsi="Times New Roman"/>
          <w:sz w:val="28"/>
          <w:szCs w:val="28"/>
          <w:lang w:val="en-US"/>
        </w:rPr>
        <w:tab/>
        <w:t>Kachuri L, Amos CI, McKay JD, Johansson M, Vineis P, Bueno-de-Mesquita HB, et al. Fine mapping of chromosome 5p15.33 based on a targeted deep sequencing and high density genotyping identifi</w:t>
      </w:r>
      <w:r>
        <w:rPr>
          <w:rFonts w:ascii="Times New Roman" w:hAnsi="Times New Roman"/>
          <w:sz w:val="28"/>
          <w:szCs w:val="28"/>
          <w:lang w:val="en-US"/>
        </w:rPr>
        <w:t>es novel lung cancer susceptibility loci //Carcinogenesis. – 2016. – Vol.37(1). – P.96–105.</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136</w:t>
      </w:r>
      <w:r>
        <w:rPr>
          <w:rFonts w:ascii="Times New Roman" w:hAnsi="Times New Roman"/>
          <w:sz w:val="28"/>
          <w:szCs w:val="28"/>
          <w:lang w:val="en-US"/>
        </w:rPr>
        <w:tab/>
        <w:t>Yang YC, Fu WP, Zhang J, Zhong L, Cai SX, Sun C. rs401681 and rs402710 confer lung cancer susceptibility by regulating TERT expression instead of CLPTM1L in Eas</w:t>
      </w:r>
      <w:r>
        <w:rPr>
          <w:rFonts w:ascii="Times New Roman" w:hAnsi="Times New Roman"/>
          <w:sz w:val="28"/>
          <w:szCs w:val="28"/>
          <w:lang w:val="en-US"/>
        </w:rPr>
        <w:t>t Asian populations //Carcinogenesis. – 2018. – Vol.39. – P.1216–1221.</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137</w:t>
      </w:r>
      <w:r>
        <w:rPr>
          <w:rFonts w:ascii="Times New Roman" w:hAnsi="Times New Roman"/>
          <w:sz w:val="28"/>
          <w:szCs w:val="28"/>
          <w:lang w:val="en-US"/>
        </w:rPr>
        <w:tab/>
        <w:t xml:space="preserve">Schwartz G, Cote L. Epidemiology of Lung Cancer //Adv Exp Med Biol. – 2016. – Vol.893. – P.21–41. </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138</w:t>
      </w:r>
      <w:r>
        <w:rPr>
          <w:rFonts w:ascii="Times New Roman" w:hAnsi="Times New Roman"/>
          <w:sz w:val="28"/>
          <w:szCs w:val="28"/>
          <w:lang w:val="en-US"/>
        </w:rPr>
        <w:tab/>
        <w:t xml:space="preserve">Velmurugan KR, Varghese RT, Fonville NC, et al. High-depth, high-accuracy </w:t>
      </w:r>
      <w:r>
        <w:rPr>
          <w:rFonts w:ascii="Times New Roman" w:hAnsi="Times New Roman"/>
          <w:sz w:val="28"/>
          <w:szCs w:val="28"/>
          <w:lang w:val="en-US"/>
        </w:rPr>
        <w:t>microsatellite genotyping enables precision lung cancer risk classification / Oncogene. – 2017. – Vol.36(46). – P.6383–6390.</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139</w:t>
      </w:r>
      <w:r>
        <w:rPr>
          <w:rFonts w:ascii="Times New Roman" w:hAnsi="Times New Roman"/>
          <w:sz w:val="28"/>
          <w:szCs w:val="28"/>
          <w:lang w:val="en-US"/>
        </w:rPr>
        <w:tab/>
        <w:t>Lebrett MB, Crosbie EJ, Smith MJ, Woodward ER, Evans DG, Crosbie PAJ. Targeting lung cancer screening to individuals at greates</w:t>
      </w:r>
      <w:r>
        <w:rPr>
          <w:rFonts w:ascii="Times New Roman" w:hAnsi="Times New Roman"/>
          <w:sz w:val="28"/>
          <w:szCs w:val="28"/>
          <w:lang w:val="en-US"/>
        </w:rPr>
        <w:t>t risk: the role of genetic factors //J Med Genet. – 2021. – Vol.58. – P.217–226.</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140</w:t>
      </w:r>
      <w:r>
        <w:rPr>
          <w:rFonts w:ascii="Times New Roman" w:hAnsi="Times New Roman"/>
          <w:sz w:val="28"/>
          <w:szCs w:val="28"/>
          <w:lang w:val="en-US"/>
        </w:rPr>
        <w:tab/>
        <w:t>Papavassiliou KA, Sofianidi AA, Gogou VA, Anagnostopoulos N, Papavassiliou AG. P53 and Rb aberrations in small cell lung cancer (SCLC): from molecular mechanisms to thera</w:t>
      </w:r>
      <w:r>
        <w:rPr>
          <w:rFonts w:ascii="Times New Roman" w:hAnsi="Times New Roman"/>
          <w:sz w:val="28"/>
          <w:szCs w:val="28"/>
          <w:lang w:val="en-US"/>
        </w:rPr>
        <w:t>peutic modulation //Int J Mol Sci. – 2024. – Vol.25(5). – P.2479.</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141</w:t>
      </w:r>
      <w:r>
        <w:rPr>
          <w:rFonts w:ascii="Times New Roman" w:hAnsi="Times New Roman"/>
          <w:sz w:val="28"/>
          <w:szCs w:val="28"/>
          <w:lang w:val="en-US"/>
        </w:rPr>
        <w:tab/>
        <w:t>Yamamoto H, Higasa K, Sakaguchi M, et al. Novel germline mutation in the transmembrane domain of HER2 in familial lung adenocarcinomas //J Natl Cancer Inst. – 2014. – Vol.106(1):djt338.</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142</w:t>
      </w:r>
      <w:r>
        <w:rPr>
          <w:rFonts w:ascii="Times New Roman" w:hAnsi="Times New Roman"/>
          <w:sz w:val="28"/>
          <w:szCs w:val="28"/>
          <w:lang w:val="en-US"/>
        </w:rPr>
        <w:tab/>
        <w:t>Collisson A, Campbell D, Brooks N, et al. Comprehensive molecular profiling of lung adenocarcinoma //Nature. – 2014. – Vol.511(7511). – P.543–550.</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143</w:t>
      </w:r>
      <w:r>
        <w:rPr>
          <w:rFonts w:ascii="Times New Roman" w:hAnsi="Times New Roman"/>
          <w:sz w:val="28"/>
          <w:szCs w:val="28"/>
          <w:lang w:val="en-US"/>
        </w:rPr>
        <w:tab/>
        <w:t xml:space="preserve">Park HY, Kang D, Shin SH, Yoo KH, Rhee CK, Suh GY. Chronic obstructive pulmonary disease and lung </w:t>
      </w:r>
      <w:r>
        <w:rPr>
          <w:rFonts w:ascii="Times New Roman" w:hAnsi="Times New Roman"/>
          <w:sz w:val="28"/>
          <w:szCs w:val="28"/>
          <w:lang w:val="en-US"/>
        </w:rPr>
        <w:t>cancer incidence in never smokers: a cohort study //Thorax. – 2020. – Vol.75(6). – P.506–509.</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144</w:t>
      </w:r>
      <w:r>
        <w:rPr>
          <w:rFonts w:ascii="Times New Roman" w:hAnsi="Times New Roman"/>
          <w:sz w:val="28"/>
          <w:szCs w:val="28"/>
          <w:lang w:val="en-US"/>
        </w:rPr>
        <w:tab/>
        <w:t>Ytterstad E, Moe PC, Hjalmarsen A. COPD in primary lung cancer patients: Prevalence and mortality //Int J Chron Obstruct Pulmon Dis. – 2016. – Vol.11(1). – P.</w:t>
      </w:r>
      <w:r>
        <w:rPr>
          <w:rFonts w:ascii="Times New Roman" w:hAnsi="Times New Roman"/>
          <w:sz w:val="28"/>
          <w:szCs w:val="28"/>
          <w:lang w:val="en-US"/>
        </w:rPr>
        <w:t xml:space="preserve">625–636. </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lastRenderedPageBreak/>
        <w:t>145</w:t>
      </w:r>
      <w:r>
        <w:rPr>
          <w:rFonts w:ascii="Times New Roman" w:hAnsi="Times New Roman"/>
          <w:sz w:val="28"/>
          <w:szCs w:val="28"/>
          <w:lang w:val="en-US"/>
        </w:rPr>
        <w:tab/>
        <w:t>Kang HR, Kim SJ, Nam JG, Park YS, Lee CH, et al. Impact of smoking and chronic obstructive pulmonary disease on all-cause, respiratory, and cardio-cerebrovascular mortality //Int J Chron Obstruct Pulmon Dis. – 2024. – Vol.19. – P.1261–1272..</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146</w:t>
      </w:r>
      <w:r>
        <w:rPr>
          <w:rFonts w:ascii="Times New Roman" w:hAnsi="Times New Roman"/>
          <w:sz w:val="28"/>
          <w:szCs w:val="28"/>
          <w:lang w:val="en-US"/>
        </w:rPr>
        <w:tab/>
        <w:t xml:space="preserve">Henschke CI, Yip R, Boffetta P, et al. CT screening for lung cancer: importance of emphysema for never smokers and smokers //Lung Cancer. – 2015. – Vol.88(1). – P.42–47. </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147</w:t>
      </w:r>
      <w:r>
        <w:rPr>
          <w:rFonts w:ascii="Times New Roman" w:hAnsi="Times New Roman"/>
          <w:sz w:val="28"/>
          <w:szCs w:val="28"/>
          <w:lang w:val="en-US"/>
        </w:rPr>
        <w:tab/>
        <w:t>Zhao G, Li X, Lei S, Zhao H, Zhang H, Li J. Prevalence of lung cancer in chro</w:t>
      </w:r>
      <w:r>
        <w:rPr>
          <w:rFonts w:ascii="Times New Roman" w:hAnsi="Times New Roman"/>
          <w:sz w:val="28"/>
          <w:szCs w:val="28"/>
          <w:lang w:val="en-US"/>
        </w:rPr>
        <w:t>nic obstructive pulmonary disease: a systematic review and meta-analysis //Front Oncol. – 2022. – Vol.12:947981.</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148</w:t>
      </w:r>
      <w:r>
        <w:rPr>
          <w:rFonts w:ascii="Times New Roman" w:hAnsi="Times New Roman"/>
          <w:sz w:val="28"/>
          <w:szCs w:val="28"/>
          <w:lang w:val="en-US"/>
        </w:rPr>
        <w:tab/>
        <w:t xml:space="preserve">Smith BM, Pinto L, Ezer N, et al. Emphysema detected on computed tomography and risk of lung cancer: a systematic review and meta-analysis </w:t>
      </w:r>
      <w:r>
        <w:rPr>
          <w:rFonts w:ascii="Times New Roman" w:hAnsi="Times New Roman"/>
          <w:sz w:val="28"/>
          <w:szCs w:val="28"/>
          <w:lang w:val="en-US"/>
        </w:rPr>
        <w:t>//Lung Cancer. – 2012. – Vol.77. – P.58–63.</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149</w:t>
      </w:r>
      <w:r>
        <w:rPr>
          <w:rFonts w:ascii="Times New Roman" w:hAnsi="Times New Roman"/>
          <w:sz w:val="28"/>
          <w:szCs w:val="28"/>
          <w:lang w:val="en-US"/>
        </w:rPr>
        <w:tab/>
        <w:t>Weiss W. The Philadelphia Pulmonary Neoplasm Research Project //JAMA. – 1971. – Vol.216(13). – P.2119–2123.</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150</w:t>
      </w:r>
      <w:r>
        <w:rPr>
          <w:rFonts w:ascii="Times New Roman" w:hAnsi="Times New Roman"/>
          <w:sz w:val="28"/>
          <w:szCs w:val="28"/>
          <w:lang w:val="en-US"/>
        </w:rPr>
        <w:tab/>
        <w:t xml:space="preserve">Wilde J. A 10 year follow-up of semi-annual screening for early detection of lung cancer in the </w:t>
      </w:r>
      <w:r>
        <w:rPr>
          <w:rFonts w:ascii="Times New Roman" w:hAnsi="Times New Roman"/>
          <w:sz w:val="28"/>
          <w:szCs w:val="28"/>
          <w:lang w:val="en-US"/>
        </w:rPr>
        <w:t>Erfurt County, GDR //Eur Respir J. – 1989. – Vol.2(7). – P.656–662.</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151</w:t>
      </w:r>
      <w:r>
        <w:rPr>
          <w:rFonts w:ascii="Times New Roman" w:hAnsi="Times New Roman"/>
          <w:sz w:val="28"/>
          <w:szCs w:val="28"/>
          <w:lang w:val="en-US"/>
        </w:rPr>
        <w:tab/>
        <w:t>Brett GZ. The value of lung cancer detection by six-monthly chest radiographs //Thorax. – 1968. – Vol.23(4). – P.414–42</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152</w:t>
      </w:r>
      <w:r>
        <w:rPr>
          <w:rFonts w:ascii="Times New Roman" w:hAnsi="Times New Roman"/>
          <w:sz w:val="28"/>
          <w:szCs w:val="28"/>
          <w:lang w:val="en-US"/>
        </w:rPr>
        <w:tab/>
        <w:t>Sone S, Li F, Yang ZG, et al. Results of three-year mass scr</w:t>
      </w:r>
      <w:r>
        <w:rPr>
          <w:rFonts w:ascii="Times New Roman" w:hAnsi="Times New Roman"/>
          <w:sz w:val="28"/>
          <w:szCs w:val="28"/>
          <w:lang w:val="en-US"/>
        </w:rPr>
        <w:t>eening programme for lung cancer using mobile low-dose spiral computed tomography scanner //Br J Cancer. – 2001. – Vol.84(1). – P.25–32.</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153</w:t>
      </w:r>
      <w:r>
        <w:rPr>
          <w:rFonts w:ascii="Times New Roman" w:hAnsi="Times New Roman"/>
          <w:sz w:val="28"/>
          <w:szCs w:val="28"/>
          <w:lang w:val="en-US"/>
        </w:rPr>
        <w:tab/>
        <w:t>Pinsky PF, Church TR, Izmirlian G, Kramer BS. The National Lung Screening Trial: results stratified by demographics</w:t>
      </w:r>
      <w:r>
        <w:rPr>
          <w:rFonts w:ascii="Times New Roman" w:hAnsi="Times New Roman"/>
          <w:sz w:val="28"/>
          <w:szCs w:val="28"/>
          <w:lang w:val="en-US"/>
        </w:rPr>
        <w:t>, smoking history, and lung cancer histology //Cancer. – 2013. – Vol.119(22). – P.3976–3983.</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154</w:t>
      </w:r>
      <w:r>
        <w:rPr>
          <w:rFonts w:ascii="Times New Roman" w:hAnsi="Times New Roman"/>
          <w:sz w:val="28"/>
          <w:szCs w:val="28"/>
          <w:lang w:val="en-US"/>
        </w:rPr>
        <w:tab/>
        <w:t>Becker N, Motsch E, Trotter A, et al. Lung cancer mortality reduction by LDCT screening-Results from the randomized German LUSI trial / Int J Cancer. – 2020. –</w:t>
      </w:r>
      <w:r>
        <w:rPr>
          <w:rFonts w:ascii="Times New Roman" w:hAnsi="Times New Roman"/>
          <w:sz w:val="28"/>
          <w:szCs w:val="28"/>
          <w:lang w:val="en-US"/>
        </w:rPr>
        <w:t xml:space="preserve"> Vol.146. – P.1503–1513.</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155</w:t>
      </w:r>
      <w:r>
        <w:rPr>
          <w:rFonts w:ascii="Times New Roman" w:hAnsi="Times New Roman"/>
          <w:sz w:val="28"/>
          <w:szCs w:val="28"/>
          <w:lang w:val="en-US"/>
        </w:rPr>
        <w:tab/>
        <w:t>Pastorino U, Silva M, Sestini S, et al. Prolonged lung cancer screening reduced 10-year mortality in the mild trial: new confirmation of lung cancer screening efficacy //Ann Oncol. – 2019. – Vol.30. – P.1162–1169.</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156</w:t>
      </w:r>
      <w:r>
        <w:rPr>
          <w:rFonts w:ascii="Times New Roman" w:hAnsi="Times New Roman"/>
          <w:sz w:val="28"/>
          <w:szCs w:val="28"/>
          <w:lang w:val="en-US"/>
        </w:rPr>
        <w:tab/>
        <w:t>Tang W, W</w:t>
      </w:r>
      <w:r>
        <w:rPr>
          <w:rFonts w:ascii="Times New Roman" w:hAnsi="Times New Roman"/>
          <w:sz w:val="28"/>
          <w:szCs w:val="28"/>
          <w:lang w:val="en-US"/>
        </w:rPr>
        <w:t>u N, Huang Y, et al. [Results of low-dose computed tomography (LDCT) screening for early lung cancer: prevalence in 4 690 asymptomatic participants]. Zhonghua Zhong Liu Za Zhi. – 2014. – Vol.36(7). – P.549–554.</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157</w:t>
      </w:r>
      <w:r>
        <w:rPr>
          <w:rFonts w:ascii="Times New Roman" w:hAnsi="Times New Roman"/>
          <w:sz w:val="28"/>
          <w:szCs w:val="28"/>
          <w:lang w:val="en-US"/>
        </w:rPr>
        <w:tab/>
        <w:t>Nawa T. Low-dose CT screening for lung ca</w:t>
      </w:r>
      <w:r>
        <w:rPr>
          <w:rFonts w:ascii="Times New Roman" w:hAnsi="Times New Roman"/>
          <w:sz w:val="28"/>
          <w:szCs w:val="28"/>
          <w:lang w:val="en-US"/>
        </w:rPr>
        <w:t>ncer reduced lung cancer mortality in Hitachi City // Int J Radiat Biol. – 2018. – Vol.95(10). – P.1441–1446.</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158</w:t>
      </w:r>
      <w:r>
        <w:rPr>
          <w:rFonts w:ascii="Times New Roman" w:hAnsi="Times New Roman"/>
          <w:sz w:val="28"/>
          <w:szCs w:val="28"/>
          <w:lang w:val="en-US"/>
        </w:rPr>
        <w:tab/>
        <w:t>Chen CY, Chen CH, Shen TC, et al. Lung cancer screening with low-dose computed tomography: Experiences from a tertiary hospital in Taiwan // J</w:t>
      </w:r>
      <w:r>
        <w:rPr>
          <w:rFonts w:ascii="Times New Roman" w:hAnsi="Times New Roman"/>
          <w:sz w:val="28"/>
          <w:szCs w:val="28"/>
          <w:lang w:val="en-US"/>
        </w:rPr>
        <w:t xml:space="preserve"> Formos Med Assoc. – 2016. – Vol.115(3). – P.163–170.</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159</w:t>
      </w:r>
      <w:r>
        <w:rPr>
          <w:rFonts w:ascii="Times New Roman" w:hAnsi="Times New Roman"/>
          <w:sz w:val="28"/>
          <w:szCs w:val="28"/>
          <w:lang w:val="en-US"/>
        </w:rPr>
        <w:tab/>
        <w:t xml:space="preserve">Choi Y, Gil BM, Chung MH, Yoo WJ, Jung NY, Kim YH. Comparing attenuations of malignant and benign solitary pulmonary nodule using semi-automated region of interest selection on contrast-enhanced CT </w:t>
      </w:r>
      <w:r>
        <w:rPr>
          <w:rFonts w:ascii="Times New Roman" w:hAnsi="Times New Roman"/>
          <w:sz w:val="28"/>
          <w:szCs w:val="28"/>
          <w:lang w:val="en-US"/>
        </w:rPr>
        <w:t xml:space="preserve">//J Thorac Dis. – 2019. – Vol.11(6). – P.2392–2401. </w:t>
      </w:r>
    </w:p>
    <w:p w:rsidR="00A75A8D" w:rsidRDefault="008A6A51">
      <w:pPr>
        <w:pStyle w:val="af7"/>
        <w:jc w:val="both"/>
        <w:rPr>
          <w:rFonts w:ascii="Times New Roman" w:hAnsi="Times New Roman"/>
          <w:sz w:val="28"/>
          <w:szCs w:val="28"/>
        </w:rPr>
      </w:pPr>
      <w:r>
        <w:rPr>
          <w:rFonts w:ascii="Times New Roman" w:hAnsi="Times New Roman"/>
          <w:sz w:val="28"/>
          <w:szCs w:val="28"/>
          <w:lang w:val="en-US"/>
        </w:rPr>
        <w:lastRenderedPageBreak/>
        <w:t>160</w:t>
      </w:r>
      <w:r>
        <w:rPr>
          <w:rFonts w:ascii="Times New Roman" w:hAnsi="Times New Roman"/>
          <w:sz w:val="28"/>
          <w:szCs w:val="28"/>
          <w:lang w:val="en-US"/>
        </w:rPr>
        <w:tab/>
        <w:t>Global Cancer Observatory: Cancer Today. International Agency for Research on Cancer. Lyon</w:t>
      </w:r>
      <w:r>
        <w:rPr>
          <w:rFonts w:ascii="Times New Roman" w:hAnsi="Times New Roman"/>
          <w:sz w:val="28"/>
          <w:szCs w:val="28"/>
        </w:rPr>
        <w:t xml:space="preserve">, </w:t>
      </w:r>
      <w:r>
        <w:rPr>
          <w:rFonts w:ascii="Times New Roman" w:hAnsi="Times New Roman"/>
          <w:sz w:val="28"/>
          <w:szCs w:val="28"/>
          <w:lang w:val="en-US"/>
        </w:rPr>
        <w:t>France</w:t>
      </w:r>
      <w:r>
        <w:rPr>
          <w:rFonts w:ascii="Times New Roman" w:hAnsi="Times New Roman"/>
          <w:sz w:val="28"/>
          <w:szCs w:val="28"/>
        </w:rPr>
        <w:t xml:space="preserve">. - 2020. Доступно по ссылке: </w:t>
      </w:r>
      <w:hyperlink r:id="rId35" w:tgtFrame="_new" w:history="1">
        <w:r>
          <w:rPr>
            <w:rFonts w:ascii="Times New Roman" w:hAnsi="Times New Roman"/>
            <w:sz w:val="28"/>
            <w:szCs w:val="28"/>
            <w:lang w:val="en-US"/>
          </w:rPr>
          <w:t>https</w:t>
        </w:r>
        <w:r>
          <w:rPr>
            <w:rFonts w:ascii="Times New Roman" w:hAnsi="Times New Roman"/>
            <w:sz w:val="28"/>
            <w:szCs w:val="28"/>
          </w:rPr>
          <w:t>://</w:t>
        </w:r>
        <w:r>
          <w:rPr>
            <w:rFonts w:ascii="Times New Roman" w:hAnsi="Times New Roman"/>
            <w:sz w:val="28"/>
            <w:szCs w:val="28"/>
            <w:lang w:val="en-US"/>
          </w:rPr>
          <w:t>gco</w:t>
        </w:r>
        <w:r>
          <w:rPr>
            <w:rFonts w:ascii="Times New Roman" w:hAnsi="Times New Roman"/>
            <w:sz w:val="28"/>
            <w:szCs w:val="28"/>
          </w:rPr>
          <w:t>.</w:t>
        </w:r>
        <w:r>
          <w:rPr>
            <w:rFonts w:ascii="Times New Roman" w:hAnsi="Times New Roman"/>
            <w:sz w:val="28"/>
            <w:szCs w:val="28"/>
            <w:lang w:val="en-US"/>
          </w:rPr>
          <w:t>iarc</w:t>
        </w:r>
        <w:r>
          <w:rPr>
            <w:rFonts w:ascii="Times New Roman" w:hAnsi="Times New Roman"/>
            <w:sz w:val="28"/>
            <w:szCs w:val="28"/>
          </w:rPr>
          <w:t>.</w:t>
        </w:r>
        <w:r>
          <w:rPr>
            <w:rFonts w:ascii="Times New Roman" w:hAnsi="Times New Roman"/>
            <w:sz w:val="28"/>
            <w:szCs w:val="28"/>
            <w:lang w:val="en-US"/>
          </w:rPr>
          <w:t>fr</w:t>
        </w:r>
        <w:r>
          <w:rPr>
            <w:rFonts w:ascii="Times New Roman" w:hAnsi="Times New Roman"/>
            <w:sz w:val="28"/>
            <w:szCs w:val="28"/>
          </w:rPr>
          <w:t>/</w:t>
        </w:r>
        <w:r>
          <w:rPr>
            <w:rFonts w:ascii="Times New Roman" w:hAnsi="Times New Roman"/>
            <w:sz w:val="28"/>
            <w:szCs w:val="28"/>
            <w:lang w:val="en-US"/>
          </w:rPr>
          <w:t>to</w:t>
        </w:r>
        <w:r>
          <w:rPr>
            <w:rFonts w:ascii="Times New Roman" w:hAnsi="Times New Roman"/>
            <w:sz w:val="28"/>
            <w:szCs w:val="28"/>
            <w:lang w:val="en-US"/>
          </w:rPr>
          <w:t>day</w:t>
        </w:r>
      </w:hyperlink>
      <w:r>
        <w:rPr>
          <w:rFonts w:ascii="Times New Roman" w:hAnsi="Times New Roman"/>
          <w:sz w:val="28"/>
          <w:szCs w:val="28"/>
        </w:rPr>
        <w:t>.</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161</w:t>
      </w:r>
      <w:r>
        <w:rPr>
          <w:rFonts w:ascii="Times New Roman" w:hAnsi="Times New Roman"/>
          <w:sz w:val="28"/>
          <w:szCs w:val="28"/>
          <w:lang w:val="en-US"/>
        </w:rPr>
        <w:tab/>
        <w:t>Jemal A, Miller KD, Ma J, Siegel RL, Fedewa SA. Lung cancer mortality in the United States declined 38% between 1990 and 2016 //J Thorac Oncol. – 2019. – Vol.14(9). – P.1563–1572.</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162</w:t>
      </w:r>
      <w:r>
        <w:rPr>
          <w:rFonts w:ascii="Times New Roman" w:hAnsi="Times New Roman"/>
          <w:sz w:val="28"/>
          <w:szCs w:val="28"/>
          <w:lang w:val="en-US"/>
        </w:rPr>
        <w:tab/>
        <w:t>Malvezzi M, Carioli G, Bertuccio P, et al. European cancer m</w:t>
      </w:r>
      <w:r>
        <w:rPr>
          <w:rFonts w:ascii="Times New Roman" w:hAnsi="Times New Roman"/>
          <w:sz w:val="28"/>
          <w:szCs w:val="28"/>
          <w:lang w:val="en-US"/>
        </w:rPr>
        <w:t>ortality predictions for the year 2017, with focus on lung cancer //Ann Oncol. – 2017. – Vol.28. – P.1117–1123.</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163</w:t>
      </w:r>
      <w:r>
        <w:rPr>
          <w:rFonts w:ascii="Times New Roman" w:hAnsi="Times New Roman"/>
          <w:sz w:val="28"/>
          <w:szCs w:val="28"/>
          <w:lang w:val="en-US"/>
        </w:rPr>
        <w:tab/>
        <w:t>Kim JY, Lee JG, Lee SY, et al. Female sex is an independent prognostic factor in non-small cell lung cancer: A meta-analysis //J Thorac Onco</w:t>
      </w:r>
      <w:r>
        <w:rPr>
          <w:rFonts w:ascii="Times New Roman" w:hAnsi="Times New Roman"/>
          <w:sz w:val="28"/>
          <w:szCs w:val="28"/>
          <w:lang w:val="en-US"/>
        </w:rPr>
        <w:t>l. – 2020. – Vol.15(1). – P.20–33.</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164</w:t>
      </w:r>
      <w:r>
        <w:rPr>
          <w:rFonts w:ascii="Times New Roman" w:hAnsi="Times New Roman"/>
          <w:sz w:val="28"/>
          <w:szCs w:val="28"/>
          <w:lang w:val="en-US"/>
        </w:rPr>
        <w:tab/>
        <w:t>Hong Kong Cancer Registry Annual Report 2019. Hospital Authority, Hong Kong SAR - 2020. Доступно по ссылке: https://www3.ha.org.hk/cancereg/.</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165</w:t>
      </w:r>
      <w:r>
        <w:rPr>
          <w:rFonts w:ascii="Times New Roman" w:hAnsi="Times New Roman"/>
          <w:sz w:val="28"/>
          <w:szCs w:val="28"/>
          <w:lang w:val="en-US"/>
        </w:rPr>
        <w:tab/>
        <w:t xml:space="preserve">Huang J, Deng Y, Tin MS, Elcarte E, Withers M, Wong MCS. Distribution, </w:t>
      </w:r>
      <w:r>
        <w:rPr>
          <w:rFonts w:ascii="Times New Roman" w:hAnsi="Times New Roman"/>
          <w:sz w:val="28"/>
          <w:szCs w:val="28"/>
          <w:lang w:val="en-US"/>
        </w:rPr>
        <w:t xml:space="preserve">Risk Factors, and Temporal Trends for Lung Cancer Incidence and Mortality: A Global Analysis //Chest. – 2022. – Vol.161(4). – P.1101–1111. </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166</w:t>
      </w:r>
      <w:r>
        <w:rPr>
          <w:rFonts w:ascii="Times New Roman" w:hAnsi="Times New Roman"/>
          <w:sz w:val="28"/>
          <w:szCs w:val="28"/>
          <w:lang w:val="en-US"/>
        </w:rPr>
        <w:tab/>
        <w:t xml:space="preserve">Kim AS, Ko HJ, Kwon JH, Lee JM. Exposure to secondhand smoke and risk of cancer in never smokers: a </w:t>
      </w:r>
      <w:r>
        <w:rPr>
          <w:rFonts w:ascii="Times New Roman" w:hAnsi="Times New Roman"/>
          <w:sz w:val="28"/>
          <w:szCs w:val="28"/>
          <w:lang w:val="en-US"/>
        </w:rPr>
        <w:t>meta-analysis of epidemiologic studies //Int J Environ Res Public Health. – 2018. – Vol.15. – P.1981.</w:t>
      </w:r>
    </w:p>
    <w:p w:rsidR="00A75A8D" w:rsidRDefault="008A6A51">
      <w:pPr>
        <w:pStyle w:val="af7"/>
        <w:jc w:val="both"/>
        <w:rPr>
          <w:rFonts w:ascii="Times New Roman" w:hAnsi="Times New Roman"/>
          <w:sz w:val="28"/>
          <w:szCs w:val="28"/>
        </w:rPr>
      </w:pPr>
      <w:r>
        <w:rPr>
          <w:rFonts w:ascii="Times New Roman" w:hAnsi="Times New Roman"/>
          <w:sz w:val="28"/>
          <w:szCs w:val="28"/>
          <w:lang w:val="en-US"/>
        </w:rPr>
        <w:t>167</w:t>
      </w:r>
      <w:r>
        <w:rPr>
          <w:rFonts w:ascii="Times New Roman" w:hAnsi="Times New Roman"/>
          <w:sz w:val="28"/>
          <w:szCs w:val="28"/>
          <w:lang w:val="en-US"/>
        </w:rPr>
        <w:tab/>
        <w:t xml:space="preserve">American Cancer Society Key Statistics for Lung Cancer. - 2021. </w:t>
      </w:r>
      <w:r>
        <w:rPr>
          <w:rFonts w:ascii="Times New Roman" w:hAnsi="Times New Roman"/>
          <w:sz w:val="28"/>
          <w:szCs w:val="28"/>
        </w:rPr>
        <w:t xml:space="preserve">Доступно по ссылке: </w:t>
      </w:r>
      <w:hyperlink r:id="rId36" w:tgtFrame="_new" w:history="1">
        <w:r>
          <w:rPr>
            <w:rFonts w:ascii="Times New Roman" w:hAnsi="Times New Roman"/>
            <w:sz w:val="28"/>
            <w:szCs w:val="28"/>
            <w:lang w:val="en-US"/>
          </w:rPr>
          <w:t>https</w:t>
        </w:r>
        <w:r>
          <w:rPr>
            <w:rFonts w:ascii="Times New Roman" w:hAnsi="Times New Roman"/>
            <w:sz w:val="28"/>
            <w:szCs w:val="28"/>
          </w:rPr>
          <w:t>://</w:t>
        </w:r>
        <w:r>
          <w:rPr>
            <w:rFonts w:ascii="Times New Roman" w:hAnsi="Times New Roman"/>
            <w:sz w:val="28"/>
            <w:szCs w:val="28"/>
            <w:lang w:val="en-US"/>
          </w:rPr>
          <w:t>www</w:t>
        </w:r>
        <w:r>
          <w:rPr>
            <w:rFonts w:ascii="Times New Roman" w:hAnsi="Times New Roman"/>
            <w:sz w:val="28"/>
            <w:szCs w:val="28"/>
          </w:rPr>
          <w:t>.</w:t>
        </w:r>
        <w:r>
          <w:rPr>
            <w:rFonts w:ascii="Times New Roman" w:hAnsi="Times New Roman"/>
            <w:sz w:val="28"/>
            <w:szCs w:val="28"/>
            <w:lang w:val="en-US"/>
          </w:rPr>
          <w:t>cancer</w:t>
        </w:r>
        <w:r>
          <w:rPr>
            <w:rFonts w:ascii="Times New Roman" w:hAnsi="Times New Roman"/>
            <w:sz w:val="28"/>
            <w:szCs w:val="28"/>
          </w:rPr>
          <w:t>.</w:t>
        </w:r>
        <w:r>
          <w:rPr>
            <w:rFonts w:ascii="Times New Roman" w:hAnsi="Times New Roman"/>
            <w:sz w:val="28"/>
            <w:szCs w:val="28"/>
            <w:lang w:val="en-US"/>
          </w:rPr>
          <w:t>org</w:t>
        </w:r>
        <w:r>
          <w:rPr>
            <w:rFonts w:ascii="Times New Roman" w:hAnsi="Times New Roman"/>
            <w:sz w:val="28"/>
            <w:szCs w:val="28"/>
          </w:rPr>
          <w:t>/</w:t>
        </w:r>
        <w:r>
          <w:rPr>
            <w:rFonts w:ascii="Times New Roman" w:hAnsi="Times New Roman"/>
            <w:sz w:val="28"/>
            <w:szCs w:val="28"/>
            <w:lang w:val="en-US"/>
          </w:rPr>
          <w:t>cancer</w:t>
        </w:r>
        <w:r>
          <w:rPr>
            <w:rFonts w:ascii="Times New Roman" w:hAnsi="Times New Roman"/>
            <w:sz w:val="28"/>
            <w:szCs w:val="28"/>
          </w:rPr>
          <w:t>/</w:t>
        </w:r>
        <w:r>
          <w:rPr>
            <w:rFonts w:ascii="Times New Roman" w:hAnsi="Times New Roman"/>
            <w:sz w:val="28"/>
            <w:szCs w:val="28"/>
            <w:lang w:val="en-US"/>
          </w:rPr>
          <w:t>lung</w:t>
        </w:r>
        <w:r>
          <w:rPr>
            <w:rFonts w:ascii="Times New Roman" w:hAnsi="Times New Roman"/>
            <w:sz w:val="28"/>
            <w:szCs w:val="28"/>
          </w:rPr>
          <w:t>-</w:t>
        </w:r>
        <w:r>
          <w:rPr>
            <w:rFonts w:ascii="Times New Roman" w:hAnsi="Times New Roman"/>
            <w:sz w:val="28"/>
            <w:szCs w:val="28"/>
            <w:lang w:val="en-US"/>
          </w:rPr>
          <w:t>cancer</w:t>
        </w:r>
        <w:r>
          <w:rPr>
            <w:rFonts w:ascii="Times New Roman" w:hAnsi="Times New Roman"/>
            <w:sz w:val="28"/>
            <w:szCs w:val="28"/>
          </w:rPr>
          <w:t>/</w:t>
        </w:r>
        <w:r>
          <w:rPr>
            <w:rFonts w:ascii="Times New Roman" w:hAnsi="Times New Roman"/>
            <w:sz w:val="28"/>
            <w:szCs w:val="28"/>
            <w:lang w:val="en-US"/>
          </w:rPr>
          <w:t>about</w:t>
        </w:r>
        <w:r>
          <w:rPr>
            <w:rFonts w:ascii="Times New Roman" w:hAnsi="Times New Roman"/>
            <w:sz w:val="28"/>
            <w:szCs w:val="28"/>
          </w:rPr>
          <w:t>/</w:t>
        </w:r>
        <w:r>
          <w:rPr>
            <w:rFonts w:ascii="Times New Roman" w:hAnsi="Times New Roman"/>
            <w:sz w:val="28"/>
            <w:szCs w:val="28"/>
            <w:lang w:val="en-US"/>
          </w:rPr>
          <w:t>key</w:t>
        </w:r>
        <w:r>
          <w:rPr>
            <w:rFonts w:ascii="Times New Roman" w:hAnsi="Times New Roman"/>
            <w:sz w:val="28"/>
            <w:szCs w:val="28"/>
          </w:rPr>
          <w:t>-</w:t>
        </w:r>
        <w:r>
          <w:rPr>
            <w:rFonts w:ascii="Times New Roman" w:hAnsi="Times New Roman"/>
            <w:sz w:val="28"/>
            <w:szCs w:val="28"/>
            <w:lang w:val="en-US"/>
          </w:rPr>
          <w:t>statistics</w:t>
        </w:r>
        <w:r>
          <w:rPr>
            <w:rFonts w:ascii="Times New Roman" w:hAnsi="Times New Roman"/>
            <w:sz w:val="28"/>
            <w:szCs w:val="28"/>
          </w:rPr>
          <w:t>.</w:t>
        </w:r>
        <w:r>
          <w:rPr>
            <w:rFonts w:ascii="Times New Roman" w:hAnsi="Times New Roman"/>
            <w:sz w:val="28"/>
            <w:szCs w:val="28"/>
            <w:lang w:val="en-US"/>
          </w:rPr>
          <w:t>html</w:t>
        </w:r>
      </w:hyperlink>
      <w:r>
        <w:rPr>
          <w:rFonts w:ascii="Times New Roman" w:hAnsi="Times New Roman"/>
          <w:sz w:val="28"/>
          <w:szCs w:val="28"/>
        </w:rPr>
        <w:t>.</w:t>
      </w:r>
    </w:p>
    <w:p w:rsidR="00A75A8D" w:rsidRDefault="008A6A51">
      <w:pPr>
        <w:pStyle w:val="af7"/>
        <w:jc w:val="both"/>
        <w:rPr>
          <w:rFonts w:ascii="Times New Roman" w:hAnsi="Times New Roman"/>
          <w:sz w:val="28"/>
          <w:szCs w:val="28"/>
        </w:rPr>
      </w:pPr>
      <w:r>
        <w:rPr>
          <w:rFonts w:ascii="Times New Roman" w:hAnsi="Times New Roman"/>
          <w:sz w:val="28"/>
          <w:szCs w:val="28"/>
          <w:lang w:val="en-US"/>
        </w:rPr>
        <w:t>168</w:t>
      </w:r>
      <w:r>
        <w:rPr>
          <w:rFonts w:ascii="Times New Roman" w:hAnsi="Times New Roman"/>
          <w:sz w:val="28"/>
          <w:szCs w:val="28"/>
          <w:lang w:val="en-US"/>
        </w:rPr>
        <w:tab/>
        <w:t xml:space="preserve">Cancer Research UK Lung cancer statistics. - 2021. </w:t>
      </w:r>
      <w:r>
        <w:rPr>
          <w:rFonts w:ascii="Times New Roman" w:hAnsi="Times New Roman"/>
          <w:sz w:val="28"/>
          <w:szCs w:val="28"/>
        </w:rPr>
        <w:t>Доступно по ссылке:</w:t>
      </w:r>
      <w:hyperlink r:id="rId37" w:anchor="heading-One" w:tgtFrame="_new" w:history="1">
        <w:r>
          <w:rPr>
            <w:rFonts w:ascii="Times New Roman" w:hAnsi="Times New Roman"/>
            <w:sz w:val="28"/>
            <w:szCs w:val="28"/>
            <w:lang w:val="en-US"/>
          </w:rPr>
          <w:t>https</w:t>
        </w:r>
        <w:r>
          <w:rPr>
            <w:rFonts w:ascii="Times New Roman" w:hAnsi="Times New Roman"/>
            <w:sz w:val="28"/>
            <w:szCs w:val="28"/>
          </w:rPr>
          <w:t>://</w:t>
        </w:r>
        <w:r>
          <w:rPr>
            <w:rFonts w:ascii="Times New Roman" w:hAnsi="Times New Roman"/>
            <w:sz w:val="28"/>
            <w:szCs w:val="28"/>
            <w:lang w:val="en-US"/>
          </w:rPr>
          <w:t>www</w:t>
        </w:r>
        <w:r>
          <w:rPr>
            <w:rFonts w:ascii="Times New Roman" w:hAnsi="Times New Roman"/>
            <w:sz w:val="28"/>
            <w:szCs w:val="28"/>
          </w:rPr>
          <w:t>.</w:t>
        </w:r>
        <w:r>
          <w:rPr>
            <w:rFonts w:ascii="Times New Roman" w:hAnsi="Times New Roman"/>
            <w:sz w:val="28"/>
            <w:szCs w:val="28"/>
            <w:lang w:val="en-US"/>
          </w:rPr>
          <w:t>cancerresearchuk</w:t>
        </w:r>
        <w:r>
          <w:rPr>
            <w:rFonts w:ascii="Times New Roman" w:hAnsi="Times New Roman"/>
            <w:sz w:val="28"/>
            <w:szCs w:val="28"/>
          </w:rPr>
          <w:t>.</w:t>
        </w:r>
        <w:r>
          <w:rPr>
            <w:rFonts w:ascii="Times New Roman" w:hAnsi="Times New Roman"/>
            <w:sz w:val="28"/>
            <w:szCs w:val="28"/>
            <w:lang w:val="en-US"/>
          </w:rPr>
          <w:t>org</w:t>
        </w:r>
        <w:r>
          <w:rPr>
            <w:rFonts w:ascii="Times New Roman" w:hAnsi="Times New Roman"/>
            <w:sz w:val="28"/>
            <w:szCs w:val="28"/>
          </w:rPr>
          <w:t>/</w:t>
        </w:r>
        <w:r>
          <w:rPr>
            <w:rFonts w:ascii="Times New Roman" w:hAnsi="Times New Roman"/>
            <w:sz w:val="28"/>
            <w:szCs w:val="28"/>
            <w:lang w:val="en-US"/>
          </w:rPr>
          <w:t>healthprofessional</w:t>
        </w:r>
        <w:r>
          <w:rPr>
            <w:rFonts w:ascii="Times New Roman" w:hAnsi="Times New Roman"/>
            <w:sz w:val="28"/>
            <w:szCs w:val="28"/>
          </w:rPr>
          <w:t>/</w:t>
        </w:r>
        <w:r>
          <w:rPr>
            <w:rFonts w:ascii="Times New Roman" w:hAnsi="Times New Roman"/>
            <w:sz w:val="28"/>
            <w:szCs w:val="28"/>
            <w:lang w:val="en-US"/>
          </w:rPr>
          <w:t>cancerstatistics</w:t>
        </w:r>
        <w:r>
          <w:rPr>
            <w:rFonts w:ascii="Times New Roman" w:hAnsi="Times New Roman"/>
            <w:sz w:val="28"/>
            <w:szCs w:val="28"/>
          </w:rPr>
          <w:t>/</w:t>
        </w:r>
        <w:r>
          <w:rPr>
            <w:rFonts w:ascii="Times New Roman" w:hAnsi="Times New Roman"/>
            <w:sz w:val="28"/>
            <w:szCs w:val="28"/>
            <w:lang w:val="en-US"/>
          </w:rPr>
          <w:t>statistics</w:t>
        </w:r>
        <w:r>
          <w:rPr>
            <w:rFonts w:ascii="Times New Roman" w:hAnsi="Times New Roman"/>
            <w:sz w:val="28"/>
            <w:szCs w:val="28"/>
          </w:rPr>
          <w:t>-</w:t>
        </w:r>
        <w:r>
          <w:rPr>
            <w:rFonts w:ascii="Times New Roman" w:hAnsi="Times New Roman"/>
            <w:sz w:val="28"/>
            <w:szCs w:val="28"/>
            <w:lang w:val="en-US"/>
          </w:rPr>
          <w:t>by</w:t>
        </w:r>
        <w:r>
          <w:rPr>
            <w:rFonts w:ascii="Times New Roman" w:hAnsi="Times New Roman"/>
            <w:sz w:val="28"/>
            <w:szCs w:val="28"/>
          </w:rPr>
          <w:t>-</w:t>
        </w:r>
        <w:r>
          <w:rPr>
            <w:rFonts w:ascii="Times New Roman" w:hAnsi="Times New Roman"/>
            <w:sz w:val="28"/>
            <w:szCs w:val="28"/>
            <w:lang w:val="en-US"/>
          </w:rPr>
          <w:t>cancer</w:t>
        </w:r>
        <w:r>
          <w:rPr>
            <w:rFonts w:ascii="Times New Roman" w:hAnsi="Times New Roman"/>
            <w:sz w:val="28"/>
            <w:szCs w:val="28"/>
          </w:rPr>
          <w:t>-</w:t>
        </w:r>
        <w:r>
          <w:rPr>
            <w:rFonts w:ascii="Times New Roman" w:hAnsi="Times New Roman"/>
            <w:sz w:val="28"/>
            <w:szCs w:val="28"/>
            <w:lang w:val="en-US"/>
          </w:rPr>
          <w:t>type</w:t>
        </w:r>
        <w:r>
          <w:rPr>
            <w:rFonts w:ascii="Times New Roman" w:hAnsi="Times New Roman"/>
            <w:sz w:val="28"/>
            <w:szCs w:val="28"/>
          </w:rPr>
          <w:t>/</w:t>
        </w:r>
        <w:r>
          <w:rPr>
            <w:rFonts w:ascii="Times New Roman" w:hAnsi="Times New Roman"/>
            <w:sz w:val="28"/>
            <w:szCs w:val="28"/>
            <w:lang w:val="en-US"/>
          </w:rPr>
          <w:t>lung</w:t>
        </w:r>
        <w:r>
          <w:rPr>
            <w:rFonts w:ascii="Times New Roman" w:hAnsi="Times New Roman"/>
            <w:sz w:val="28"/>
            <w:szCs w:val="28"/>
          </w:rPr>
          <w:t>-</w:t>
        </w:r>
        <w:r>
          <w:rPr>
            <w:rFonts w:ascii="Times New Roman" w:hAnsi="Times New Roman"/>
            <w:sz w:val="28"/>
            <w:szCs w:val="28"/>
            <w:lang w:val="en-US"/>
          </w:rPr>
          <w:t>cancer</w:t>
        </w:r>
        <w:r>
          <w:rPr>
            <w:rFonts w:ascii="Times New Roman" w:hAnsi="Times New Roman"/>
            <w:sz w:val="28"/>
            <w:szCs w:val="28"/>
          </w:rPr>
          <w:t>#</w:t>
        </w:r>
        <w:r>
          <w:rPr>
            <w:rFonts w:ascii="Times New Roman" w:hAnsi="Times New Roman"/>
            <w:sz w:val="28"/>
            <w:szCs w:val="28"/>
            <w:lang w:val="en-US"/>
          </w:rPr>
          <w:t>heading</w:t>
        </w:r>
        <w:r>
          <w:rPr>
            <w:rFonts w:ascii="Times New Roman" w:hAnsi="Times New Roman"/>
            <w:sz w:val="28"/>
            <w:szCs w:val="28"/>
          </w:rPr>
          <w:t>-</w:t>
        </w:r>
        <w:r>
          <w:rPr>
            <w:rFonts w:ascii="Times New Roman" w:hAnsi="Times New Roman"/>
            <w:sz w:val="28"/>
            <w:szCs w:val="28"/>
            <w:lang w:val="en-US"/>
          </w:rPr>
          <w:t>One</w:t>
        </w:r>
      </w:hyperlink>
      <w:r>
        <w:rPr>
          <w:rFonts w:ascii="Times New Roman" w:hAnsi="Times New Roman"/>
          <w:sz w:val="28"/>
          <w:szCs w:val="28"/>
        </w:rPr>
        <w:t>.</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169</w:t>
      </w:r>
      <w:r>
        <w:rPr>
          <w:rFonts w:ascii="Times New Roman" w:hAnsi="Times New Roman"/>
          <w:sz w:val="28"/>
          <w:szCs w:val="28"/>
          <w:lang w:val="en-US"/>
        </w:rPr>
        <w:tab/>
        <w:t>Nooreldeen R, Bach H. Current and Future Development in Lung Cancer Diagnosis // Int J Mol Sci. – 2021. – Vol.22. – P.8661.</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170</w:t>
      </w:r>
      <w:r>
        <w:rPr>
          <w:rFonts w:ascii="Times New Roman" w:hAnsi="Times New Roman"/>
          <w:sz w:val="28"/>
          <w:szCs w:val="28"/>
          <w:lang w:val="en-US"/>
        </w:rPr>
        <w:tab/>
        <w:t>Blandin Knight S, Crosbie PA, Balata H, Chudziak J, Hussell T, Dive C. Progress and Prospects of Early Detec</w:t>
      </w:r>
      <w:r>
        <w:rPr>
          <w:rFonts w:ascii="Times New Roman" w:hAnsi="Times New Roman"/>
          <w:sz w:val="28"/>
          <w:szCs w:val="28"/>
          <w:lang w:val="en-US"/>
        </w:rPr>
        <w:t>tion in Lung Cancer // Open Biol. – 2017. – Vol.7. – P.170070.</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171</w:t>
      </w:r>
      <w:r>
        <w:rPr>
          <w:rFonts w:ascii="Times New Roman" w:hAnsi="Times New Roman"/>
          <w:sz w:val="28"/>
          <w:szCs w:val="28"/>
          <w:lang w:val="en-US"/>
        </w:rPr>
        <w:tab/>
        <w:t>Bryan S, Masoud H, Weir HK, Woods R, Lockwood G, Smith L, Brierley J, Gospodarowicz M, Badets N. Cancer in Canada: Stage at diagnosis // Health Rep. – 2018. – Vol.29(12). – P.21–25.</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172</w:t>
      </w:r>
      <w:r>
        <w:rPr>
          <w:rFonts w:ascii="Times New Roman" w:hAnsi="Times New Roman"/>
          <w:sz w:val="28"/>
          <w:szCs w:val="28"/>
          <w:lang w:val="en-US"/>
        </w:rPr>
        <w:tab/>
        <w:t>Sie</w:t>
      </w:r>
      <w:r>
        <w:rPr>
          <w:rFonts w:ascii="Times New Roman" w:hAnsi="Times New Roman"/>
          <w:sz w:val="28"/>
          <w:szCs w:val="28"/>
          <w:lang w:val="en-US"/>
        </w:rPr>
        <w:t>gel RL, Miller KD, Fuchs HE, Jemal A. Cancer statistics, 2022 //CA Cancer J Clin. – 2022. – Vol.72. – P.7–33.</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173</w:t>
      </w:r>
      <w:r>
        <w:rPr>
          <w:rFonts w:ascii="Times New Roman" w:hAnsi="Times New Roman"/>
          <w:sz w:val="28"/>
          <w:szCs w:val="28"/>
          <w:lang w:val="en-US"/>
        </w:rPr>
        <w:tab/>
        <w:t>Manser R, Irving L, Stone C, et al. Screening for Lung Cancer // Cochrane Database Syst Rev. – 2013:CD001991.</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174</w:t>
      </w:r>
      <w:r>
        <w:rPr>
          <w:rFonts w:ascii="Times New Roman" w:hAnsi="Times New Roman"/>
          <w:sz w:val="28"/>
          <w:szCs w:val="28"/>
          <w:lang w:val="en-US"/>
        </w:rPr>
        <w:tab/>
        <w:t xml:space="preserve">Jonas DE, Reuland DS, Reddy </w:t>
      </w:r>
      <w:r>
        <w:rPr>
          <w:rFonts w:ascii="Times New Roman" w:hAnsi="Times New Roman"/>
          <w:sz w:val="28"/>
          <w:szCs w:val="28"/>
          <w:lang w:val="en-US"/>
        </w:rPr>
        <w:t xml:space="preserve">SM, et al. Screening for lung cancer with low-dose computed tomography // JAMA. – 2021. – Vol.325(10). – P.971. </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175</w:t>
      </w:r>
      <w:r>
        <w:rPr>
          <w:rFonts w:ascii="Times New Roman" w:hAnsi="Times New Roman"/>
          <w:sz w:val="28"/>
          <w:szCs w:val="28"/>
          <w:lang w:val="en-US"/>
        </w:rPr>
        <w:tab/>
        <w:t>Thandra KC, Barsouk A, Saginala K, Aluru JS, Barsouk A. Epidemiology of lung cancer // Contemp Oncol (Pozn). – 2021. – Vol.25(1). – P.45–52</w:t>
      </w:r>
      <w:r>
        <w:rPr>
          <w:rFonts w:ascii="Times New Roman" w:hAnsi="Times New Roman"/>
          <w:sz w:val="28"/>
          <w:szCs w:val="28"/>
          <w:lang w:val="en-US"/>
        </w:rPr>
        <w:t>.</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176</w:t>
      </w:r>
      <w:r>
        <w:rPr>
          <w:rFonts w:ascii="Times New Roman" w:hAnsi="Times New Roman"/>
          <w:sz w:val="28"/>
          <w:szCs w:val="28"/>
          <w:lang w:val="en-US"/>
        </w:rPr>
        <w:tab/>
        <w:t>Thandra KC, Barsouk A, Saginala K, Aluru JS, Barsouk A. Epidemiology of lung cancer // Contemp Oncol (Pozn). – 2021. – Vol.25(1). – P.45–52.</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lastRenderedPageBreak/>
        <w:t>177</w:t>
      </w:r>
      <w:r>
        <w:rPr>
          <w:rFonts w:ascii="Times New Roman" w:hAnsi="Times New Roman"/>
          <w:sz w:val="28"/>
          <w:szCs w:val="28"/>
          <w:lang w:val="en-US"/>
        </w:rPr>
        <w:tab/>
        <w:t>Zhou X, Li JW, Chen Z, et al. Dependency of human and murine LKB1-inactivated lung cancer on aberrant CRT</w:t>
      </w:r>
      <w:r>
        <w:rPr>
          <w:rFonts w:ascii="Times New Roman" w:hAnsi="Times New Roman"/>
          <w:sz w:val="28"/>
          <w:szCs w:val="28"/>
          <w:lang w:val="en-US"/>
        </w:rPr>
        <w:t>CCREB activation //eLife. – 2021. – Vol.10:e66095</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178</w:t>
      </w:r>
      <w:r>
        <w:rPr>
          <w:rFonts w:ascii="Times New Roman" w:hAnsi="Times New Roman"/>
          <w:sz w:val="28"/>
          <w:szCs w:val="28"/>
          <w:lang w:val="en-US"/>
        </w:rPr>
        <w:tab/>
        <w:t>Kang HR, Cho JY, Lee SH, et al. Role of low-dose computerized tomography in lung cancer screening among never-smokers //J Thorac Oncol. – 2018.</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179</w:t>
      </w:r>
      <w:r>
        <w:rPr>
          <w:rFonts w:ascii="Times New Roman" w:hAnsi="Times New Roman"/>
          <w:sz w:val="28"/>
          <w:szCs w:val="28"/>
          <w:lang w:val="en-US"/>
        </w:rPr>
        <w:tab/>
        <w:t>Malhotra J, Malvezzi M, Negri E, La Vecchia C, Boffett</w:t>
      </w:r>
      <w:r>
        <w:rPr>
          <w:rFonts w:ascii="Times New Roman" w:hAnsi="Times New Roman"/>
          <w:sz w:val="28"/>
          <w:szCs w:val="28"/>
          <w:lang w:val="en-US"/>
        </w:rPr>
        <w:t>a P. Risk factors for lung cancer worldwide //Eur Respir J. – 2016. – Vol.48(3). – P.889–902.</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180</w:t>
      </w:r>
      <w:r>
        <w:rPr>
          <w:rFonts w:ascii="Times New Roman" w:hAnsi="Times New Roman"/>
          <w:sz w:val="28"/>
          <w:szCs w:val="28"/>
          <w:lang w:val="en-US"/>
        </w:rPr>
        <w:tab/>
        <w:t>Lissowska J, Foretova L, Dąbek J, et al. Family history and lung cancer risk: international multicentre case-control study in Eastern and Central Europe and m</w:t>
      </w:r>
      <w:r>
        <w:rPr>
          <w:rFonts w:ascii="Times New Roman" w:hAnsi="Times New Roman"/>
          <w:sz w:val="28"/>
          <w:szCs w:val="28"/>
          <w:lang w:val="en-US"/>
        </w:rPr>
        <w:t>eta-analyses //Cancer Causes Control. – 2015. – Vol.21. – P.1091–1104.</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181</w:t>
      </w:r>
      <w:r>
        <w:rPr>
          <w:rFonts w:ascii="Times New Roman" w:hAnsi="Times New Roman"/>
          <w:sz w:val="28"/>
          <w:szCs w:val="28"/>
          <w:lang w:val="en-US"/>
        </w:rPr>
        <w:tab/>
        <w:t>Kanwal M, Ding XJ, Cao Y. Familial risk for lung cancer //Oncol Lett. – 2017. – Vol.13. – P.535–542.</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182</w:t>
      </w:r>
      <w:r>
        <w:rPr>
          <w:rFonts w:ascii="Times New Roman" w:hAnsi="Times New Roman"/>
          <w:sz w:val="28"/>
          <w:szCs w:val="28"/>
          <w:lang w:val="en-US"/>
        </w:rPr>
        <w:tab/>
        <w:t xml:space="preserve">Li N, Zhai Z, Zheng Y, Lin S, Deng Y, Xiang G. Association of 13 </w:t>
      </w:r>
      <w:r>
        <w:rPr>
          <w:rFonts w:ascii="Times New Roman" w:hAnsi="Times New Roman"/>
          <w:sz w:val="28"/>
          <w:szCs w:val="28"/>
          <w:lang w:val="en-US"/>
        </w:rPr>
        <w:t>occupational carcinogens in patients with cancer, individually and collectively, 1990-2017 //JAMA Netw Open. – 2021. – Vol.4(2):e2037530.</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183</w:t>
      </w:r>
      <w:r>
        <w:rPr>
          <w:rFonts w:ascii="Times New Roman" w:hAnsi="Times New Roman"/>
          <w:sz w:val="28"/>
          <w:szCs w:val="28"/>
          <w:lang w:val="en-US"/>
        </w:rPr>
        <w:tab/>
        <w:t>Yıldırım-Ozturk EN, Ozturk M. Trends and projections of mortality attributed to occupational neoplasms and occupat</w:t>
      </w:r>
      <w:r>
        <w:rPr>
          <w:rFonts w:ascii="Times New Roman" w:hAnsi="Times New Roman"/>
          <w:sz w:val="28"/>
          <w:szCs w:val="28"/>
          <w:lang w:val="en-US"/>
        </w:rPr>
        <w:t>ional tracheal, bronchus, and lung cancer in the world, G7 countries and Turkey //Iran J Public Health. – 2024. – Vol.53(11). – P.2473–2481.</w:t>
      </w:r>
    </w:p>
    <w:p w:rsidR="00A75A8D" w:rsidRDefault="008A6A51">
      <w:pPr>
        <w:pStyle w:val="af7"/>
        <w:jc w:val="both"/>
        <w:rPr>
          <w:rFonts w:ascii="Times New Roman" w:hAnsi="Times New Roman"/>
          <w:sz w:val="28"/>
          <w:szCs w:val="28"/>
        </w:rPr>
      </w:pPr>
      <w:r>
        <w:rPr>
          <w:rFonts w:ascii="Times New Roman" w:hAnsi="Times New Roman"/>
          <w:sz w:val="28"/>
          <w:szCs w:val="28"/>
          <w:lang w:val="en-US"/>
        </w:rPr>
        <w:t>184</w:t>
      </w:r>
      <w:r>
        <w:rPr>
          <w:rFonts w:ascii="Times New Roman" w:hAnsi="Times New Roman"/>
          <w:sz w:val="28"/>
          <w:szCs w:val="28"/>
          <w:lang w:val="en-US"/>
        </w:rPr>
        <w:tab/>
        <w:t xml:space="preserve">Nuclear Association. Uranium and nuclear power in Kazakhstan. - 2021. </w:t>
      </w:r>
      <w:r>
        <w:rPr>
          <w:rFonts w:ascii="Times New Roman" w:hAnsi="Times New Roman"/>
          <w:sz w:val="28"/>
          <w:szCs w:val="28"/>
        </w:rPr>
        <w:t xml:space="preserve">Доступно по ссылке: </w:t>
      </w:r>
      <w:hyperlink r:id="rId38" w:tgtFrame="_new" w:history="1">
        <w:r>
          <w:rPr>
            <w:rFonts w:ascii="Times New Roman" w:hAnsi="Times New Roman"/>
            <w:sz w:val="28"/>
            <w:szCs w:val="28"/>
            <w:lang w:val="en-US"/>
          </w:rPr>
          <w:t>https</w:t>
        </w:r>
        <w:r>
          <w:rPr>
            <w:rFonts w:ascii="Times New Roman" w:hAnsi="Times New Roman"/>
            <w:sz w:val="28"/>
            <w:szCs w:val="28"/>
          </w:rPr>
          <w:t>://</w:t>
        </w:r>
        <w:r>
          <w:rPr>
            <w:rFonts w:ascii="Times New Roman" w:hAnsi="Times New Roman"/>
            <w:sz w:val="28"/>
            <w:szCs w:val="28"/>
            <w:lang w:val="en-US"/>
          </w:rPr>
          <w:t>world</w:t>
        </w:r>
        <w:r>
          <w:rPr>
            <w:rFonts w:ascii="Times New Roman" w:hAnsi="Times New Roman"/>
            <w:sz w:val="28"/>
            <w:szCs w:val="28"/>
          </w:rPr>
          <w:t>-</w:t>
        </w:r>
        <w:r>
          <w:rPr>
            <w:rFonts w:ascii="Times New Roman" w:hAnsi="Times New Roman"/>
            <w:sz w:val="28"/>
            <w:szCs w:val="28"/>
            <w:lang w:val="en-US"/>
          </w:rPr>
          <w:t>nuclear</w:t>
        </w:r>
        <w:r>
          <w:rPr>
            <w:rFonts w:ascii="Times New Roman" w:hAnsi="Times New Roman"/>
            <w:sz w:val="28"/>
            <w:szCs w:val="28"/>
          </w:rPr>
          <w:t>.</w:t>
        </w:r>
        <w:r>
          <w:rPr>
            <w:rFonts w:ascii="Times New Roman" w:hAnsi="Times New Roman"/>
            <w:sz w:val="28"/>
            <w:szCs w:val="28"/>
            <w:lang w:val="en-US"/>
          </w:rPr>
          <w:t>org</w:t>
        </w:r>
        <w:r>
          <w:rPr>
            <w:rFonts w:ascii="Times New Roman" w:hAnsi="Times New Roman"/>
            <w:sz w:val="28"/>
            <w:szCs w:val="28"/>
          </w:rPr>
          <w:t>/</w:t>
        </w:r>
        <w:r>
          <w:rPr>
            <w:rFonts w:ascii="Times New Roman" w:hAnsi="Times New Roman"/>
            <w:sz w:val="28"/>
            <w:szCs w:val="28"/>
            <w:lang w:val="en-US"/>
          </w:rPr>
          <w:t>information</w:t>
        </w:r>
        <w:r>
          <w:rPr>
            <w:rFonts w:ascii="Times New Roman" w:hAnsi="Times New Roman"/>
            <w:sz w:val="28"/>
            <w:szCs w:val="28"/>
          </w:rPr>
          <w:t>-</w:t>
        </w:r>
        <w:r>
          <w:rPr>
            <w:rFonts w:ascii="Times New Roman" w:hAnsi="Times New Roman"/>
            <w:sz w:val="28"/>
            <w:szCs w:val="28"/>
            <w:lang w:val="en-US"/>
          </w:rPr>
          <w:t>library</w:t>
        </w:r>
        <w:r>
          <w:rPr>
            <w:rFonts w:ascii="Times New Roman" w:hAnsi="Times New Roman"/>
            <w:sz w:val="28"/>
            <w:szCs w:val="28"/>
          </w:rPr>
          <w:t>/</w:t>
        </w:r>
        <w:r>
          <w:rPr>
            <w:rFonts w:ascii="Times New Roman" w:hAnsi="Times New Roman"/>
            <w:sz w:val="28"/>
            <w:szCs w:val="28"/>
            <w:lang w:val="en-US"/>
          </w:rPr>
          <w:t>country</w:t>
        </w:r>
        <w:r>
          <w:rPr>
            <w:rFonts w:ascii="Times New Roman" w:hAnsi="Times New Roman"/>
            <w:sz w:val="28"/>
            <w:szCs w:val="28"/>
          </w:rPr>
          <w:t>-</w:t>
        </w:r>
        <w:r>
          <w:rPr>
            <w:rFonts w:ascii="Times New Roman" w:hAnsi="Times New Roman"/>
            <w:sz w:val="28"/>
            <w:szCs w:val="28"/>
            <w:lang w:val="en-US"/>
          </w:rPr>
          <w:t>profiles</w:t>
        </w:r>
        <w:r>
          <w:rPr>
            <w:rFonts w:ascii="Times New Roman" w:hAnsi="Times New Roman"/>
            <w:sz w:val="28"/>
            <w:szCs w:val="28"/>
          </w:rPr>
          <w:t>/</w:t>
        </w:r>
        <w:r>
          <w:rPr>
            <w:rFonts w:ascii="Times New Roman" w:hAnsi="Times New Roman"/>
            <w:sz w:val="28"/>
            <w:szCs w:val="28"/>
            <w:lang w:val="en-US"/>
          </w:rPr>
          <w:t>countries</w:t>
        </w:r>
        <w:r>
          <w:rPr>
            <w:rFonts w:ascii="Times New Roman" w:hAnsi="Times New Roman"/>
            <w:sz w:val="28"/>
            <w:szCs w:val="28"/>
          </w:rPr>
          <w:t>-</w:t>
        </w:r>
        <w:r>
          <w:rPr>
            <w:rFonts w:ascii="Times New Roman" w:hAnsi="Times New Roman"/>
            <w:sz w:val="28"/>
            <w:szCs w:val="28"/>
            <w:lang w:val="en-US"/>
          </w:rPr>
          <w:t>gn</w:t>
        </w:r>
        <w:r>
          <w:rPr>
            <w:rFonts w:ascii="Times New Roman" w:hAnsi="Times New Roman"/>
            <w:sz w:val="28"/>
            <w:szCs w:val="28"/>
          </w:rPr>
          <w:t>/</w:t>
        </w:r>
        <w:r>
          <w:rPr>
            <w:rFonts w:ascii="Times New Roman" w:hAnsi="Times New Roman"/>
            <w:sz w:val="28"/>
            <w:szCs w:val="28"/>
            <w:lang w:val="en-US"/>
          </w:rPr>
          <w:t>kazakhstan</w:t>
        </w:r>
        <w:r>
          <w:rPr>
            <w:rFonts w:ascii="Times New Roman" w:hAnsi="Times New Roman"/>
            <w:sz w:val="28"/>
            <w:szCs w:val="28"/>
          </w:rPr>
          <w:t>.</w:t>
        </w:r>
        <w:r>
          <w:rPr>
            <w:rFonts w:ascii="Times New Roman" w:hAnsi="Times New Roman"/>
            <w:sz w:val="28"/>
            <w:szCs w:val="28"/>
            <w:lang w:val="en-US"/>
          </w:rPr>
          <w:t>aspx</w:t>
        </w:r>
      </w:hyperlink>
      <w:r>
        <w:rPr>
          <w:rFonts w:ascii="Times New Roman" w:hAnsi="Times New Roman"/>
          <w:sz w:val="28"/>
          <w:szCs w:val="28"/>
        </w:rPr>
        <w:t>.</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185</w:t>
      </w:r>
      <w:r>
        <w:rPr>
          <w:rFonts w:ascii="Times New Roman" w:hAnsi="Times New Roman"/>
          <w:sz w:val="28"/>
          <w:szCs w:val="28"/>
          <w:lang w:val="en-US"/>
        </w:rPr>
        <w:tab/>
        <w:t>Ruano-Ravina A, Prini-Guadalupe L, Barros-Dios JM, et al. Expo</w:t>
      </w:r>
      <w:r>
        <w:rPr>
          <w:rFonts w:ascii="Times New Roman" w:hAnsi="Times New Roman"/>
          <w:sz w:val="28"/>
          <w:szCs w:val="28"/>
          <w:lang w:val="en-US"/>
        </w:rPr>
        <w:t>sure to residential radon and lung cancer in never-smokers: the preliminary results of the LCRINS study //Arch Bronconeumol. – 2012. – Vol.48(11). – P.405–409.</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186</w:t>
      </w:r>
      <w:r>
        <w:rPr>
          <w:rFonts w:ascii="Times New Roman" w:hAnsi="Times New Roman"/>
          <w:sz w:val="28"/>
          <w:szCs w:val="28"/>
          <w:lang w:val="en-US"/>
        </w:rPr>
        <w:tab/>
        <w:t>Peterson E, Aker A, Kim J, et al. Lung cancer risk from radon in Ontario, Canada: how many l</w:t>
      </w:r>
      <w:r>
        <w:rPr>
          <w:rFonts w:ascii="Times New Roman" w:hAnsi="Times New Roman"/>
          <w:sz w:val="28"/>
          <w:szCs w:val="28"/>
          <w:lang w:val="en-US"/>
        </w:rPr>
        <w:t>ung cancers can we prevent? //Cancer Causes Control. – 2013. – Vol.24(11). – P.2013–2020.</w:t>
      </w:r>
    </w:p>
    <w:p w:rsidR="00A75A8D" w:rsidRDefault="008A6A51">
      <w:pPr>
        <w:pStyle w:val="af7"/>
        <w:jc w:val="both"/>
        <w:rPr>
          <w:rFonts w:ascii="Times New Roman" w:hAnsi="Times New Roman"/>
          <w:sz w:val="28"/>
          <w:szCs w:val="28"/>
        </w:rPr>
      </w:pPr>
      <w:r>
        <w:rPr>
          <w:rFonts w:ascii="Times New Roman" w:hAnsi="Times New Roman"/>
          <w:sz w:val="28"/>
          <w:szCs w:val="28"/>
        </w:rPr>
        <w:t>187</w:t>
      </w:r>
      <w:r>
        <w:rPr>
          <w:rFonts w:ascii="Times New Roman" w:hAnsi="Times New Roman"/>
          <w:sz w:val="28"/>
          <w:szCs w:val="28"/>
        </w:rPr>
        <w:tab/>
        <w:t>Отчет о Проведении радиационного контроля сельских населенных пунктов в 2008-2011 гг. Алматы: Министерство охраны окружающей среды Республики Казахстан. - 2011. -</w:t>
      </w:r>
      <w:r>
        <w:rPr>
          <w:rFonts w:ascii="Times New Roman" w:hAnsi="Times New Roman"/>
          <w:sz w:val="28"/>
          <w:szCs w:val="28"/>
        </w:rPr>
        <w:t>Р.14-16.</w:t>
      </w:r>
    </w:p>
    <w:p w:rsidR="00A75A8D" w:rsidRDefault="008A6A51">
      <w:pPr>
        <w:pStyle w:val="af7"/>
        <w:jc w:val="both"/>
        <w:rPr>
          <w:rFonts w:ascii="Times New Roman" w:hAnsi="Times New Roman"/>
          <w:sz w:val="28"/>
          <w:szCs w:val="28"/>
          <w:lang w:val="en-US"/>
        </w:rPr>
      </w:pPr>
      <w:r w:rsidRPr="00511EAA">
        <w:rPr>
          <w:rFonts w:ascii="Times New Roman" w:hAnsi="Times New Roman"/>
          <w:sz w:val="28"/>
          <w:szCs w:val="28"/>
        </w:rPr>
        <w:t>188</w:t>
      </w:r>
      <w:r w:rsidRPr="00511EAA">
        <w:rPr>
          <w:rFonts w:ascii="Times New Roman" w:hAnsi="Times New Roman"/>
          <w:sz w:val="28"/>
          <w:szCs w:val="28"/>
        </w:rPr>
        <w:tab/>
      </w:r>
      <w:r>
        <w:rPr>
          <w:rFonts w:ascii="Times New Roman" w:hAnsi="Times New Roman"/>
          <w:sz w:val="28"/>
          <w:szCs w:val="28"/>
          <w:lang w:val="en-US"/>
        </w:rPr>
        <w:t>Gonz</w:t>
      </w:r>
      <w:r w:rsidRPr="00511EAA">
        <w:rPr>
          <w:rFonts w:ascii="Times New Roman" w:hAnsi="Times New Roman"/>
          <w:sz w:val="28"/>
          <w:szCs w:val="28"/>
        </w:rPr>
        <w:t>á</w:t>
      </w:r>
      <w:r>
        <w:rPr>
          <w:rFonts w:ascii="Times New Roman" w:hAnsi="Times New Roman"/>
          <w:sz w:val="28"/>
          <w:szCs w:val="28"/>
          <w:lang w:val="en-US"/>
        </w:rPr>
        <w:t>lez</w:t>
      </w:r>
      <w:r w:rsidRPr="00511EAA">
        <w:rPr>
          <w:rFonts w:ascii="Times New Roman" w:hAnsi="Times New Roman"/>
          <w:sz w:val="28"/>
          <w:szCs w:val="28"/>
        </w:rPr>
        <w:t xml:space="preserve"> </w:t>
      </w:r>
      <w:r>
        <w:rPr>
          <w:rFonts w:ascii="Times New Roman" w:hAnsi="Times New Roman"/>
          <w:sz w:val="28"/>
          <w:szCs w:val="28"/>
          <w:lang w:val="en-US"/>
        </w:rPr>
        <w:t>J</w:t>
      </w:r>
      <w:r w:rsidRPr="00511EAA">
        <w:rPr>
          <w:rFonts w:ascii="Times New Roman" w:hAnsi="Times New Roman"/>
          <w:sz w:val="28"/>
          <w:szCs w:val="28"/>
        </w:rPr>
        <w:t xml:space="preserve">, </w:t>
      </w:r>
      <w:r>
        <w:rPr>
          <w:rFonts w:ascii="Times New Roman" w:hAnsi="Times New Roman"/>
          <w:sz w:val="28"/>
          <w:szCs w:val="28"/>
          <w:lang w:val="en-US"/>
        </w:rPr>
        <w:t>et</w:t>
      </w:r>
      <w:r w:rsidRPr="00511EAA">
        <w:rPr>
          <w:rFonts w:ascii="Times New Roman" w:hAnsi="Times New Roman"/>
          <w:sz w:val="28"/>
          <w:szCs w:val="28"/>
        </w:rPr>
        <w:t xml:space="preserve"> </w:t>
      </w:r>
      <w:r>
        <w:rPr>
          <w:rFonts w:ascii="Times New Roman" w:hAnsi="Times New Roman"/>
          <w:sz w:val="28"/>
          <w:szCs w:val="28"/>
          <w:lang w:val="en-US"/>
        </w:rPr>
        <w:t>al</w:t>
      </w:r>
      <w:r w:rsidRPr="00511EAA">
        <w:rPr>
          <w:rFonts w:ascii="Times New Roman" w:hAnsi="Times New Roman"/>
          <w:sz w:val="28"/>
          <w:szCs w:val="28"/>
        </w:rPr>
        <w:t xml:space="preserve">. </w:t>
      </w:r>
      <w:r>
        <w:rPr>
          <w:rFonts w:ascii="Times New Roman" w:hAnsi="Times New Roman"/>
          <w:sz w:val="28"/>
          <w:szCs w:val="28"/>
          <w:lang w:val="en-US"/>
        </w:rPr>
        <w:t>Emphysema phenotypes and lung cancer risk //PLoS One. – 2019. – Vol.14(7):e0219187.</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189</w:t>
      </w:r>
      <w:r>
        <w:rPr>
          <w:rFonts w:ascii="Times New Roman" w:hAnsi="Times New Roman"/>
          <w:sz w:val="28"/>
          <w:szCs w:val="28"/>
          <w:lang w:val="en-US"/>
        </w:rPr>
        <w:tab/>
        <w:t xml:space="preserve">Zhang Y, Yi J, Sun D, Su Y, Zuo Y, Zhu M, et al. The association of chest computed tomography-defined visual emphysema and prognosis in </w:t>
      </w:r>
      <w:r>
        <w:rPr>
          <w:rFonts w:ascii="Times New Roman" w:hAnsi="Times New Roman"/>
          <w:sz w:val="28"/>
          <w:szCs w:val="28"/>
          <w:lang w:val="en-US"/>
        </w:rPr>
        <w:t>patients with nonsmall cell lung cancer //ERJ Open Res. – 2023. – Vol.9(6):00195-2023.</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190</w:t>
      </w:r>
      <w:r>
        <w:rPr>
          <w:rFonts w:ascii="Times New Roman" w:hAnsi="Times New Roman"/>
          <w:sz w:val="28"/>
          <w:szCs w:val="28"/>
          <w:lang w:val="en-US"/>
        </w:rPr>
        <w:tab/>
        <w:t>Henschke CI, Yip R, Boffetta P, et al. CT screening for lung cancer: Importance of emphysema for never smokers and smokers //Lung Cancer. – 2015. – Vol.88(1). – P.42</w:t>
      </w:r>
      <w:r>
        <w:rPr>
          <w:rFonts w:ascii="Times New Roman" w:hAnsi="Times New Roman"/>
          <w:sz w:val="28"/>
          <w:szCs w:val="28"/>
          <w:lang w:val="en-US"/>
        </w:rPr>
        <w:t>–47</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191</w:t>
      </w:r>
      <w:r>
        <w:rPr>
          <w:rFonts w:ascii="Times New Roman" w:hAnsi="Times New Roman"/>
          <w:sz w:val="28"/>
          <w:szCs w:val="28"/>
          <w:lang w:val="en-US"/>
        </w:rPr>
        <w:tab/>
        <w:t>Maldonado F, Bartholmai BJ, Swensen SJ, et al. Are airflow obstruction and radiographic evidence of emphysema risk factors for lung cancer?: a nested case-control study using quantitative emphysema analysis //Chest. – 2010. – Vol.138(6). – P.1295–1</w:t>
      </w:r>
      <w:r>
        <w:rPr>
          <w:rFonts w:ascii="Times New Roman" w:hAnsi="Times New Roman"/>
          <w:sz w:val="28"/>
          <w:szCs w:val="28"/>
          <w:lang w:val="en-US"/>
        </w:rPr>
        <w:t>302.</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lastRenderedPageBreak/>
        <w:t>192</w:t>
      </w:r>
      <w:r>
        <w:rPr>
          <w:rFonts w:ascii="Times New Roman" w:hAnsi="Times New Roman"/>
          <w:sz w:val="28"/>
          <w:szCs w:val="28"/>
          <w:lang w:val="en-US"/>
        </w:rPr>
        <w:tab/>
        <w:t>Kishi K, Gurney JW, Schroeder DR, et al. The correlation of emphysema or airway obstruction with the risk of lung cancer: a matched case-controlled study // Eur Respir J. – 2002. – Vol.19(6). – P.1093–1098.</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193</w:t>
      </w:r>
      <w:r>
        <w:rPr>
          <w:rFonts w:ascii="Times New Roman" w:hAnsi="Times New Roman"/>
          <w:sz w:val="28"/>
          <w:szCs w:val="28"/>
          <w:lang w:val="en-US"/>
        </w:rPr>
        <w:tab/>
        <w:t>Godoy MCB, Odisio EGLC, Truong MT, e</w:t>
      </w:r>
      <w:r>
        <w:rPr>
          <w:rFonts w:ascii="Times New Roman" w:hAnsi="Times New Roman"/>
          <w:sz w:val="28"/>
          <w:szCs w:val="28"/>
          <w:lang w:val="en-US"/>
        </w:rPr>
        <w:t>t al. Pulmonary Nodule Management in Lung Cancer Screening //Radiol Clin North Am. – 2018. – Vol.56(3). – P.353–363.</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194</w:t>
      </w:r>
      <w:r>
        <w:rPr>
          <w:rFonts w:ascii="Times New Roman" w:hAnsi="Times New Roman"/>
          <w:sz w:val="28"/>
          <w:szCs w:val="28"/>
          <w:lang w:val="en-US"/>
        </w:rPr>
        <w:tab/>
        <w:t>Lee JW, Kim HY, Goo JM, et al. Radiological report of pilot study for the Korean Lung Cancer Screening (K-LUCAS) project: feasibility o</w:t>
      </w:r>
      <w:r>
        <w:rPr>
          <w:rFonts w:ascii="Times New Roman" w:hAnsi="Times New Roman"/>
          <w:sz w:val="28"/>
          <w:szCs w:val="28"/>
          <w:lang w:val="en-US"/>
        </w:rPr>
        <w:t>f implementing lung imaging reporting and data system //Korean J Radiol. – 2018. – Vol.19(4). – P.803–808.</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195</w:t>
      </w:r>
      <w:r>
        <w:rPr>
          <w:rFonts w:ascii="Times New Roman" w:hAnsi="Times New Roman"/>
          <w:sz w:val="28"/>
          <w:szCs w:val="28"/>
          <w:lang w:val="en-US"/>
        </w:rPr>
        <w:tab/>
        <w:t xml:space="preserve">Kim H, Kim HY, Goo JM, Kim Y. Lung Cancer CT Screening and Lung-RADS in a Tuberculosis-endemic Country: The Korean Lung Cancer Screening Project </w:t>
      </w:r>
      <w:r>
        <w:rPr>
          <w:rFonts w:ascii="Times New Roman" w:hAnsi="Times New Roman"/>
          <w:sz w:val="28"/>
          <w:szCs w:val="28"/>
          <w:lang w:val="en-US"/>
        </w:rPr>
        <w:t>(K-LUCAS) //Radiology. – 2020.</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196</w:t>
      </w:r>
      <w:r>
        <w:rPr>
          <w:rFonts w:ascii="Times New Roman" w:hAnsi="Times New Roman"/>
          <w:sz w:val="28"/>
          <w:szCs w:val="28"/>
          <w:lang w:val="en-US"/>
        </w:rPr>
        <w:tab/>
        <w:t>Hochhegger B, Camargo S, da Silva GBT, et al. Challenges of Implementing Lung Cancer Screening in a Developing Country: Results of the Second Brazilian Early Lung Cancer Screening Trial (BRELT2) //JCO Glob Oncol. – 2022;8</w:t>
      </w:r>
      <w:r>
        <w:rPr>
          <w:rFonts w:ascii="Times New Roman" w:hAnsi="Times New Roman"/>
          <w:sz w:val="28"/>
          <w:szCs w:val="28"/>
          <w:lang w:val="en-US"/>
        </w:rPr>
        <w:t>:e2100257.</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197</w:t>
      </w:r>
      <w:r>
        <w:rPr>
          <w:rFonts w:ascii="Times New Roman" w:hAnsi="Times New Roman"/>
          <w:sz w:val="28"/>
          <w:szCs w:val="28"/>
          <w:lang w:val="en-US"/>
        </w:rPr>
        <w:tab/>
        <w:t>Gomez-Saez N, Gonzalez-Alvarez I, Vilar J, et al. Prevalence and variables associated with solitary pulmonary nodules in a routine clinic-based population: a cross-sectional study //Eur Radiol. – 2014. – Vol.24(9). – P.2174–2182.</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198</w:t>
      </w:r>
      <w:r>
        <w:rPr>
          <w:rFonts w:ascii="Times New Roman" w:hAnsi="Times New Roman"/>
          <w:sz w:val="28"/>
          <w:szCs w:val="28"/>
          <w:lang w:val="en-US"/>
        </w:rPr>
        <w:tab/>
        <w:t>Maci E,</w:t>
      </w:r>
      <w:r>
        <w:rPr>
          <w:rFonts w:ascii="Times New Roman" w:hAnsi="Times New Roman"/>
          <w:sz w:val="28"/>
          <w:szCs w:val="28"/>
          <w:lang w:val="en-US"/>
        </w:rPr>
        <w:t xml:space="preserve"> Comito F, Frezza AM, Tonini G, Pezzuto A. Lung nodule and functional changes in smokers after smoking cessation short-term treatment //Cancer Invest. – 2014. – Vol.32(8). – P.388–393. </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199</w:t>
      </w:r>
      <w:r>
        <w:rPr>
          <w:rFonts w:ascii="Times New Roman" w:hAnsi="Times New Roman"/>
          <w:sz w:val="28"/>
          <w:szCs w:val="28"/>
          <w:lang w:val="en-US"/>
        </w:rPr>
        <w:tab/>
        <w:t>He YT, Zhang YC, Shi GF, et al. Risk factors for pulmonary nodules</w:t>
      </w:r>
      <w:r>
        <w:rPr>
          <w:rFonts w:ascii="Times New Roman" w:hAnsi="Times New Roman"/>
          <w:sz w:val="28"/>
          <w:szCs w:val="28"/>
          <w:lang w:val="en-US"/>
        </w:rPr>
        <w:t xml:space="preserve"> in north China: a prospective cohort study //Lung Cancer. – 2018. – Vol.120. – P.122–129.</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200</w:t>
      </w:r>
      <w:r>
        <w:rPr>
          <w:rFonts w:ascii="Times New Roman" w:hAnsi="Times New Roman"/>
          <w:sz w:val="28"/>
          <w:szCs w:val="28"/>
          <w:lang w:val="en-US"/>
        </w:rPr>
        <w:tab/>
        <w:t>McWilliams A, Tammemagi MC, Mayo JR, et al. Probability of cancer in pulmonary nodules detected on first screening CT //N Engl J Med. – 2013. – Vol.369(10). – P.</w:t>
      </w:r>
      <w:r>
        <w:rPr>
          <w:rFonts w:ascii="Times New Roman" w:hAnsi="Times New Roman"/>
          <w:sz w:val="28"/>
          <w:szCs w:val="28"/>
          <w:lang w:val="en-US"/>
        </w:rPr>
        <w:t xml:space="preserve">910–919. </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201</w:t>
      </w:r>
      <w:r>
        <w:rPr>
          <w:rFonts w:ascii="Times New Roman" w:hAnsi="Times New Roman"/>
          <w:sz w:val="28"/>
          <w:szCs w:val="28"/>
          <w:lang w:val="en-US"/>
        </w:rPr>
        <w:tab/>
        <w:t>Kuo WK, Chen PJ, Wu MH, Lee HCH, Fan JK, Hsu PH. Tumor location is an independent prognostic factor in completely resected pathological stage I non-small cell lung cancer: a multicenter retrospective study //Cancers (Basel). – 2024. – Vol.16(</w:t>
      </w:r>
      <w:r>
        <w:rPr>
          <w:rFonts w:ascii="Times New Roman" w:hAnsi="Times New Roman"/>
          <w:sz w:val="28"/>
          <w:szCs w:val="28"/>
          <w:lang w:val="en-US"/>
        </w:rPr>
        <w:t>9). – P.1710.</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202</w:t>
      </w:r>
      <w:r>
        <w:rPr>
          <w:rFonts w:ascii="Times New Roman" w:hAnsi="Times New Roman"/>
          <w:sz w:val="28"/>
          <w:szCs w:val="28"/>
          <w:lang w:val="en-US"/>
        </w:rPr>
        <w:tab/>
        <w:t xml:space="preserve">Kinsey CM, Estepar RS, Zhao Y, et al. Invasive adenocarcinoma of the lung is associated with the upper lung regions //Lung Cancer. – 2014. – Vol.84. – P.145–150.     </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203</w:t>
      </w:r>
      <w:r>
        <w:rPr>
          <w:rFonts w:ascii="Times New Roman" w:hAnsi="Times New Roman"/>
          <w:sz w:val="28"/>
          <w:szCs w:val="28"/>
          <w:lang w:val="en-US"/>
        </w:rPr>
        <w:tab/>
        <w:t>Xie X, Li X, Tang W, Xie P, Tan X. Primary tumor location in lung c</w:t>
      </w:r>
      <w:r>
        <w:rPr>
          <w:rFonts w:ascii="Times New Roman" w:hAnsi="Times New Roman"/>
          <w:sz w:val="28"/>
          <w:szCs w:val="28"/>
          <w:lang w:val="en-US"/>
        </w:rPr>
        <w:t>ancer: the evaluation and administration //Chin Med J (Engl). – 2022. – Vol.135(2). – P.127–136.</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204</w:t>
      </w:r>
      <w:r>
        <w:rPr>
          <w:rFonts w:ascii="Times New Roman" w:hAnsi="Times New Roman"/>
          <w:sz w:val="28"/>
          <w:szCs w:val="28"/>
          <w:lang w:val="en-US"/>
        </w:rPr>
        <w:tab/>
        <w:t xml:space="preserve">Horeweg N, van der Aalst CM, Thunnissen E, et al. Characteristics of lung cancers detected by computer tomography screening in the randomized NELSON trial </w:t>
      </w:r>
      <w:r>
        <w:rPr>
          <w:rFonts w:ascii="Times New Roman" w:hAnsi="Times New Roman"/>
          <w:sz w:val="28"/>
          <w:szCs w:val="28"/>
          <w:lang w:val="en-US"/>
        </w:rPr>
        <w:t>//Am J Respir Crit Care Med. – 2013. – Vol.187. – P.848–854.</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205</w:t>
      </w:r>
      <w:r>
        <w:rPr>
          <w:rFonts w:ascii="Times New Roman" w:hAnsi="Times New Roman"/>
          <w:sz w:val="28"/>
          <w:szCs w:val="28"/>
          <w:lang w:val="en-US"/>
        </w:rPr>
        <w:tab/>
        <w:t>Klikovits T, Lohinai Z, Fábián K, Gyulai M, Szilasi M, Varga J, et al. New insights into the impact of primary lung adenocarcinoma location on metastatic sites and sequence: a multicenter coh</w:t>
      </w:r>
      <w:r>
        <w:rPr>
          <w:rFonts w:ascii="Times New Roman" w:hAnsi="Times New Roman"/>
          <w:sz w:val="28"/>
          <w:szCs w:val="28"/>
          <w:lang w:val="en-US"/>
        </w:rPr>
        <w:t>ort study //Lung Cancer. – 2018. – Vol.126. – P.139–148.</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206</w:t>
      </w:r>
      <w:r>
        <w:rPr>
          <w:rFonts w:ascii="Times New Roman" w:hAnsi="Times New Roman"/>
          <w:sz w:val="28"/>
          <w:szCs w:val="28"/>
          <w:lang w:val="en-US"/>
        </w:rPr>
        <w:tab/>
        <w:t xml:space="preserve">MacMahon H, Naidich DP, Goo JM, et al. Guidelines for management of incidental pulmonary nodules detected on CT images: from the Fleischner Society 2017 // Radiology. – 2017. – Vol.284. – </w:t>
      </w:r>
      <w:r>
        <w:rPr>
          <w:rFonts w:ascii="Times New Roman" w:hAnsi="Times New Roman"/>
          <w:sz w:val="28"/>
          <w:szCs w:val="28"/>
          <w:lang w:val="en-US"/>
        </w:rPr>
        <w:t>P.228–243.</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lastRenderedPageBreak/>
        <w:t>207</w:t>
      </w:r>
      <w:r>
        <w:rPr>
          <w:rFonts w:ascii="Times New Roman" w:hAnsi="Times New Roman"/>
          <w:sz w:val="28"/>
          <w:szCs w:val="28"/>
          <w:lang w:val="en-US"/>
        </w:rPr>
        <w:tab/>
        <w:t>Muñoz E, Baudot P, Le VK, Voyton C, Renoust B. 3D-Morphomics: Morphological features on CT scans for lung nodule malignancy diagnosis. //Springer Nature; - 2022. - Р.3–13.</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208</w:t>
      </w:r>
      <w:r>
        <w:rPr>
          <w:rFonts w:ascii="Times New Roman" w:hAnsi="Times New Roman"/>
          <w:sz w:val="28"/>
          <w:szCs w:val="28"/>
          <w:lang w:val="en-US"/>
        </w:rPr>
        <w:tab/>
        <w:t>Jacob M, Romano J, Ara Jo D, Pereira JM, Ramos I, Hespanhol V. Pr</w:t>
      </w:r>
      <w:r>
        <w:rPr>
          <w:rFonts w:ascii="Times New Roman" w:hAnsi="Times New Roman"/>
          <w:sz w:val="28"/>
          <w:szCs w:val="28"/>
          <w:lang w:val="en-US"/>
        </w:rPr>
        <w:t>edicting lung nodules malignancy //Pulmonology. – 2022. – Vol.28(6). – P.454–460.</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209</w:t>
      </w:r>
      <w:r>
        <w:rPr>
          <w:rFonts w:ascii="Times New Roman" w:hAnsi="Times New Roman"/>
          <w:sz w:val="28"/>
          <w:szCs w:val="28"/>
          <w:lang w:val="en-US"/>
        </w:rPr>
        <w:tab/>
        <w:t>Yankelevitz DF, Yip R, Smith JP, et al. CT screening for lung cancer: nonsolid nodules in baseline and annual repeat rounds //Radiology. – 2015. – Vol.277. – P.555–564.</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2</w:t>
      </w:r>
      <w:r>
        <w:rPr>
          <w:rFonts w:ascii="Times New Roman" w:hAnsi="Times New Roman"/>
          <w:sz w:val="28"/>
          <w:szCs w:val="28"/>
          <w:lang w:val="en-US"/>
        </w:rPr>
        <w:t>10</w:t>
      </w:r>
      <w:r>
        <w:rPr>
          <w:rFonts w:ascii="Times New Roman" w:hAnsi="Times New Roman"/>
          <w:sz w:val="28"/>
          <w:szCs w:val="28"/>
          <w:lang w:val="en-US"/>
        </w:rPr>
        <w:tab/>
        <w:t>Henschke CI, Yip R, Smith JP, et al. CT screening for lung cancer: part-solid nodules in baseline and annual repeat rounds //AJR Am J Roentgenol. – 2016. – Vol.207. – P.1176–1184</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211</w:t>
      </w:r>
      <w:r>
        <w:rPr>
          <w:rFonts w:ascii="Times New Roman" w:hAnsi="Times New Roman"/>
          <w:sz w:val="28"/>
          <w:szCs w:val="28"/>
          <w:lang w:val="en-US"/>
        </w:rPr>
        <w:tab/>
        <w:t>Chen G, Bai T, Wen LJ, Li Y. Predictive model for the probability of m</w:t>
      </w:r>
      <w:r>
        <w:rPr>
          <w:rFonts w:ascii="Times New Roman" w:hAnsi="Times New Roman"/>
          <w:sz w:val="28"/>
          <w:szCs w:val="28"/>
          <w:lang w:val="en-US"/>
        </w:rPr>
        <w:t xml:space="preserve">alignancy in solitary pulmonary nodules: a meta-analysis //J Cardiothorac Surg. – 2022. – Vol.17(1). – P.102. </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212</w:t>
      </w:r>
      <w:r>
        <w:rPr>
          <w:rFonts w:ascii="Times New Roman" w:hAnsi="Times New Roman"/>
          <w:sz w:val="28"/>
          <w:szCs w:val="28"/>
          <w:lang w:val="en-US"/>
        </w:rPr>
        <w:tab/>
        <w:t>Jonas DE, Reuland DS, Reddy SM, et al. Screening for Lung Cancer With Low-Dose Computed Tomography. Updated Evidence Report and Systematic Re</w:t>
      </w:r>
      <w:r>
        <w:rPr>
          <w:rFonts w:ascii="Times New Roman" w:hAnsi="Times New Roman"/>
          <w:sz w:val="28"/>
          <w:szCs w:val="28"/>
          <w:lang w:val="en-US"/>
        </w:rPr>
        <w:t xml:space="preserve">view for the US Preventive Services Task Force //JAMA. – 2021. – Vol.325(10). – P.971–987. </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213</w:t>
      </w:r>
      <w:r>
        <w:rPr>
          <w:rFonts w:ascii="Times New Roman" w:hAnsi="Times New Roman"/>
          <w:sz w:val="28"/>
          <w:szCs w:val="28"/>
          <w:lang w:val="en-US"/>
        </w:rPr>
        <w:tab/>
        <w:t>Brady AP. Error and discrepancy in radiology: inevitable or avoidable? // Insights Imaging. – 2017. – Vol.8. – P.171–182.</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214</w:t>
      </w:r>
      <w:r>
        <w:rPr>
          <w:rFonts w:ascii="Times New Roman" w:hAnsi="Times New Roman"/>
          <w:sz w:val="28"/>
          <w:szCs w:val="28"/>
          <w:lang w:val="en-US"/>
        </w:rPr>
        <w:tab/>
        <w:t xml:space="preserve">Hosny A, Parmar C, Quackenbush J, </w:t>
      </w:r>
      <w:r>
        <w:rPr>
          <w:rFonts w:ascii="Times New Roman" w:hAnsi="Times New Roman"/>
          <w:sz w:val="28"/>
          <w:szCs w:val="28"/>
          <w:lang w:val="en-US"/>
        </w:rPr>
        <w:t>Schwartz LH, Aerts H. Artificial intelligence in radiology //Nat Rev Cancer. – 2018. – Vol.18. – P.500–510</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215</w:t>
      </w:r>
      <w:r>
        <w:rPr>
          <w:rFonts w:ascii="Times New Roman" w:hAnsi="Times New Roman"/>
          <w:sz w:val="28"/>
          <w:szCs w:val="28"/>
          <w:lang w:val="en-US"/>
        </w:rPr>
        <w:tab/>
        <w:t xml:space="preserve">Xu Y, Hosny A, Zeleznik R, et al. Deep learning predicts lung cancer treatment response from serial medical imaging //Clin Cancer Res. – 2019. – </w:t>
      </w:r>
      <w:r>
        <w:rPr>
          <w:rFonts w:ascii="Times New Roman" w:hAnsi="Times New Roman"/>
          <w:sz w:val="28"/>
          <w:szCs w:val="28"/>
          <w:lang w:val="en-US"/>
        </w:rPr>
        <w:t>Vol.25. – P.3266–3275.</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216</w:t>
      </w:r>
      <w:r>
        <w:rPr>
          <w:rFonts w:ascii="Times New Roman" w:hAnsi="Times New Roman"/>
          <w:sz w:val="28"/>
          <w:szCs w:val="28"/>
          <w:lang w:val="en-US"/>
        </w:rPr>
        <w:tab/>
        <w:t>Lee JW, Goo JM, Lee HJ, et al. The potential contribution of a computer-aided detection system for lung nodule detection in multidetector row computed tomography //Invest Radiol. – 2014. – Vol.39. – P.649–655.</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217</w:t>
      </w:r>
      <w:r>
        <w:rPr>
          <w:rFonts w:ascii="Times New Roman" w:hAnsi="Times New Roman"/>
          <w:sz w:val="28"/>
          <w:szCs w:val="28"/>
          <w:lang w:val="en-US"/>
        </w:rPr>
        <w:tab/>
        <w:t>Das M, Mühlenbr</w:t>
      </w:r>
      <w:r>
        <w:rPr>
          <w:rFonts w:ascii="Times New Roman" w:hAnsi="Times New Roman"/>
          <w:sz w:val="28"/>
          <w:szCs w:val="28"/>
          <w:lang w:val="en-US"/>
        </w:rPr>
        <w:t>uch G, Heinen S, et al. Performance evaluation of a computer-aided detection algorithm for solid pulmonary nodules in low-dose and standard-dose MDCT chest examinations and its influence on radiologists //Br J Radiol. – 2018. – Vol.81. – P.841–847</w:t>
      </w:r>
    </w:p>
    <w:p w:rsidR="00A75A8D" w:rsidRDefault="008A6A51">
      <w:pPr>
        <w:pStyle w:val="af7"/>
        <w:jc w:val="both"/>
        <w:rPr>
          <w:rFonts w:ascii="Times New Roman" w:hAnsi="Times New Roman"/>
          <w:sz w:val="28"/>
          <w:szCs w:val="28"/>
          <w:lang w:val="en-US"/>
        </w:rPr>
      </w:pPr>
      <w:r>
        <w:rPr>
          <w:rFonts w:ascii="Times New Roman" w:hAnsi="Times New Roman"/>
          <w:sz w:val="28"/>
          <w:szCs w:val="28"/>
          <w:lang w:val="en-US"/>
        </w:rPr>
        <w:t>218</w:t>
      </w:r>
      <w:r>
        <w:rPr>
          <w:rFonts w:ascii="Times New Roman" w:hAnsi="Times New Roman"/>
          <w:sz w:val="28"/>
          <w:szCs w:val="28"/>
          <w:lang w:val="en-US"/>
        </w:rPr>
        <w:tab/>
        <w:t>Chri</w:t>
      </w:r>
      <w:r>
        <w:rPr>
          <w:rFonts w:ascii="Times New Roman" w:hAnsi="Times New Roman"/>
          <w:sz w:val="28"/>
          <w:szCs w:val="28"/>
          <w:lang w:val="en-US"/>
        </w:rPr>
        <w:t>ste A, Charimo-Torrente J, Roychoudhury K, Vock P, Roos JE. Accuracy of low-dose computed tomography (CT) for detecting and characterizing the most common CT-patterns of pulmonary disease //Eur J Radiol. – 2015. – Vol.82. – P.e142–150.</w:t>
      </w:r>
    </w:p>
    <w:p w:rsidR="00A75A8D" w:rsidRDefault="00A75A8D">
      <w:pPr>
        <w:pStyle w:val="af7"/>
        <w:jc w:val="both"/>
        <w:rPr>
          <w:rFonts w:ascii="Times New Roman" w:hAnsi="Times New Roman"/>
          <w:sz w:val="28"/>
          <w:szCs w:val="28"/>
          <w:lang w:val="en-US"/>
        </w:rPr>
      </w:pPr>
    </w:p>
    <w:p w:rsidR="00A75A8D" w:rsidRDefault="00A75A8D">
      <w:pPr>
        <w:pStyle w:val="af7"/>
        <w:jc w:val="both"/>
        <w:rPr>
          <w:rFonts w:ascii="Times New Roman" w:hAnsi="Times New Roman"/>
          <w:sz w:val="28"/>
          <w:szCs w:val="28"/>
          <w:lang w:val="en-US"/>
        </w:rPr>
      </w:pPr>
    </w:p>
    <w:p w:rsidR="00A75A8D" w:rsidRDefault="00A75A8D">
      <w:pPr>
        <w:pStyle w:val="af7"/>
        <w:jc w:val="both"/>
        <w:rPr>
          <w:rFonts w:ascii="Times New Roman" w:hAnsi="Times New Roman"/>
          <w:sz w:val="28"/>
          <w:szCs w:val="28"/>
          <w:lang w:val="en-US"/>
        </w:rPr>
      </w:pPr>
    </w:p>
    <w:p w:rsidR="00A75A8D" w:rsidRDefault="00A75A8D">
      <w:pPr>
        <w:pStyle w:val="af7"/>
        <w:jc w:val="both"/>
        <w:rPr>
          <w:rFonts w:ascii="Times New Roman" w:hAnsi="Times New Roman"/>
          <w:sz w:val="28"/>
          <w:szCs w:val="28"/>
          <w:lang w:val="en-US"/>
        </w:rPr>
      </w:pPr>
    </w:p>
    <w:p w:rsidR="00A75A8D" w:rsidRDefault="00A75A8D">
      <w:pPr>
        <w:spacing w:after="0" w:line="240" w:lineRule="auto"/>
        <w:ind w:firstLineChars="201" w:firstLine="563"/>
        <w:rPr>
          <w:rFonts w:ascii="Times New Roman" w:hAnsi="Times New Roman"/>
          <w:sz w:val="28"/>
          <w:szCs w:val="28"/>
          <w:lang w:val="en-US"/>
        </w:rPr>
      </w:pPr>
    </w:p>
    <w:p w:rsidR="00A75A8D" w:rsidRDefault="00A75A8D">
      <w:pPr>
        <w:spacing w:after="0" w:line="240" w:lineRule="auto"/>
        <w:ind w:firstLineChars="201" w:firstLine="563"/>
        <w:rPr>
          <w:rFonts w:ascii="Times New Roman" w:hAnsi="Times New Roman"/>
          <w:sz w:val="28"/>
          <w:szCs w:val="28"/>
          <w:lang w:val="en-US"/>
        </w:rPr>
      </w:pPr>
    </w:p>
    <w:p w:rsidR="00A75A8D" w:rsidRDefault="008A6A51">
      <w:pPr>
        <w:rPr>
          <w:rFonts w:ascii="Times New Roman" w:hAnsi="Times New Roman"/>
          <w:sz w:val="28"/>
          <w:szCs w:val="28"/>
          <w:lang w:val="en-US"/>
        </w:rPr>
      </w:pPr>
      <w:r>
        <w:rPr>
          <w:rFonts w:ascii="Times New Roman" w:hAnsi="Times New Roman"/>
          <w:sz w:val="28"/>
          <w:szCs w:val="28"/>
          <w:lang w:val="en-US"/>
        </w:rPr>
        <w:br w:type="page"/>
      </w:r>
    </w:p>
    <w:p w:rsidR="00A75A8D" w:rsidRDefault="008A6A51">
      <w:pPr>
        <w:pStyle w:val="1"/>
        <w:numPr>
          <w:ilvl w:val="0"/>
          <w:numId w:val="0"/>
        </w:numPr>
        <w:jc w:val="center"/>
        <w:rPr>
          <w:rFonts w:ascii="Times New Roman" w:hAnsi="Times New Roman" w:cs="Times New Roman"/>
          <w:b/>
          <w:bCs/>
          <w:color w:val="auto"/>
          <w:sz w:val="28"/>
          <w:szCs w:val="28"/>
        </w:rPr>
      </w:pPr>
      <w:bookmarkStart w:id="26" w:name="_Toc186925745"/>
      <w:r>
        <w:rPr>
          <w:rFonts w:ascii="Times New Roman" w:hAnsi="Times New Roman" w:cs="Times New Roman"/>
          <w:b/>
          <w:bCs/>
          <w:color w:val="auto"/>
          <w:sz w:val="28"/>
          <w:szCs w:val="28"/>
        </w:rPr>
        <w:lastRenderedPageBreak/>
        <w:t>ПРИЛОЖЕНИЕ А</w:t>
      </w:r>
      <w:bookmarkEnd w:id="26"/>
    </w:p>
    <w:p w:rsidR="00A75A8D" w:rsidRDefault="00A75A8D">
      <w:pPr>
        <w:spacing w:after="0" w:line="240" w:lineRule="auto"/>
        <w:ind w:firstLineChars="201" w:firstLine="563"/>
        <w:jc w:val="center"/>
        <w:rPr>
          <w:rFonts w:ascii="Times New Roman" w:hAnsi="Times New Roman"/>
          <w:sz w:val="28"/>
          <w:szCs w:val="28"/>
        </w:rPr>
      </w:pPr>
    </w:p>
    <w:p w:rsidR="00A75A8D" w:rsidRDefault="008A6A51">
      <w:pPr>
        <w:spacing w:after="0" w:line="240" w:lineRule="auto"/>
        <w:ind w:firstLineChars="201" w:firstLine="442"/>
        <w:jc w:val="center"/>
        <w:rPr>
          <w:rFonts w:ascii="Times New Roman" w:hAnsi="Times New Roman"/>
          <w:sz w:val="28"/>
          <w:szCs w:val="28"/>
        </w:rPr>
      </w:pPr>
      <w:r>
        <w:rPr>
          <w:noProof/>
          <w:lang w:eastAsia="ru-RU"/>
        </w:rPr>
        <w:drawing>
          <wp:inline distT="0" distB="0" distL="114300" distR="114300">
            <wp:extent cx="5800090" cy="8143875"/>
            <wp:effectExtent l="0" t="0" r="10160" b="9525"/>
            <wp:docPr id="21"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Изображение 1"/>
                    <pic:cNvPicPr>
                      <a:picLocks noChangeAspect="1"/>
                    </pic:cNvPicPr>
                  </pic:nvPicPr>
                  <pic:blipFill>
                    <a:blip r:embed="rId39"/>
                    <a:stretch>
                      <a:fillRect/>
                    </a:stretch>
                  </pic:blipFill>
                  <pic:spPr>
                    <a:xfrm>
                      <a:off x="0" y="0"/>
                      <a:ext cx="5800090" cy="8143875"/>
                    </a:xfrm>
                    <a:prstGeom prst="rect">
                      <a:avLst/>
                    </a:prstGeom>
                    <a:noFill/>
                    <a:ln>
                      <a:noFill/>
                    </a:ln>
                  </pic:spPr>
                </pic:pic>
              </a:graphicData>
            </a:graphic>
          </wp:inline>
        </w:drawing>
      </w:r>
      <w:r>
        <w:rPr>
          <w:rFonts w:ascii="Times New Roman" w:hAnsi="Times New Roman"/>
          <w:sz w:val="28"/>
          <w:szCs w:val="28"/>
        </w:rPr>
        <w:t xml:space="preserve"> </w:t>
      </w:r>
    </w:p>
    <w:p w:rsidR="00A75A8D" w:rsidRDefault="00A75A8D">
      <w:pPr>
        <w:spacing w:after="0" w:line="240" w:lineRule="auto"/>
        <w:ind w:firstLineChars="201" w:firstLine="563"/>
        <w:jc w:val="center"/>
        <w:rPr>
          <w:rFonts w:ascii="Times New Roman" w:hAnsi="Times New Roman"/>
          <w:sz w:val="28"/>
          <w:szCs w:val="28"/>
        </w:rPr>
      </w:pPr>
    </w:p>
    <w:p w:rsidR="00A75A8D" w:rsidRDefault="008A6A51">
      <w:pPr>
        <w:spacing w:after="0" w:line="240" w:lineRule="auto"/>
        <w:ind w:firstLineChars="201" w:firstLine="442"/>
        <w:jc w:val="center"/>
      </w:pPr>
      <w:r>
        <w:rPr>
          <w:noProof/>
          <w:lang w:eastAsia="ru-RU"/>
        </w:rPr>
        <w:lastRenderedPageBreak/>
        <w:drawing>
          <wp:inline distT="0" distB="0" distL="114300" distR="114300">
            <wp:extent cx="6007735" cy="8190230"/>
            <wp:effectExtent l="0" t="0" r="12065" b="1270"/>
            <wp:docPr id="24"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Изображение 2"/>
                    <pic:cNvPicPr>
                      <a:picLocks noChangeAspect="1"/>
                    </pic:cNvPicPr>
                  </pic:nvPicPr>
                  <pic:blipFill>
                    <a:blip r:embed="rId40"/>
                    <a:stretch>
                      <a:fillRect/>
                    </a:stretch>
                  </pic:blipFill>
                  <pic:spPr>
                    <a:xfrm>
                      <a:off x="0" y="0"/>
                      <a:ext cx="6007735" cy="8190230"/>
                    </a:xfrm>
                    <a:prstGeom prst="rect">
                      <a:avLst/>
                    </a:prstGeom>
                    <a:noFill/>
                    <a:ln>
                      <a:noFill/>
                    </a:ln>
                  </pic:spPr>
                </pic:pic>
              </a:graphicData>
            </a:graphic>
          </wp:inline>
        </w:drawing>
      </w:r>
    </w:p>
    <w:p w:rsidR="00A75A8D" w:rsidRDefault="00A75A8D">
      <w:pPr>
        <w:spacing w:after="0" w:line="240" w:lineRule="auto"/>
        <w:ind w:firstLineChars="201" w:firstLine="442"/>
        <w:jc w:val="center"/>
      </w:pPr>
    </w:p>
    <w:p w:rsidR="00A75A8D" w:rsidRDefault="00A75A8D">
      <w:pPr>
        <w:spacing w:after="0" w:line="240" w:lineRule="auto"/>
        <w:ind w:firstLineChars="201" w:firstLine="442"/>
        <w:jc w:val="center"/>
      </w:pPr>
    </w:p>
    <w:p w:rsidR="00A75A8D" w:rsidRDefault="00A75A8D">
      <w:pPr>
        <w:spacing w:after="0" w:line="240" w:lineRule="auto"/>
        <w:ind w:firstLineChars="201" w:firstLine="442"/>
        <w:jc w:val="center"/>
      </w:pPr>
    </w:p>
    <w:p w:rsidR="00A75A8D" w:rsidRDefault="00A75A8D">
      <w:pPr>
        <w:spacing w:after="0" w:line="240" w:lineRule="auto"/>
        <w:ind w:firstLineChars="201" w:firstLine="442"/>
        <w:jc w:val="center"/>
      </w:pPr>
    </w:p>
    <w:p w:rsidR="00A75A8D" w:rsidRDefault="008A6A51">
      <w:pPr>
        <w:pStyle w:val="1"/>
        <w:numPr>
          <w:ilvl w:val="0"/>
          <w:numId w:val="0"/>
        </w:numPr>
        <w:jc w:val="center"/>
        <w:rPr>
          <w:rFonts w:ascii="Times New Roman" w:hAnsi="Times New Roman" w:cs="Times New Roman"/>
          <w:b/>
          <w:bCs/>
          <w:color w:val="auto"/>
          <w:sz w:val="28"/>
          <w:szCs w:val="28"/>
          <w:lang w:val="kk-KZ"/>
        </w:rPr>
      </w:pPr>
      <w:bookmarkStart w:id="27" w:name="_Toc186925746"/>
      <w:r>
        <w:rPr>
          <w:rFonts w:ascii="Times New Roman" w:hAnsi="Times New Roman" w:cs="Times New Roman"/>
          <w:b/>
          <w:bCs/>
          <w:color w:val="auto"/>
          <w:sz w:val="28"/>
          <w:szCs w:val="28"/>
        </w:rPr>
        <w:lastRenderedPageBreak/>
        <w:t xml:space="preserve">ПРИЛОЖЕНИЕ </w:t>
      </w:r>
      <w:r>
        <w:rPr>
          <w:rFonts w:ascii="Times New Roman" w:hAnsi="Times New Roman" w:cs="Times New Roman"/>
          <w:b/>
          <w:bCs/>
          <w:color w:val="auto"/>
          <w:sz w:val="28"/>
          <w:szCs w:val="28"/>
          <w:lang w:val="kk-KZ"/>
        </w:rPr>
        <w:t>Б</w:t>
      </w:r>
      <w:bookmarkEnd w:id="27"/>
    </w:p>
    <w:p w:rsidR="00A75A8D" w:rsidRDefault="00A75A8D">
      <w:pPr>
        <w:spacing w:after="0" w:line="240" w:lineRule="auto"/>
        <w:ind w:firstLineChars="201" w:firstLine="442"/>
        <w:jc w:val="center"/>
      </w:pPr>
    </w:p>
    <w:p w:rsidR="00A75A8D" w:rsidRDefault="008A6A51">
      <w:pPr>
        <w:pStyle w:val="af3"/>
      </w:pPr>
      <w:r>
        <w:rPr>
          <w:noProof/>
          <w:lang w:eastAsia="ru-RU"/>
        </w:rPr>
        <w:drawing>
          <wp:inline distT="0" distB="0" distL="114300" distR="114300">
            <wp:extent cx="5708015" cy="8180070"/>
            <wp:effectExtent l="0" t="0" r="6985" b="11430"/>
            <wp:docPr id="27" name="Изображение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Изображение 4" descr="IMG_256"/>
                    <pic:cNvPicPr>
                      <a:picLocks noChangeAspect="1"/>
                    </pic:cNvPicPr>
                  </pic:nvPicPr>
                  <pic:blipFill>
                    <a:blip r:embed="rId41"/>
                    <a:stretch>
                      <a:fillRect/>
                    </a:stretch>
                  </pic:blipFill>
                  <pic:spPr>
                    <a:xfrm>
                      <a:off x="0" y="0"/>
                      <a:ext cx="5708015" cy="8180070"/>
                    </a:xfrm>
                    <a:prstGeom prst="rect">
                      <a:avLst/>
                    </a:prstGeom>
                    <a:noFill/>
                    <a:ln w="9525">
                      <a:noFill/>
                    </a:ln>
                  </pic:spPr>
                </pic:pic>
              </a:graphicData>
            </a:graphic>
          </wp:inline>
        </w:drawing>
      </w:r>
    </w:p>
    <w:p w:rsidR="00A75A8D" w:rsidRDefault="008A6A51">
      <w:pPr>
        <w:spacing w:after="0" w:line="240" w:lineRule="auto"/>
        <w:ind w:firstLineChars="201" w:firstLine="442"/>
        <w:jc w:val="center"/>
      </w:pPr>
      <w:r>
        <w:rPr>
          <w:noProof/>
          <w:lang w:eastAsia="ru-RU"/>
        </w:rPr>
        <w:lastRenderedPageBreak/>
        <w:drawing>
          <wp:inline distT="0" distB="0" distL="114300" distR="114300">
            <wp:extent cx="5667375" cy="8410575"/>
            <wp:effectExtent l="0" t="0" r="9525" b="9525"/>
            <wp:docPr id="28" name="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Изображение 5"/>
                    <pic:cNvPicPr>
                      <a:picLocks noChangeAspect="1"/>
                    </pic:cNvPicPr>
                  </pic:nvPicPr>
                  <pic:blipFill>
                    <a:blip r:embed="rId42"/>
                    <a:stretch>
                      <a:fillRect/>
                    </a:stretch>
                  </pic:blipFill>
                  <pic:spPr>
                    <a:xfrm>
                      <a:off x="0" y="0"/>
                      <a:ext cx="5667375" cy="8410575"/>
                    </a:xfrm>
                    <a:prstGeom prst="rect">
                      <a:avLst/>
                    </a:prstGeom>
                    <a:noFill/>
                    <a:ln>
                      <a:noFill/>
                    </a:ln>
                  </pic:spPr>
                </pic:pic>
              </a:graphicData>
            </a:graphic>
          </wp:inline>
        </w:drawing>
      </w:r>
    </w:p>
    <w:p w:rsidR="00A75A8D" w:rsidRDefault="00A75A8D">
      <w:pPr>
        <w:spacing w:after="0" w:line="240" w:lineRule="auto"/>
        <w:ind w:firstLineChars="201" w:firstLine="442"/>
        <w:jc w:val="center"/>
      </w:pPr>
    </w:p>
    <w:p w:rsidR="00A75A8D" w:rsidRDefault="00A75A8D">
      <w:pPr>
        <w:spacing w:after="0" w:line="240" w:lineRule="auto"/>
        <w:ind w:firstLineChars="201" w:firstLine="442"/>
        <w:jc w:val="center"/>
      </w:pPr>
    </w:p>
    <w:p w:rsidR="00A75A8D" w:rsidRDefault="008A6A51">
      <w:pPr>
        <w:pStyle w:val="1"/>
        <w:numPr>
          <w:ilvl w:val="0"/>
          <w:numId w:val="0"/>
        </w:numPr>
        <w:jc w:val="center"/>
        <w:rPr>
          <w:rFonts w:ascii="Times New Roman" w:hAnsi="Times New Roman" w:cs="Times New Roman"/>
          <w:b/>
          <w:bCs/>
          <w:color w:val="auto"/>
          <w:sz w:val="28"/>
          <w:szCs w:val="28"/>
          <w:lang w:val="kk-KZ"/>
        </w:rPr>
      </w:pPr>
      <w:bookmarkStart w:id="28" w:name="_Toc186925747"/>
      <w:r>
        <w:rPr>
          <w:rFonts w:ascii="Times New Roman" w:hAnsi="Times New Roman" w:cs="Times New Roman"/>
          <w:b/>
          <w:bCs/>
          <w:color w:val="auto"/>
          <w:sz w:val="28"/>
          <w:szCs w:val="28"/>
          <w:lang w:val="kk-KZ"/>
        </w:rPr>
        <w:lastRenderedPageBreak/>
        <w:t>ПРИЛОЖЕНИЕ В</w:t>
      </w:r>
      <w:bookmarkEnd w:id="28"/>
    </w:p>
    <w:p w:rsidR="00A75A8D" w:rsidRDefault="00A75A8D">
      <w:pPr>
        <w:spacing w:after="0" w:line="240" w:lineRule="auto"/>
        <w:ind w:firstLineChars="201" w:firstLine="563"/>
        <w:jc w:val="center"/>
        <w:rPr>
          <w:rFonts w:ascii="Times New Roman" w:hAnsi="Times New Roman" w:cs="Times New Roman"/>
          <w:b/>
          <w:bCs/>
          <w:sz w:val="28"/>
          <w:szCs w:val="28"/>
          <w:lang w:val="kk-KZ"/>
        </w:rPr>
      </w:pPr>
    </w:p>
    <w:p w:rsidR="00A75A8D" w:rsidRDefault="008A6A51">
      <w:pPr>
        <w:spacing w:after="0" w:line="240" w:lineRule="auto"/>
        <w:ind w:firstLineChars="201" w:firstLine="442"/>
        <w:jc w:val="center"/>
      </w:pPr>
      <w:r>
        <w:rPr>
          <w:noProof/>
          <w:lang w:eastAsia="ru-RU"/>
        </w:rPr>
        <w:drawing>
          <wp:inline distT="0" distB="0" distL="114300" distR="114300">
            <wp:extent cx="5715000" cy="8401050"/>
            <wp:effectExtent l="0" t="0" r="0" b="0"/>
            <wp:docPr id="29" name="Изображение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Изображение 6"/>
                    <pic:cNvPicPr>
                      <a:picLocks noChangeAspect="1"/>
                    </pic:cNvPicPr>
                  </pic:nvPicPr>
                  <pic:blipFill>
                    <a:blip r:embed="rId43"/>
                    <a:stretch>
                      <a:fillRect/>
                    </a:stretch>
                  </pic:blipFill>
                  <pic:spPr>
                    <a:xfrm>
                      <a:off x="0" y="0"/>
                      <a:ext cx="5715000" cy="8401050"/>
                    </a:xfrm>
                    <a:prstGeom prst="rect">
                      <a:avLst/>
                    </a:prstGeom>
                    <a:noFill/>
                    <a:ln>
                      <a:noFill/>
                    </a:ln>
                  </pic:spPr>
                </pic:pic>
              </a:graphicData>
            </a:graphic>
          </wp:inline>
        </w:drawing>
      </w:r>
    </w:p>
    <w:p w:rsidR="00A75A8D" w:rsidRDefault="008A6A51">
      <w:pPr>
        <w:pStyle w:val="1"/>
        <w:numPr>
          <w:ilvl w:val="0"/>
          <w:numId w:val="0"/>
        </w:numPr>
        <w:jc w:val="center"/>
        <w:rPr>
          <w:rFonts w:ascii="Times New Roman" w:hAnsi="Times New Roman" w:cs="Times New Roman"/>
          <w:b/>
          <w:bCs/>
          <w:color w:val="auto"/>
          <w:sz w:val="28"/>
          <w:szCs w:val="28"/>
          <w:lang w:val="kk-KZ"/>
        </w:rPr>
      </w:pPr>
      <w:bookmarkStart w:id="29" w:name="_Toc186925748"/>
      <w:r>
        <w:rPr>
          <w:rFonts w:ascii="Times New Roman" w:hAnsi="Times New Roman" w:cs="Times New Roman"/>
          <w:b/>
          <w:bCs/>
          <w:color w:val="auto"/>
          <w:sz w:val="28"/>
          <w:szCs w:val="28"/>
          <w:lang w:val="kk-KZ"/>
        </w:rPr>
        <w:lastRenderedPageBreak/>
        <w:t>ПРИЛОЖЕНИЕ Г</w:t>
      </w:r>
      <w:bookmarkEnd w:id="29"/>
    </w:p>
    <w:p w:rsidR="00A75A8D" w:rsidRDefault="00A75A8D">
      <w:pPr>
        <w:spacing w:after="0" w:line="240" w:lineRule="auto"/>
        <w:ind w:firstLineChars="201" w:firstLine="563"/>
        <w:jc w:val="center"/>
        <w:rPr>
          <w:rFonts w:ascii="Times New Roman" w:hAnsi="Times New Roman" w:cs="Times New Roman"/>
          <w:b/>
          <w:bCs/>
          <w:sz w:val="28"/>
          <w:szCs w:val="28"/>
          <w:lang w:val="kk-KZ"/>
        </w:rPr>
      </w:pPr>
    </w:p>
    <w:p w:rsidR="00A75A8D" w:rsidRDefault="008A6A51">
      <w:pPr>
        <w:spacing w:after="0" w:line="240" w:lineRule="auto"/>
        <w:ind w:firstLineChars="201" w:firstLine="442"/>
        <w:jc w:val="center"/>
      </w:pPr>
      <w:r>
        <w:rPr>
          <w:noProof/>
          <w:lang w:eastAsia="ru-RU"/>
        </w:rPr>
        <w:drawing>
          <wp:inline distT="0" distB="0" distL="114300" distR="114300">
            <wp:extent cx="5652135" cy="8011160"/>
            <wp:effectExtent l="0" t="0" r="5715" b="8890"/>
            <wp:docPr id="30" name="Изображение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Изображение 7"/>
                    <pic:cNvPicPr>
                      <a:picLocks noChangeAspect="1"/>
                    </pic:cNvPicPr>
                  </pic:nvPicPr>
                  <pic:blipFill>
                    <a:blip r:embed="rId44"/>
                    <a:stretch>
                      <a:fillRect/>
                    </a:stretch>
                  </pic:blipFill>
                  <pic:spPr>
                    <a:xfrm>
                      <a:off x="0" y="0"/>
                      <a:ext cx="5652135" cy="8011160"/>
                    </a:xfrm>
                    <a:prstGeom prst="rect">
                      <a:avLst/>
                    </a:prstGeom>
                    <a:noFill/>
                    <a:ln>
                      <a:noFill/>
                    </a:ln>
                  </pic:spPr>
                </pic:pic>
              </a:graphicData>
            </a:graphic>
          </wp:inline>
        </w:drawing>
      </w:r>
    </w:p>
    <w:p w:rsidR="00A75A8D" w:rsidRDefault="00A75A8D">
      <w:pPr>
        <w:spacing w:after="0" w:line="240" w:lineRule="auto"/>
        <w:ind w:firstLineChars="201" w:firstLine="442"/>
        <w:jc w:val="center"/>
      </w:pPr>
    </w:p>
    <w:p w:rsidR="00A75A8D" w:rsidRDefault="00A75A8D">
      <w:pPr>
        <w:spacing w:after="0" w:line="240" w:lineRule="auto"/>
        <w:ind w:firstLineChars="201" w:firstLine="442"/>
        <w:jc w:val="center"/>
      </w:pPr>
    </w:p>
    <w:p w:rsidR="00A75A8D" w:rsidRDefault="008A6A51">
      <w:pPr>
        <w:pStyle w:val="1"/>
        <w:numPr>
          <w:ilvl w:val="0"/>
          <w:numId w:val="0"/>
        </w:numPr>
        <w:jc w:val="center"/>
        <w:rPr>
          <w:rFonts w:ascii="Times New Roman" w:hAnsi="Times New Roman" w:cs="Times New Roman"/>
          <w:b/>
          <w:bCs/>
          <w:color w:val="auto"/>
          <w:sz w:val="28"/>
          <w:szCs w:val="28"/>
          <w:lang w:val="kk-KZ"/>
        </w:rPr>
      </w:pPr>
      <w:bookmarkStart w:id="30" w:name="_Toc186925749"/>
      <w:r>
        <w:rPr>
          <w:rFonts w:ascii="Times New Roman" w:hAnsi="Times New Roman" w:cs="Times New Roman"/>
          <w:b/>
          <w:bCs/>
          <w:color w:val="auto"/>
          <w:sz w:val="28"/>
          <w:szCs w:val="28"/>
          <w:lang w:val="kk-KZ"/>
        </w:rPr>
        <w:lastRenderedPageBreak/>
        <w:t>ПРИЛОЖЕНИЕ Д</w:t>
      </w:r>
      <w:bookmarkEnd w:id="30"/>
    </w:p>
    <w:p w:rsidR="00A75A8D" w:rsidRDefault="00A75A8D">
      <w:pPr>
        <w:spacing w:after="0" w:line="240" w:lineRule="auto"/>
        <w:ind w:firstLineChars="201" w:firstLine="563"/>
        <w:jc w:val="center"/>
        <w:rPr>
          <w:rFonts w:ascii="Times New Roman" w:hAnsi="Times New Roman" w:cs="Times New Roman"/>
          <w:b/>
          <w:bCs/>
          <w:sz w:val="28"/>
          <w:szCs w:val="28"/>
          <w:lang w:val="kk-KZ"/>
        </w:rPr>
      </w:pPr>
    </w:p>
    <w:p w:rsidR="00A75A8D" w:rsidRDefault="008A6A51">
      <w:pPr>
        <w:spacing w:after="0" w:line="240" w:lineRule="auto"/>
        <w:ind w:firstLineChars="201" w:firstLine="442"/>
        <w:jc w:val="center"/>
      </w:pPr>
      <w:r>
        <w:rPr>
          <w:noProof/>
          <w:lang w:eastAsia="ru-RU"/>
        </w:rPr>
        <w:drawing>
          <wp:inline distT="0" distB="0" distL="114300" distR="114300">
            <wp:extent cx="5763895" cy="8068310"/>
            <wp:effectExtent l="0" t="0" r="8255" b="8890"/>
            <wp:docPr id="32" name="Изображение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Изображение 9"/>
                    <pic:cNvPicPr>
                      <a:picLocks noChangeAspect="1"/>
                    </pic:cNvPicPr>
                  </pic:nvPicPr>
                  <pic:blipFill>
                    <a:blip r:embed="rId45"/>
                    <a:stretch>
                      <a:fillRect/>
                    </a:stretch>
                  </pic:blipFill>
                  <pic:spPr>
                    <a:xfrm>
                      <a:off x="0" y="0"/>
                      <a:ext cx="5763895" cy="8068310"/>
                    </a:xfrm>
                    <a:prstGeom prst="rect">
                      <a:avLst/>
                    </a:prstGeom>
                    <a:noFill/>
                    <a:ln>
                      <a:noFill/>
                    </a:ln>
                  </pic:spPr>
                </pic:pic>
              </a:graphicData>
            </a:graphic>
          </wp:inline>
        </w:drawing>
      </w:r>
    </w:p>
    <w:p w:rsidR="00A75A8D" w:rsidRDefault="00A75A8D">
      <w:pPr>
        <w:spacing w:after="0" w:line="240" w:lineRule="auto"/>
        <w:ind w:firstLineChars="201" w:firstLine="442"/>
        <w:jc w:val="center"/>
      </w:pPr>
    </w:p>
    <w:p w:rsidR="00A75A8D" w:rsidRDefault="008A6A51">
      <w:pPr>
        <w:pStyle w:val="1"/>
        <w:numPr>
          <w:ilvl w:val="0"/>
          <w:numId w:val="0"/>
        </w:numPr>
        <w:jc w:val="center"/>
        <w:rPr>
          <w:rFonts w:ascii="Times New Roman" w:hAnsi="Times New Roman" w:cs="Times New Roman"/>
          <w:b/>
          <w:bCs/>
          <w:color w:val="auto"/>
          <w:sz w:val="28"/>
          <w:szCs w:val="28"/>
          <w:lang w:val="kk-KZ"/>
        </w:rPr>
      </w:pPr>
      <w:bookmarkStart w:id="31" w:name="_Toc186925750"/>
      <w:r>
        <w:rPr>
          <w:rFonts w:ascii="Times New Roman" w:hAnsi="Times New Roman" w:cs="Times New Roman"/>
          <w:b/>
          <w:bCs/>
          <w:color w:val="auto"/>
          <w:sz w:val="28"/>
          <w:szCs w:val="28"/>
          <w:lang w:val="kk-KZ"/>
        </w:rPr>
        <w:lastRenderedPageBreak/>
        <w:t>ПРИЛОЖЕНИЕ Е</w:t>
      </w:r>
      <w:bookmarkEnd w:id="31"/>
    </w:p>
    <w:p w:rsidR="00A75A8D" w:rsidRDefault="00A75A8D">
      <w:pPr>
        <w:spacing w:after="0" w:line="240" w:lineRule="auto"/>
        <w:ind w:firstLineChars="201" w:firstLine="442"/>
        <w:jc w:val="center"/>
        <w:rPr>
          <w:lang w:val="kk-KZ"/>
        </w:rPr>
      </w:pPr>
    </w:p>
    <w:p w:rsidR="00A75A8D" w:rsidRDefault="008A6A51">
      <w:pPr>
        <w:spacing w:after="0" w:line="240" w:lineRule="auto"/>
        <w:ind w:firstLineChars="201" w:firstLine="442"/>
        <w:jc w:val="center"/>
      </w:pPr>
      <w:r>
        <w:rPr>
          <w:noProof/>
          <w:lang w:eastAsia="ru-RU"/>
        </w:rPr>
        <w:drawing>
          <wp:inline distT="0" distB="0" distL="114300" distR="114300">
            <wp:extent cx="5786120" cy="7793355"/>
            <wp:effectExtent l="0" t="0" r="5080" b="0"/>
            <wp:docPr id="33" name="Изображение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Изображение 10"/>
                    <pic:cNvPicPr>
                      <a:picLocks noChangeAspect="1"/>
                    </pic:cNvPicPr>
                  </pic:nvPicPr>
                  <pic:blipFill>
                    <a:blip r:embed="rId46"/>
                    <a:stretch>
                      <a:fillRect/>
                    </a:stretch>
                  </pic:blipFill>
                  <pic:spPr>
                    <a:xfrm>
                      <a:off x="0" y="0"/>
                      <a:ext cx="5787268" cy="7794903"/>
                    </a:xfrm>
                    <a:prstGeom prst="rect">
                      <a:avLst/>
                    </a:prstGeom>
                    <a:noFill/>
                    <a:ln>
                      <a:noFill/>
                    </a:ln>
                  </pic:spPr>
                </pic:pic>
              </a:graphicData>
            </a:graphic>
          </wp:inline>
        </w:drawing>
      </w:r>
    </w:p>
    <w:p w:rsidR="00A75A8D" w:rsidRDefault="00A75A8D">
      <w:pPr>
        <w:spacing w:after="0" w:line="240" w:lineRule="auto"/>
        <w:ind w:firstLineChars="201" w:firstLine="442"/>
        <w:jc w:val="center"/>
      </w:pPr>
    </w:p>
    <w:p w:rsidR="00A75A8D" w:rsidRDefault="00A75A8D">
      <w:pPr>
        <w:spacing w:after="0" w:line="240" w:lineRule="auto"/>
        <w:ind w:firstLineChars="201" w:firstLine="442"/>
        <w:jc w:val="center"/>
      </w:pPr>
    </w:p>
    <w:p w:rsidR="00A75A8D" w:rsidRDefault="008A6A51">
      <w:pPr>
        <w:spacing w:after="0" w:line="240" w:lineRule="auto"/>
        <w:ind w:firstLineChars="201" w:firstLine="442"/>
        <w:jc w:val="center"/>
        <w:rPr>
          <w:lang w:eastAsia="ru-RU"/>
        </w:rPr>
      </w:pPr>
      <w:r>
        <w:rPr>
          <w:noProof/>
          <w:lang w:eastAsia="ru-RU"/>
        </w:rPr>
        <w:lastRenderedPageBreak/>
        <w:drawing>
          <wp:inline distT="0" distB="0" distL="114300" distR="114300">
            <wp:extent cx="5741035" cy="6446520"/>
            <wp:effectExtent l="0" t="0" r="0" b="0"/>
            <wp:docPr id="34" name="Изображение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Изображение 11"/>
                    <pic:cNvPicPr>
                      <a:picLocks noChangeAspect="1"/>
                    </pic:cNvPicPr>
                  </pic:nvPicPr>
                  <pic:blipFill>
                    <a:blip r:embed="rId47"/>
                    <a:stretch>
                      <a:fillRect/>
                    </a:stretch>
                  </pic:blipFill>
                  <pic:spPr>
                    <a:xfrm>
                      <a:off x="0" y="0"/>
                      <a:ext cx="5749859" cy="6456140"/>
                    </a:xfrm>
                    <a:prstGeom prst="rect">
                      <a:avLst/>
                    </a:prstGeom>
                    <a:noFill/>
                    <a:ln>
                      <a:noFill/>
                    </a:ln>
                  </pic:spPr>
                </pic:pic>
              </a:graphicData>
            </a:graphic>
          </wp:inline>
        </w:drawing>
      </w:r>
    </w:p>
    <w:p w:rsidR="00A75A8D" w:rsidRDefault="00A75A8D">
      <w:pPr>
        <w:spacing w:after="0" w:line="240" w:lineRule="auto"/>
        <w:ind w:firstLineChars="201" w:firstLine="442"/>
        <w:jc w:val="center"/>
        <w:rPr>
          <w:lang w:eastAsia="ru-RU"/>
        </w:rPr>
      </w:pPr>
    </w:p>
    <w:p w:rsidR="00A75A8D" w:rsidRDefault="00A75A8D">
      <w:pPr>
        <w:spacing w:after="0" w:line="240" w:lineRule="auto"/>
        <w:ind w:firstLineChars="201" w:firstLine="442"/>
        <w:jc w:val="center"/>
        <w:rPr>
          <w:lang w:eastAsia="ru-RU"/>
        </w:rPr>
      </w:pPr>
    </w:p>
    <w:p w:rsidR="00A75A8D" w:rsidRDefault="00A75A8D">
      <w:pPr>
        <w:spacing w:after="0" w:line="240" w:lineRule="auto"/>
        <w:ind w:firstLineChars="201" w:firstLine="442"/>
        <w:jc w:val="center"/>
        <w:rPr>
          <w:lang w:eastAsia="ru-RU"/>
        </w:rPr>
      </w:pPr>
    </w:p>
    <w:p w:rsidR="00A75A8D" w:rsidRDefault="008A6A51">
      <w:pPr>
        <w:spacing w:after="0" w:line="240" w:lineRule="auto"/>
        <w:ind w:firstLineChars="201" w:firstLine="442"/>
        <w:jc w:val="center"/>
        <w:rPr>
          <w:lang w:val="kk-KZ" w:eastAsia="ru-RU"/>
        </w:rPr>
      </w:pPr>
      <w:r>
        <w:rPr>
          <w:noProof/>
          <w:lang w:eastAsia="ru-RU"/>
        </w:rPr>
        <w:lastRenderedPageBreak/>
        <w:drawing>
          <wp:inline distT="0" distB="0" distL="114300" distR="114300">
            <wp:extent cx="5029200" cy="7134225"/>
            <wp:effectExtent l="0" t="0" r="0" b="9525"/>
            <wp:docPr id="25"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Изображение 1"/>
                    <pic:cNvPicPr>
                      <a:picLocks noChangeAspect="1"/>
                    </pic:cNvPicPr>
                  </pic:nvPicPr>
                  <pic:blipFill>
                    <a:blip r:embed="rId48"/>
                    <a:stretch>
                      <a:fillRect/>
                    </a:stretch>
                  </pic:blipFill>
                  <pic:spPr>
                    <a:xfrm>
                      <a:off x="0" y="0"/>
                      <a:ext cx="5029200" cy="7134225"/>
                    </a:xfrm>
                    <a:prstGeom prst="rect">
                      <a:avLst/>
                    </a:prstGeom>
                    <a:noFill/>
                    <a:ln>
                      <a:noFill/>
                    </a:ln>
                  </pic:spPr>
                </pic:pic>
              </a:graphicData>
            </a:graphic>
          </wp:inline>
        </w:drawing>
      </w:r>
    </w:p>
    <w:sectPr w:rsidR="00A75A8D">
      <w:footerReference w:type="default" r:id="rId49"/>
      <w:pgSz w:w="11906" w:h="16838"/>
      <w:pgMar w:top="1276" w:right="525" w:bottom="1134" w:left="1701" w:header="709" w:footer="709" w:gutter="0"/>
      <w:cols w:space="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A6A51" w:rsidRDefault="008A6A51">
      <w:pPr>
        <w:spacing w:line="240" w:lineRule="auto"/>
      </w:pPr>
      <w:r>
        <w:separator/>
      </w:r>
    </w:p>
  </w:endnote>
  <w:endnote w:type="continuationSeparator" w:id="0">
    <w:p w:rsidR="008A6A51" w:rsidRDefault="008A6A5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TimesNewRomanPSMT">
    <w:altName w:val="Times New Roman"/>
    <w:charset w:val="00"/>
    <w:family w:val="roman"/>
    <w:pitch w:val="default"/>
  </w:font>
  <w:font w:name="Trebuchet MS">
    <w:panose1 w:val="020B0603020202020204"/>
    <w:charset w:val="CC"/>
    <w:family w:val="swiss"/>
    <w:pitch w:val="variable"/>
    <w:sig w:usb0="00000687" w:usb1="00000000" w:usb2="00000000" w:usb3="00000000" w:csb0="0000009F" w:csb1="00000000"/>
  </w:font>
  <w:font w:name="Helvetica">
    <w:panose1 w:val="020B0604020202020204"/>
    <w:charset w:val="00"/>
    <w:family w:val="swiss"/>
    <w:pitch w:val="default"/>
    <w:sig w:usb0="00000000"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rPr>
      <w:id w:val="464163923"/>
    </w:sdtPr>
    <w:sdtEndPr/>
    <w:sdtContent>
      <w:p w:rsidR="00A75A8D" w:rsidRDefault="008A6A51">
        <w:pPr>
          <w:pStyle w:val="af1"/>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PAGE   \* MERGEFORMAT</w:instrText>
        </w:r>
        <w:r>
          <w:rPr>
            <w:rFonts w:ascii="Times New Roman" w:hAnsi="Times New Roman" w:cs="Times New Roman"/>
          </w:rPr>
          <w:fldChar w:fldCharType="separate"/>
        </w:r>
        <w:r w:rsidR="00511EAA">
          <w:rPr>
            <w:rFonts w:ascii="Times New Roman" w:hAnsi="Times New Roman" w:cs="Times New Roman"/>
            <w:noProof/>
          </w:rPr>
          <w:t>11</w:t>
        </w:r>
        <w:r>
          <w:rPr>
            <w:rFonts w:ascii="Times New Roman" w:hAnsi="Times New Roman" w:cs="Times New Roman"/>
          </w:rPr>
          <w:fldChar w:fldCharType="end"/>
        </w:r>
      </w:p>
    </w:sdtContent>
  </w:sdt>
  <w:p w:rsidR="00A75A8D" w:rsidRDefault="00A75A8D">
    <w:pPr>
      <w:pStyle w:val="af1"/>
      <w:rPr>
        <w:rFonts w:ascii="Times New Roman" w:hAnsi="Times New Roman" w:cs="Times New Roman"/>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A6A51" w:rsidRDefault="008A6A51">
      <w:pPr>
        <w:spacing w:after="0"/>
      </w:pPr>
      <w:r>
        <w:separator/>
      </w:r>
    </w:p>
  </w:footnote>
  <w:footnote w:type="continuationSeparator" w:id="0">
    <w:p w:rsidR="008A6A51" w:rsidRDefault="008A6A51">
      <w:pPr>
        <w:spacing w:after="0"/>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CEFF1133"/>
    <w:multiLevelType w:val="singleLevel"/>
    <w:tmpl w:val="CEFF1133"/>
    <w:lvl w:ilvl="0">
      <w:start w:val="1"/>
      <w:numFmt w:val="decimal"/>
      <w:suff w:val="space"/>
      <w:lvlText w:val="%1."/>
      <w:lvlJc w:val="left"/>
    </w:lvl>
  </w:abstractNum>
  <w:abstractNum w:abstractNumId="1" w15:restartNumberingAfterBreak="0">
    <w:nsid w:val="F3D559F0"/>
    <w:multiLevelType w:val="singleLevel"/>
    <w:tmpl w:val="F3D559F0"/>
    <w:lvl w:ilvl="0">
      <w:start w:val="1"/>
      <w:numFmt w:val="decimal"/>
      <w:lvlText w:val="%1."/>
      <w:lvlJc w:val="left"/>
      <w:pPr>
        <w:tabs>
          <w:tab w:val="left" w:pos="425"/>
        </w:tabs>
        <w:ind w:left="425" w:hanging="425"/>
      </w:pPr>
    </w:lvl>
  </w:abstractNum>
  <w:abstractNum w:abstractNumId="2" w15:restartNumberingAfterBreak="0">
    <w:nsid w:val="F9E22480"/>
    <w:multiLevelType w:val="multilevel"/>
    <w:tmpl w:val="F9E22480"/>
    <w:lvl w:ilvl="0">
      <w:start w:val="1"/>
      <w:numFmt w:val="decimal"/>
      <w:lvlText w:val="%1."/>
      <w:lvlJc w:val="left"/>
      <w:pPr>
        <w:ind w:left="927" w:hanging="360"/>
      </w:pPr>
      <w:rPr>
        <w:rFonts w:hint="default"/>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3" w15:restartNumberingAfterBreak="0">
    <w:nsid w:val="11D54389"/>
    <w:multiLevelType w:val="multilevel"/>
    <w:tmpl w:val="11D54389"/>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4" w15:restartNumberingAfterBreak="0">
    <w:nsid w:val="23702AFD"/>
    <w:multiLevelType w:val="multilevel"/>
    <w:tmpl w:val="23702AFD"/>
    <w:lvl w:ilvl="0">
      <w:start w:val="1"/>
      <w:numFmt w:val="decimal"/>
      <w:pStyle w:val="a"/>
      <w:lvlText w:val="%1."/>
      <w:lvlJc w:val="left"/>
      <w:pPr>
        <w:ind w:left="927" w:hanging="360"/>
      </w:pPr>
      <w:rPr>
        <w:rFonts w:hint="default"/>
        <w:color w:val="000000" w:themeColor="text1"/>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5" w15:restartNumberingAfterBreak="0">
    <w:nsid w:val="2B6B2321"/>
    <w:multiLevelType w:val="singleLevel"/>
    <w:tmpl w:val="2B6B2321"/>
    <w:lvl w:ilvl="0">
      <w:start w:val="1"/>
      <w:numFmt w:val="decimal"/>
      <w:suff w:val="space"/>
      <w:lvlText w:val="%1."/>
      <w:lvlJc w:val="left"/>
    </w:lvl>
  </w:abstractNum>
  <w:abstractNum w:abstractNumId="6" w15:restartNumberingAfterBreak="0">
    <w:nsid w:val="4F83235F"/>
    <w:multiLevelType w:val="multilevel"/>
    <w:tmpl w:val="4F83235F"/>
    <w:lvl w:ilvl="0">
      <w:start w:val="1"/>
      <w:numFmt w:val="decimal"/>
      <w:lvlText w:val="%1."/>
      <w:lvlJc w:val="left"/>
      <w:pPr>
        <w:ind w:left="927" w:hanging="360"/>
      </w:pPr>
      <w:rPr>
        <w:rFonts w:hint="default"/>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7" w15:restartNumberingAfterBreak="0">
    <w:nsid w:val="71C71D4B"/>
    <w:multiLevelType w:val="multilevel"/>
    <w:tmpl w:val="71C71D4B"/>
    <w:lvl w:ilvl="0">
      <w:start w:val="1"/>
      <w:numFmt w:val="decimal"/>
      <w:lvlText w:val="%1."/>
      <w:lvlJc w:val="left"/>
      <w:pPr>
        <w:ind w:left="3600" w:hanging="360"/>
      </w:pPr>
    </w:lvl>
    <w:lvl w:ilvl="1">
      <w:start w:val="1"/>
      <w:numFmt w:val="lowerLetter"/>
      <w:lvlText w:val="%2."/>
      <w:lvlJc w:val="left"/>
      <w:pPr>
        <w:ind w:left="4320" w:hanging="360"/>
      </w:pPr>
    </w:lvl>
    <w:lvl w:ilvl="2">
      <w:start w:val="1"/>
      <w:numFmt w:val="lowerRoman"/>
      <w:lvlText w:val="%3."/>
      <w:lvlJc w:val="right"/>
      <w:pPr>
        <w:ind w:left="5040" w:hanging="180"/>
      </w:pPr>
    </w:lvl>
    <w:lvl w:ilvl="3">
      <w:start w:val="1"/>
      <w:numFmt w:val="decimal"/>
      <w:lvlText w:val="%4."/>
      <w:lvlJc w:val="left"/>
      <w:pPr>
        <w:ind w:left="5760" w:hanging="360"/>
      </w:pPr>
    </w:lvl>
    <w:lvl w:ilvl="4">
      <w:start w:val="1"/>
      <w:numFmt w:val="lowerLetter"/>
      <w:lvlText w:val="%5."/>
      <w:lvlJc w:val="left"/>
      <w:pPr>
        <w:ind w:left="6480" w:hanging="360"/>
      </w:pPr>
    </w:lvl>
    <w:lvl w:ilvl="5">
      <w:start w:val="1"/>
      <w:numFmt w:val="lowerRoman"/>
      <w:lvlText w:val="%6."/>
      <w:lvlJc w:val="right"/>
      <w:pPr>
        <w:ind w:left="7200" w:hanging="180"/>
      </w:pPr>
    </w:lvl>
    <w:lvl w:ilvl="6">
      <w:start w:val="1"/>
      <w:numFmt w:val="decimal"/>
      <w:lvlText w:val="%7."/>
      <w:lvlJc w:val="left"/>
      <w:pPr>
        <w:ind w:left="7920" w:hanging="360"/>
      </w:pPr>
    </w:lvl>
    <w:lvl w:ilvl="7">
      <w:start w:val="1"/>
      <w:numFmt w:val="lowerLetter"/>
      <w:lvlText w:val="%8."/>
      <w:lvlJc w:val="left"/>
      <w:pPr>
        <w:ind w:left="8640" w:hanging="360"/>
      </w:pPr>
    </w:lvl>
    <w:lvl w:ilvl="8">
      <w:start w:val="1"/>
      <w:numFmt w:val="lowerRoman"/>
      <w:lvlText w:val="%9."/>
      <w:lvlJc w:val="right"/>
      <w:pPr>
        <w:ind w:left="9360" w:hanging="180"/>
      </w:pPr>
    </w:lvl>
  </w:abstractNum>
  <w:num w:numId="1">
    <w:abstractNumId w:val="3"/>
  </w:num>
  <w:num w:numId="2">
    <w:abstractNumId w:val="4"/>
  </w:num>
  <w:num w:numId="3">
    <w:abstractNumId w:val="0"/>
  </w:num>
  <w:num w:numId="4">
    <w:abstractNumId w:val="1"/>
    <w:lvlOverride w:ilvl="0">
      <w:startOverride w:val="1"/>
    </w:lvlOverride>
  </w:num>
  <w:num w:numId="5">
    <w:abstractNumId w:val="6"/>
  </w:num>
  <w:num w:numId="6">
    <w:abstractNumId w:val="2"/>
  </w:num>
  <w:num w:numId="7">
    <w:abstractNumId w:val="7"/>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1082"/>
    <w:rsid w:val="00004CAF"/>
    <w:rsid w:val="00006603"/>
    <w:rsid w:val="000077D2"/>
    <w:rsid w:val="00011D2B"/>
    <w:rsid w:val="000125CB"/>
    <w:rsid w:val="000211D0"/>
    <w:rsid w:val="00023C16"/>
    <w:rsid w:val="000256A9"/>
    <w:rsid w:val="000260DD"/>
    <w:rsid w:val="000305E1"/>
    <w:rsid w:val="00030671"/>
    <w:rsid w:val="00032239"/>
    <w:rsid w:val="00032D49"/>
    <w:rsid w:val="00033DC4"/>
    <w:rsid w:val="00034A0A"/>
    <w:rsid w:val="0003628F"/>
    <w:rsid w:val="000364ED"/>
    <w:rsid w:val="00037367"/>
    <w:rsid w:val="00037C37"/>
    <w:rsid w:val="0004427D"/>
    <w:rsid w:val="000446D6"/>
    <w:rsid w:val="000540E5"/>
    <w:rsid w:val="00057D46"/>
    <w:rsid w:val="00065D9A"/>
    <w:rsid w:val="00067787"/>
    <w:rsid w:val="00073EF0"/>
    <w:rsid w:val="000743AD"/>
    <w:rsid w:val="00074F5E"/>
    <w:rsid w:val="00076C39"/>
    <w:rsid w:val="00076F32"/>
    <w:rsid w:val="000778D4"/>
    <w:rsid w:val="00080BAF"/>
    <w:rsid w:val="00082180"/>
    <w:rsid w:val="00082F9C"/>
    <w:rsid w:val="0008376B"/>
    <w:rsid w:val="00086A2D"/>
    <w:rsid w:val="00086AE6"/>
    <w:rsid w:val="00090544"/>
    <w:rsid w:val="00091938"/>
    <w:rsid w:val="0009574C"/>
    <w:rsid w:val="000A006F"/>
    <w:rsid w:val="000A09AA"/>
    <w:rsid w:val="000A0EE1"/>
    <w:rsid w:val="000A2238"/>
    <w:rsid w:val="000A76AF"/>
    <w:rsid w:val="000B44FF"/>
    <w:rsid w:val="000B6037"/>
    <w:rsid w:val="000C1CDC"/>
    <w:rsid w:val="000C3544"/>
    <w:rsid w:val="000C4205"/>
    <w:rsid w:val="000C4FDB"/>
    <w:rsid w:val="000C763F"/>
    <w:rsid w:val="000D26F9"/>
    <w:rsid w:val="000D6101"/>
    <w:rsid w:val="000D6962"/>
    <w:rsid w:val="000E47C5"/>
    <w:rsid w:val="000E581E"/>
    <w:rsid w:val="000F1956"/>
    <w:rsid w:val="000F579C"/>
    <w:rsid w:val="00102F81"/>
    <w:rsid w:val="001134D7"/>
    <w:rsid w:val="0011460F"/>
    <w:rsid w:val="001150FC"/>
    <w:rsid w:val="00126DE4"/>
    <w:rsid w:val="001306D7"/>
    <w:rsid w:val="00132426"/>
    <w:rsid w:val="0013275C"/>
    <w:rsid w:val="00132E1A"/>
    <w:rsid w:val="0013349F"/>
    <w:rsid w:val="0013528E"/>
    <w:rsid w:val="001379E3"/>
    <w:rsid w:val="00140E55"/>
    <w:rsid w:val="00141900"/>
    <w:rsid w:val="001434CF"/>
    <w:rsid w:val="00144326"/>
    <w:rsid w:val="0015140E"/>
    <w:rsid w:val="00151803"/>
    <w:rsid w:val="001521EE"/>
    <w:rsid w:val="00154293"/>
    <w:rsid w:val="00155E56"/>
    <w:rsid w:val="001575F8"/>
    <w:rsid w:val="00157B37"/>
    <w:rsid w:val="001606C8"/>
    <w:rsid w:val="00161AC7"/>
    <w:rsid w:val="00165113"/>
    <w:rsid w:val="00167F7C"/>
    <w:rsid w:val="001704C4"/>
    <w:rsid w:val="00176390"/>
    <w:rsid w:val="00176A24"/>
    <w:rsid w:val="0018133C"/>
    <w:rsid w:val="0018230E"/>
    <w:rsid w:val="00184391"/>
    <w:rsid w:val="00191039"/>
    <w:rsid w:val="0019221F"/>
    <w:rsid w:val="0019314C"/>
    <w:rsid w:val="00193403"/>
    <w:rsid w:val="00194ED9"/>
    <w:rsid w:val="00196515"/>
    <w:rsid w:val="001968D6"/>
    <w:rsid w:val="00197BF7"/>
    <w:rsid w:val="001A036F"/>
    <w:rsid w:val="001A1B3C"/>
    <w:rsid w:val="001A2C0F"/>
    <w:rsid w:val="001A2D88"/>
    <w:rsid w:val="001A5846"/>
    <w:rsid w:val="001A5D2A"/>
    <w:rsid w:val="001A603F"/>
    <w:rsid w:val="001A6577"/>
    <w:rsid w:val="001A6717"/>
    <w:rsid w:val="001B031E"/>
    <w:rsid w:val="001B0688"/>
    <w:rsid w:val="001B1677"/>
    <w:rsid w:val="001B1B59"/>
    <w:rsid w:val="001B3AFF"/>
    <w:rsid w:val="001B3F6B"/>
    <w:rsid w:val="001B549E"/>
    <w:rsid w:val="001B5D6E"/>
    <w:rsid w:val="001B5D85"/>
    <w:rsid w:val="001C4701"/>
    <w:rsid w:val="001C5310"/>
    <w:rsid w:val="001C5610"/>
    <w:rsid w:val="001C757C"/>
    <w:rsid w:val="001D1A10"/>
    <w:rsid w:val="001D3203"/>
    <w:rsid w:val="001D41DA"/>
    <w:rsid w:val="001D5556"/>
    <w:rsid w:val="001D5560"/>
    <w:rsid w:val="001D5D61"/>
    <w:rsid w:val="001E29F6"/>
    <w:rsid w:val="001E354F"/>
    <w:rsid w:val="001E53FA"/>
    <w:rsid w:val="001E55F8"/>
    <w:rsid w:val="001F39B7"/>
    <w:rsid w:val="001F6B81"/>
    <w:rsid w:val="0020229F"/>
    <w:rsid w:val="00214E43"/>
    <w:rsid w:val="00217EFB"/>
    <w:rsid w:val="0022031A"/>
    <w:rsid w:val="0022316B"/>
    <w:rsid w:val="00223F0D"/>
    <w:rsid w:val="00226764"/>
    <w:rsid w:val="0022778C"/>
    <w:rsid w:val="0022790F"/>
    <w:rsid w:val="00230609"/>
    <w:rsid w:val="002351F5"/>
    <w:rsid w:val="002358A6"/>
    <w:rsid w:val="00240490"/>
    <w:rsid w:val="00240BB6"/>
    <w:rsid w:val="0024316A"/>
    <w:rsid w:val="00243383"/>
    <w:rsid w:val="002439F5"/>
    <w:rsid w:val="00247F48"/>
    <w:rsid w:val="002513AC"/>
    <w:rsid w:val="00255D89"/>
    <w:rsid w:val="00255F6C"/>
    <w:rsid w:val="002577E8"/>
    <w:rsid w:val="00262229"/>
    <w:rsid w:val="002631D2"/>
    <w:rsid w:val="0026495C"/>
    <w:rsid w:val="00265FE1"/>
    <w:rsid w:val="00274842"/>
    <w:rsid w:val="00275A59"/>
    <w:rsid w:val="002778F2"/>
    <w:rsid w:val="00277AB3"/>
    <w:rsid w:val="002801F9"/>
    <w:rsid w:val="002815A2"/>
    <w:rsid w:val="00282A4D"/>
    <w:rsid w:val="002830EE"/>
    <w:rsid w:val="00286110"/>
    <w:rsid w:val="00286CC8"/>
    <w:rsid w:val="002877AB"/>
    <w:rsid w:val="00287D99"/>
    <w:rsid w:val="00291603"/>
    <w:rsid w:val="00295FCB"/>
    <w:rsid w:val="0029638C"/>
    <w:rsid w:val="00297745"/>
    <w:rsid w:val="002A09D8"/>
    <w:rsid w:val="002A1B9D"/>
    <w:rsid w:val="002A3683"/>
    <w:rsid w:val="002A44E9"/>
    <w:rsid w:val="002A4AEE"/>
    <w:rsid w:val="002A6403"/>
    <w:rsid w:val="002A71C1"/>
    <w:rsid w:val="002B1B36"/>
    <w:rsid w:val="002B3C46"/>
    <w:rsid w:val="002B528B"/>
    <w:rsid w:val="002B590E"/>
    <w:rsid w:val="002C2614"/>
    <w:rsid w:val="002C28F7"/>
    <w:rsid w:val="002C318E"/>
    <w:rsid w:val="002C358B"/>
    <w:rsid w:val="002C4423"/>
    <w:rsid w:val="002C55C1"/>
    <w:rsid w:val="002D7BF4"/>
    <w:rsid w:val="002E1965"/>
    <w:rsid w:val="002F14B6"/>
    <w:rsid w:val="002F2073"/>
    <w:rsid w:val="00300B68"/>
    <w:rsid w:val="00301495"/>
    <w:rsid w:val="00302998"/>
    <w:rsid w:val="00302EFC"/>
    <w:rsid w:val="003067D5"/>
    <w:rsid w:val="00310B71"/>
    <w:rsid w:val="0031110E"/>
    <w:rsid w:val="00314700"/>
    <w:rsid w:val="00315C8F"/>
    <w:rsid w:val="003174AF"/>
    <w:rsid w:val="00320C3B"/>
    <w:rsid w:val="00323610"/>
    <w:rsid w:val="00325FE1"/>
    <w:rsid w:val="003263F7"/>
    <w:rsid w:val="00330D29"/>
    <w:rsid w:val="003335E5"/>
    <w:rsid w:val="0033539F"/>
    <w:rsid w:val="00336972"/>
    <w:rsid w:val="0034272F"/>
    <w:rsid w:val="0034409C"/>
    <w:rsid w:val="003446B0"/>
    <w:rsid w:val="00344B24"/>
    <w:rsid w:val="00344CD1"/>
    <w:rsid w:val="00345C05"/>
    <w:rsid w:val="00345CA0"/>
    <w:rsid w:val="00346449"/>
    <w:rsid w:val="00346956"/>
    <w:rsid w:val="0034723C"/>
    <w:rsid w:val="003510EB"/>
    <w:rsid w:val="00352B79"/>
    <w:rsid w:val="00354EED"/>
    <w:rsid w:val="00356216"/>
    <w:rsid w:val="0036063E"/>
    <w:rsid w:val="00363800"/>
    <w:rsid w:val="00364831"/>
    <w:rsid w:val="0036492B"/>
    <w:rsid w:val="00367073"/>
    <w:rsid w:val="00370801"/>
    <w:rsid w:val="00371ED8"/>
    <w:rsid w:val="00372B89"/>
    <w:rsid w:val="00376C13"/>
    <w:rsid w:val="0037758F"/>
    <w:rsid w:val="00377B6F"/>
    <w:rsid w:val="00381A57"/>
    <w:rsid w:val="00383AF5"/>
    <w:rsid w:val="00383B4F"/>
    <w:rsid w:val="003844A7"/>
    <w:rsid w:val="00385470"/>
    <w:rsid w:val="00385B32"/>
    <w:rsid w:val="0038793A"/>
    <w:rsid w:val="00387A57"/>
    <w:rsid w:val="00387C21"/>
    <w:rsid w:val="00387D27"/>
    <w:rsid w:val="00395D0B"/>
    <w:rsid w:val="00397863"/>
    <w:rsid w:val="003A0285"/>
    <w:rsid w:val="003A0FDB"/>
    <w:rsid w:val="003A4394"/>
    <w:rsid w:val="003A4AEA"/>
    <w:rsid w:val="003A6A7C"/>
    <w:rsid w:val="003B54F7"/>
    <w:rsid w:val="003B5917"/>
    <w:rsid w:val="003B7582"/>
    <w:rsid w:val="003C3AE7"/>
    <w:rsid w:val="003D086B"/>
    <w:rsid w:val="003D18AE"/>
    <w:rsid w:val="003D27F0"/>
    <w:rsid w:val="003D492C"/>
    <w:rsid w:val="003D4C67"/>
    <w:rsid w:val="003D4C9E"/>
    <w:rsid w:val="003D642D"/>
    <w:rsid w:val="003D7E45"/>
    <w:rsid w:val="003D7F2E"/>
    <w:rsid w:val="003E58E6"/>
    <w:rsid w:val="003E76C0"/>
    <w:rsid w:val="003F043E"/>
    <w:rsid w:val="003F0EF0"/>
    <w:rsid w:val="003F1B4F"/>
    <w:rsid w:val="003F1CAA"/>
    <w:rsid w:val="003F2A97"/>
    <w:rsid w:val="003F4D16"/>
    <w:rsid w:val="003F5B85"/>
    <w:rsid w:val="003F63D5"/>
    <w:rsid w:val="003F69A4"/>
    <w:rsid w:val="00401082"/>
    <w:rsid w:val="004043CE"/>
    <w:rsid w:val="00406AB8"/>
    <w:rsid w:val="00412077"/>
    <w:rsid w:val="004169A6"/>
    <w:rsid w:val="004171F2"/>
    <w:rsid w:val="00423AFD"/>
    <w:rsid w:val="004243AA"/>
    <w:rsid w:val="004253D8"/>
    <w:rsid w:val="00430518"/>
    <w:rsid w:val="004319BE"/>
    <w:rsid w:val="00434C3C"/>
    <w:rsid w:val="00435AFC"/>
    <w:rsid w:val="00440FFE"/>
    <w:rsid w:val="00441E04"/>
    <w:rsid w:val="00442FCD"/>
    <w:rsid w:val="004435A9"/>
    <w:rsid w:val="00444AFA"/>
    <w:rsid w:val="00445EAB"/>
    <w:rsid w:val="004468FD"/>
    <w:rsid w:val="0044788E"/>
    <w:rsid w:val="00452A83"/>
    <w:rsid w:val="00455F55"/>
    <w:rsid w:val="00456882"/>
    <w:rsid w:val="00456B23"/>
    <w:rsid w:val="00457982"/>
    <w:rsid w:val="00457A89"/>
    <w:rsid w:val="0046080F"/>
    <w:rsid w:val="00460A23"/>
    <w:rsid w:val="0046537E"/>
    <w:rsid w:val="00467504"/>
    <w:rsid w:val="004679A5"/>
    <w:rsid w:val="00470304"/>
    <w:rsid w:val="00471A47"/>
    <w:rsid w:val="00474873"/>
    <w:rsid w:val="00475236"/>
    <w:rsid w:val="00476E9C"/>
    <w:rsid w:val="0048010D"/>
    <w:rsid w:val="004843C8"/>
    <w:rsid w:val="00487F38"/>
    <w:rsid w:val="004902A4"/>
    <w:rsid w:val="0049110F"/>
    <w:rsid w:val="00493D89"/>
    <w:rsid w:val="00495165"/>
    <w:rsid w:val="00496FDB"/>
    <w:rsid w:val="004A1422"/>
    <w:rsid w:val="004A4139"/>
    <w:rsid w:val="004A5846"/>
    <w:rsid w:val="004A63AA"/>
    <w:rsid w:val="004A74E6"/>
    <w:rsid w:val="004B17FA"/>
    <w:rsid w:val="004B256E"/>
    <w:rsid w:val="004B3760"/>
    <w:rsid w:val="004B3828"/>
    <w:rsid w:val="004B4E3C"/>
    <w:rsid w:val="004B57D3"/>
    <w:rsid w:val="004C563C"/>
    <w:rsid w:val="004C7FB7"/>
    <w:rsid w:val="004D1DA7"/>
    <w:rsid w:val="004D4894"/>
    <w:rsid w:val="004D5E76"/>
    <w:rsid w:val="004E404C"/>
    <w:rsid w:val="004E4B94"/>
    <w:rsid w:val="004F37FB"/>
    <w:rsid w:val="004F6932"/>
    <w:rsid w:val="004F7208"/>
    <w:rsid w:val="005005A2"/>
    <w:rsid w:val="0050156E"/>
    <w:rsid w:val="0050199A"/>
    <w:rsid w:val="00502087"/>
    <w:rsid w:val="00503F53"/>
    <w:rsid w:val="005116AE"/>
    <w:rsid w:val="00511EAA"/>
    <w:rsid w:val="0052184D"/>
    <w:rsid w:val="00522F43"/>
    <w:rsid w:val="0052321C"/>
    <w:rsid w:val="0052425D"/>
    <w:rsid w:val="0052663B"/>
    <w:rsid w:val="00526A5B"/>
    <w:rsid w:val="00527F03"/>
    <w:rsid w:val="005301CC"/>
    <w:rsid w:val="00531B06"/>
    <w:rsid w:val="005346DD"/>
    <w:rsid w:val="00536909"/>
    <w:rsid w:val="00540275"/>
    <w:rsid w:val="00541284"/>
    <w:rsid w:val="0054177D"/>
    <w:rsid w:val="0054194E"/>
    <w:rsid w:val="00543553"/>
    <w:rsid w:val="005468BE"/>
    <w:rsid w:val="00551C8E"/>
    <w:rsid w:val="0055304A"/>
    <w:rsid w:val="00553915"/>
    <w:rsid w:val="00553CB2"/>
    <w:rsid w:val="005542E3"/>
    <w:rsid w:val="0055549A"/>
    <w:rsid w:val="0055798A"/>
    <w:rsid w:val="005610A4"/>
    <w:rsid w:val="005674F5"/>
    <w:rsid w:val="00572F37"/>
    <w:rsid w:val="005775F7"/>
    <w:rsid w:val="00581FE8"/>
    <w:rsid w:val="00584EAB"/>
    <w:rsid w:val="00586BF4"/>
    <w:rsid w:val="005876EE"/>
    <w:rsid w:val="00587B25"/>
    <w:rsid w:val="00597029"/>
    <w:rsid w:val="005A0C40"/>
    <w:rsid w:val="005A15B2"/>
    <w:rsid w:val="005A2C85"/>
    <w:rsid w:val="005A380B"/>
    <w:rsid w:val="005A3EED"/>
    <w:rsid w:val="005A5AE2"/>
    <w:rsid w:val="005A718F"/>
    <w:rsid w:val="005B2724"/>
    <w:rsid w:val="005B3A06"/>
    <w:rsid w:val="005B5E22"/>
    <w:rsid w:val="005B6851"/>
    <w:rsid w:val="005C1DAA"/>
    <w:rsid w:val="005C20D2"/>
    <w:rsid w:val="005C3E5B"/>
    <w:rsid w:val="005C437D"/>
    <w:rsid w:val="005C5712"/>
    <w:rsid w:val="005D454A"/>
    <w:rsid w:val="005D6545"/>
    <w:rsid w:val="005D6A55"/>
    <w:rsid w:val="005E089A"/>
    <w:rsid w:val="005E10BF"/>
    <w:rsid w:val="005E52F4"/>
    <w:rsid w:val="005E7D5D"/>
    <w:rsid w:val="005E7FC4"/>
    <w:rsid w:val="005F0D83"/>
    <w:rsid w:val="005F3C25"/>
    <w:rsid w:val="005F4B61"/>
    <w:rsid w:val="005F7270"/>
    <w:rsid w:val="00600CA0"/>
    <w:rsid w:val="00600DFC"/>
    <w:rsid w:val="006016B6"/>
    <w:rsid w:val="00601DC4"/>
    <w:rsid w:val="00601E3E"/>
    <w:rsid w:val="006025F3"/>
    <w:rsid w:val="006038E1"/>
    <w:rsid w:val="00603FAD"/>
    <w:rsid w:val="006061A5"/>
    <w:rsid w:val="00611B2D"/>
    <w:rsid w:val="00616C53"/>
    <w:rsid w:val="00616D53"/>
    <w:rsid w:val="0061756B"/>
    <w:rsid w:val="00622990"/>
    <w:rsid w:val="00626F2D"/>
    <w:rsid w:val="0063154A"/>
    <w:rsid w:val="00632A47"/>
    <w:rsid w:val="00635420"/>
    <w:rsid w:val="00636973"/>
    <w:rsid w:val="00636CE5"/>
    <w:rsid w:val="0063702C"/>
    <w:rsid w:val="0064245E"/>
    <w:rsid w:val="006426C9"/>
    <w:rsid w:val="00643C7B"/>
    <w:rsid w:val="0064460B"/>
    <w:rsid w:val="0064717D"/>
    <w:rsid w:val="00647DD9"/>
    <w:rsid w:val="00652666"/>
    <w:rsid w:val="00654100"/>
    <w:rsid w:val="006547AE"/>
    <w:rsid w:val="006560E7"/>
    <w:rsid w:val="00657779"/>
    <w:rsid w:val="00657E80"/>
    <w:rsid w:val="0066065B"/>
    <w:rsid w:val="00665588"/>
    <w:rsid w:val="00673BA1"/>
    <w:rsid w:val="006831DD"/>
    <w:rsid w:val="00683402"/>
    <w:rsid w:val="0068517D"/>
    <w:rsid w:val="00686DEC"/>
    <w:rsid w:val="00686F92"/>
    <w:rsid w:val="006918E9"/>
    <w:rsid w:val="006A0495"/>
    <w:rsid w:val="006A373B"/>
    <w:rsid w:val="006B0273"/>
    <w:rsid w:val="006B0D27"/>
    <w:rsid w:val="006B2C63"/>
    <w:rsid w:val="006B36FA"/>
    <w:rsid w:val="006B495B"/>
    <w:rsid w:val="006B7316"/>
    <w:rsid w:val="006B78EE"/>
    <w:rsid w:val="006C2008"/>
    <w:rsid w:val="006C3D20"/>
    <w:rsid w:val="006C7407"/>
    <w:rsid w:val="006D11CB"/>
    <w:rsid w:val="006D1820"/>
    <w:rsid w:val="006D2EAD"/>
    <w:rsid w:val="006D2FDC"/>
    <w:rsid w:val="006D6450"/>
    <w:rsid w:val="006D78E5"/>
    <w:rsid w:val="006E1A44"/>
    <w:rsid w:val="006E48D0"/>
    <w:rsid w:val="006E5D1B"/>
    <w:rsid w:val="006E71FE"/>
    <w:rsid w:val="006F06A6"/>
    <w:rsid w:val="006F388A"/>
    <w:rsid w:val="006F3A84"/>
    <w:rsid w:val="00702FF5"/>
    <w:rsid w:val="00704CD3"/>
    <w:rsid w:val="00704D36"/>
    <w:rsid w:val="007050C4"/>
    <w:rsid w:val="0070795F"/>
    <w:rsid w:val="007121EB"/>
    <w:rsid w:val="007136C4"/>
    <w:rsid w:val="007154F4"/>
    <w:rsid w:val="007176DB"/>
    <w:rsid w:val="00721991"/>
    <w:rsid w:val="0072274D"/>
    <w:rsid w:val="00730319"/>
    <w:rsid w:val="00731AAE"/>
    <w:rsid w:val="007329FF"/>
    <w:rsid w:val="00736532"/>
    <w:rsid w:val="00737857"/>
    <w:rsid w:val="00740038"/>
    <w:rsid w:val="00740BF0"/>
    <w:rsid w:val="00746164"/>
    <w:rsid w:val="00747376"/>
    <w:rsid w:val="00747CC8"/>
    <w:rsid w:val="00752AA5"/>
    <w:rsid w:val="00752AF0"/>
    <w:rsid w:val="00752E74"/>
    <w:rsid w:val="00754669"/>
    <w:rsid w:val="00755352"/>
    <w:rsid w:val="007553CA"/>
    <w:rsid w:val="0075575C"/>
    <w:rsid w:val="007565A9"/>
    <w:rsid w:val="00756D8B"/>
    <w:rsid w:val="00763C36"/>
    <w:rsid w:val="00763EFF"/>
    <w:rsid w:val="0076731F"/>
    <w:rsid w:val="007676E4"/>
    <w:rsid w:val="007703CF"/>
    <w:rsid w:val="0077186F"/>
    <w:rsid w:val="00774BFE"/>
    <w:rsid w:val="007800AC"/>
    <w:rsid w:val="007820D0"/>
    <w:rsid w:val="00792379"/>
    <w:rsid w:val="007943C3"/>
    <w:rsid w:val="00794675"/>
    <w:rsid w:val="00795E31"/>
    <w:rsid w:val="0079610B"/>
    <w:rsid w:val="007A2715"/>
    <w:rsid w:val="007A6ADF"/>
    <w:rsid w:val="007A6E56"/>
    <w:rsid w:val="007A793F"/>
    <w:rsid w:val="007B02AC"/>
    <w:rsid w:val="007B27D2"/>
    <w:rsid w:val="007B44FE"/>
    <w:rsid w:val="007B7226"/>
    <w:rsid w:val="007B7D62"/>
    <w:rsid w:val="007B7F08"/>
    <w:rsid w:val="007C1931"/>
    <w:rsid w:val="007C1967"/>
    <w:rsid w:val="007C2591"/>
    <w:rsid w:val="007C73D6"/>
    <w:rsid w:val="007D56C8"/>
    <w:rsid w:val="007D5AFF"/>
    <w:rsid w:val="007D683B"/>
    <w:rsid w:val="007E30E9"/>
    <w:rsid w:val="007E64C1"/>
    <w:rsid w:val="007E7E49"/>
    <w:rsid w:val="007F1F76"/>
    <w:rsid w:val="007F27EB"/>
    <w:rsid w:val="007F674A"/>
    <w:rsid w:val="007F7696"/>
    <w:rsid w:val="00805157"/>
    <w:rsid w:val="00811AFD"/>
    <w:rsid w:val="0081282C"/>
    <w:rsid w:val="00812F70"/>
    <w:rsid w:val="00813065"/>
    <w:rsid w:val="00814679"/>
    <w:rsid w:val="008157AB"/>
    <w:rsid w:val="00817703"/>
    <w:rsid w:val="00817A82"/>
    <w:rsid w:val="00824374"/>
    <w:rsid w:val="008265A6"/>
    <w:rsid w:val="008275E4"/>
    <w:rsid w:val="00831AA4"/>
    <w:rsid w:val="00831C00"/>
    <w:rsid w:val="00843398"/>
    <w:rsid w:val="00846DE6"/>
    <w:rsid w:val="00847699"/>
    <w:rsid w:val="00847B62"/>
    <w:rsid w:val="0085019D"/>
    <w:rsid w:val="00850A29"/>
    <w:rsid w:val="008548B2"/>
    <w:rsid w:val="00856A61"/>
    <w:rsid w:val="00856FC7"/>
    <w:rsid w:val="00860D72"/>
    <w:rsid w:val="008621CB"/>
    <w:rsid w:val="00863881"/>
    <w:rsid w:val="008668C9"/>
    <w:rsid w:val="0086772C"/>
    <w:rsid w:val="00876E8C"/>
    <w:rsid w:val="00881923"/>
    <w:rsid w:val="008849BB"/>
    <w:rsid w:val="0088578E"/>
    <w:rsid w:val="00887F23"/>
    <w:rsid w:val="008911EF"/>
    <w:rsid w:val="00892271"/>
    <w:rsid w:val="00893ADA"/>
    <w:rsid w:val="00893FD2"/>
    <w:rsid w:val="00897976"/>
    <w:rsid w:val="008A1A47"/>
    <w:rsid w:val="008A3839"/>
    <w:rsid w:val="008A564F"/>
    <w:rsid w:val="008A5B8A"/>
    <w:rsid w:val="008A5EC3"/>
    <w:rsid w:val="008A5EEE"/>
    <w:rsid w:val="008A5FA0"/>
    <w:rsid w:val="008A6A51"/>
    <w:rsid w:val="008B0C49"/>
    <w:rsid w:val="008B1999"/>
    <w:rsid w:val="008B33BB"/>
    <w:rsid w:val="008C101B"/>
    <w:rsid w:val="008C53CA"/>
    <w:rsid w:val="008C59B1"/>
    <w:rsid w:val="008C793B"/>
    <w:rsid w:val="008C7B8A"/>
    <w:rsid w:val="008D183C"/>
    <w:rsid w:val="008D207D"/>
    <w:rsid w:val="008D416F"/>
    <w:rsid w:val="008D5E09"/>
    <w:rsid w:val="008D668A"/>
    <w:rsid w:val="008E2A3B"/>
    <w:rsid w:val="008E2D05"/>
    <w:rsid w:val="008E6D03"/>
    <w:rsid w:val="008E773F"/>
    <w:rsid w:val="008F0328"/>
    <w:rsid w:val="008F5D8D"/>
    <w:rsid w:val="008F61C1"/>
    <w:rsid w:val="008F71EE"/>
    <w:rsid w:val="00901185"/>
    <w:rsid w:val="00906EBF"/>
    <w:rsid w:val="0090771B"/>
    <w:rsid w:val="00911750"/>
    <w:rsid w:val="00911F81"/>
    <w:rsid w:val="00912FD7"/>
    <w:rsid w:val="00913032"/>
    <w:rsid w:val="00913637"/>
    <w:rsid w:val="00913D25"/>
    <w:rsid w:val="00916C1F"/>
    <w:rsid w:val="00920890"/>
    <w:rsid w:val="00926982"/>
    <w:rsid w:val="00930723"/>
    <w:rsid w:val="00930AD8"/>
    <w:rsid w:val="00934123"/>
    <w:rsid w:val="00934413"/>
    <w:rsid w:val="00936754"/>
    <w:rsid w:val="009414D5"/>
    <w:rsid w:val="009436EC"/>
    <w:rsid w:val="00944619"/>
    <w:rsid w:val="00947D03"/>
    <w:rsid w:val="00951A0E"/>
    <w:rsid w:val="00954B99"/>
    <w:rsid w:val="009567D1"/>
    <w:rsid w:val="009617D4"/>
    <w:rsid w:val="00963272"/>
    <w:rsid w:val="009643DA"/>
    <w:rsid w:val="00966BE3"/>
    <w:rsid w:val="0097078E"/>
    <w:rsid w:val="009737AC"/>
    <w:rsid w:val="009754EB"/>
    <w:rsid w:val="009760C6"/>
    <w:rsid w:val="0097627F"/>
    <w:rsid w:val="009808C2"/>
    <w:rsid w:val="009825CF"/>
    <w:rsid w:val="0098577E"/>
    <w:rsid w:val="00985800"/>
    <w:rsid w:val="009879EE"/>
    <w:rsid w:val="00991A3C"/>
    <w:rsid w:val="00992816"/>
    <w:rsid w:val="009935AA"/>
    <w:rsid w:val="009960FB"/>
    <w:rsid w:val="009A10F6"/>
    <w:rsid w:val="009A4EBC"/>
    <w:rsid w:val="009A5CD5"/>
    <w:rsid w:val="009A72D1"/>
    <w:rsid w:val="009B15D8"/>
    <w:rsid w:val="009B24EB"/>
    <w:rsid w:val="009B2FB0"/>
    <w:rsid w:val="009B3FBA"/>
    <w:rsid w:val="009C13F0"/>
    <w:rsid w:val="009C2846"/>
    <w:rsid w:val="009C370A"/>
    <w:rsid w:val="009C572C"/>
    <w:rsid w:val="009C6709"/>
    <w:rsid w:val="009C7878"/>
    <w:rsid w:val="009C7ED8"/>
    <w:rsid w:val="009D0EFA"/>
    <w:rsid w:val="009D3FD3"/>
    <w:rsid w:val="009E0ED2"/>
    <w:rsid w:val="009E2C3F"/>
    <w:rsid w:val="009F2102"/>
    <w:rsid w:val="009F28EE"/>
    <w:rsid w:val="009F2C0E"/>
    <w:rsid w:val="009F3A39"/>
    <w:rsid w:val="009F7CC5"/>
    <w:rsid w:val="00A0057A"/>
    <w:rsid w:val="00A05B0E"/>
    <w:rsid w:val="00A0779B"/>
    <w:rsid w:val="00A139E1"/>
    <w:rsid w:val="00A148A7"/>
    <w:rsid w:val="00A1723B"/>
    <w:rsid w:val="00A2097F"/>
    <w:rsid w:val="00A21233"/>
    <w:rsid w:val="00A23FE3"/>
    <w:rsid w:val="00A262FA"/>
    <w:rsid w:val="00A2667B"/>
    <w:rsid w:val="00A274A3"/>
    <w:rsid w:val="00A2791C"/>
    <w:rsid w:val="00A30EC0"/>
    <w:rsid w:val="00A325E7"/>
    <w:rsid w:val="00A32C1E"/>
    <w:rsid w:val="00A32FFB"/>
    <w:rsid w:val="00A33513"/>
    <w:rsid w:val="00A338DF"/>
    <w:rsid w:val="00A34E41"/>
    <w:rsid w:val="00A350E5"/>
    <w:rsid w:val="00A37549"/>
    <w:rsid w:val="00A41252"/>
    <w:rsid w:val="00A41D1A"/>
    <w:rsid w:val="00A424E6"/>
    <w:rsid w:val="00A432B6"/>
    <w:rsid w:val="00A4563A"/>
    <w:rsid w:val="00A456D6"/>
    <w:rsid w:val="00A46BCA"/>
    <w:rsid w:val="00A46FC7"/>
    <w:rsid w:val="00A53830"/>
    <w:rsid w:val="00A61626"/>
    <w:rsid w:val="00A61C09"/>
    <w:rsid w:val="00A64B78"/>
    <w:rsid w:val="00A67762"/>
    <w:rsid w:val="00A70352"/>
    <w:rsid w:val="00A7182B"/>
    <w:rsid w:val="00A729E8"/>
    <w:rsid w:val="00A73B6D"/>
    <w:rsid w:val="00A75A8D"/>
    <w:rsid w:val="00A83664"/>
    <w:rsid w:val="00A841D4"/>
    <w:rsid w:val="00A855C5"/>
    <w:rsid w:val="00A86DD2"/>
    <w:rsid w:val="00A87581"/>
    <w:rsid w:val="00A87CD9"/>
    <w:rsid w:val="00A92E44"/>
    <w:rsid w:val="00A93139"/>
    <w:rsid w:val="00A9313E"/>
    <w:rsid w:val="00A940ED"/>
    <w:rsid w:val="00A9433E"/>
    <w:rsid w:val="00A94F02"/>
    <w:rsid w:val="00A951DC"/>
    <w:rsid w:val="00A953FE"/>
    <w:rsid w:val="00A95564"/>
    <w:rsid w:val="00A95822"/>
    <w:rsid w:val="00A96786"/>
    <w:rsid w:val="00AA20AF"/>
    <w:rsid w:val="00AA4616"/>
    <w:rsid w:val="00AA5F89"/>
    <w:rsid w:val="00AA6D71"/>
    <w:rsid w:val="00AB395A"/>
    <w:rsid w:val="00AB5A94"/>
    <w:rsid w:val="00AB66F3"/>
    <w:rsid w:val="00AB6F25"/>
    <w:rsid w:val="00AC207C"/>
    <w:rsid w:val="00AC3D96"/>
    <w:rsid w:val="00AC45F4"/>
    <w:rsid w:val="00AC72CA"/>
    <w:rsid w:val="00AD00C2"/>
    <w:rsid w:val="00AD1A89"/>
    <w:rsid w:val="00AD3CE0"/>
    <w:rsid w:val="00AD6AFD"/>
    <w:rsid w:val="00AD6C15"/>
    <w:rsid w:val="00AE1117"/>
    <w:rsid w:val="00AE437C"/>
    <w:rsid w:val="00AE7857"/>
    <w:rsid w:val="00AF0804"/>
    <w:rsid w:val="00AF25DB"/>
    <w:rsid w:val="00AF448C"/>
    <w:rsid w:val="00AF691E"/>
    <w:rsid w:val="00B01BCD"/>
    <w:rsid w:val="00B03842"/>
    <w:rsid w:val="00B04B48"/>
    <w:rsid w:val="00B10A69"/>
    <w:rsid w:val="00B13342"/>
    <w:rsid w:val="00B17BD0"/>
    <w:rsid w:val="00B2045B"/>
    <w:rsid w:val="00B2227B"/>
    <w:rsid w:val="00B23958"/>
    <w:rsid w:val="00B27107"/>
    <w:rsid w:val="00B31830"/>
    <w:rsid w:val="00B32AF2"/>
    <w:rsid w:val="00B33561"/>
    <w:rsid w:val="00B33E3B"/>
    <w:rsid w:val="00B3632D"/>
    <w:rsid w:val="00B373B4"/>
    <w:rsid w:val="00B3741E"/>
    <w:rsid w:val="00B449DF"/>
    <w:rsid w:val="00B47997"/>
    <w:rsid w:val="00B505FE"/>
    <w:rsid w:val="00B50920"/>
    <w:rsid w:val="00B52A73"/>
    <w:rsid w:val="00B54A60"/>
    <w:rsid w:val="00B553E9"/>
    <w:rsid w:val="00B566EB"/>
    <w:rsid w:val="00B56C4A"/>
    <w:rsid w:val="00B57016"/>
    <w:rsid w:val="00B57910"/>
    <w:rsid w:val="00B615FD"/>
    <w:rsid w:val="00B638DF"/>
    <w:rsid w:val="00B65506"/>
    <w:rsid w:val="00B66272"/>
    <w:rsid w:val="00B66E11"/>
    <w:rsid w:val="00B73400"/>
    <w:rsid w:val="00B73EFE"/>
    <w:rsid w:val="00B75F78"/>
    <w:rsid w:val="00B775A5"/>
    <w:rsid w:val="00B80A14"/>
    <w:rsid w:val="00B80B44"/>
    <w:rsid w:val="00B82115"/>
    <w:rsid w:val="00B82E7A"/>
    <w:rsid w:val="00B8351D"/>
    <w:rsid w:val="00B863AB"/>
    <w:rsid w:val="00B90B2A"/>
    <w:rsid w:val="00B92568"/>
    <w:rsid w:val="00BA1B06"/>
    <w:rsid w:val="00BA42AE"/>
    <w:rsid w:val="00BA68AF"/>
    <w:rsid w:val="00BA7675"/>
    <w:rsid w:val="00BB050E"/>
    <w:rsid w:val="00BB1353"/>
    <w:rsid w:val="00BB33A4"/>
    <w:rsid w:val="00BB7763"/>
    <w:rsid w:val="00BC4F15"/>
    <w:rsid w:val="00BD4428"/>
    <w:rsid w:val="00BD57B4"/>
    <w:rsid w:val="00BD613C"/>
    <w:rsid w:val="00BD75FA"/>
    <w:rsid w:val="00BE27D5"/>
    <w:rsid w:val="00BE2835"/>
    <w:rsid w:val="00BE3DC7"/>
    <w:rsid w:val="00BF3D07"/>
    <w:rsid w:val="00BF48B2"/>
    <w:rsid w:val="00C00702"/>
    <w:rsid w:val="00C01FE7"/>
    <w:rsid w:val="00C0298D"/>
    <w:rsid w:val="00C034CD"/>
    <w:rsid w:val="00C044CB"/>
    <w:rsid w:val="00C04DAF"/>
    <w:rsid w:val="00C0632C"/>
    <w:rsid w:val="00C06FDB"/>
    <w:rsid w:val="00C0799A"/>
    <w:rsid w:val="00C1167F"/>
    <w:rsid w:val="00C12BC6"/>
    <w:rsid w:val="00C159AC"/>
    <w:rsid w:val="00C1747F"/>
    <w:rsid w:val="00C227CD"/>
    <w:rsid w:val="00C22B45"/>
    <w:rsid w:val="00C237A7"/>
    <w:rsid w:val="00C2432A"/>
    <w:rsid w:val="00C2461F"/>
    <w:rsid w:val="00C24C41"/>
    <w:rsid w:val="00C25424"/>
    <w:rsid w:val="00C26E8D"/>
    <w:rsid w:val="00C30F89"/>
    <w:rsid w:val="00C3235A"/>
    <w:rsid w:val="00C34453"/>
    <w:rsid w:val="00C349D9"/>
    <w:rsid w:val="00C34D5D"/>
    <w:rsid w:val="00C40B77"/>
    <w:rsid w:val="00C434DF"/>
    <w:rsid w:val="00C43AF3"/>
    <w:rsid w:val="00C43B04"/>
    <w:rsid w:val="00C45137"/>
    <w:rsid w:val="00C5063B"/>
    <w:rsid w:val="00C50F29"/>
    <w:rsid w:val="00C52CC7"/>
    <w:rsid w:val="00C54E4E"/>
    <w:rsid w:val="00C60A64"/>
    <w:rsid w:val="00C61078"/>
    <w:rsid w:val="00C6135F"/>
    <w:rsid w:val="00C636C8"/>
    <w:rsid w:val="00C63AAF"/>
    <w:rsid w:val="00C64847"/>
    <w:rsid w:val="00C659FE"/>
    <w:rsid w:val="00C6616C"/>
    <w:rsid w:val="00C67739"/>
    <w:rsid w:val="00C70B48"/>
    <w:rsid w:val="00C74A9A"/>
    <w:rsid w:val="00C74D9F"/>
    <w:rsid w:val="00C7507E"/>
    <w:rsid w:val="00C77AD2"/>
    <w:rsid w:val="00C80EF6"/>
    <w:rsid w:val="00C81D83"/>
    <w:rsid w:val="00C81DB4"/>
    <w:rsid w:val="00C82955"/>
    <w:rsid w:val="00C855DF"/>
    <w:rsid w:val="00C86AF1"/>
    <w:rsid w:val="00C90647"/>
    <w:rsid w:val="00C9136B"/>
    <w:rsid w:val="00C936A8"/>
    <w:rsid w:val="00C96524"/>
    <w:rsid w:val="00C96E69"/>
    <w:rsid w:val="00C97730"/>
    <w:rsid w:val="00CA055F"/>
    <w:rsid w:val="00CA07C0"/>
    <w:rsid w:val="00CA0E8D"/>
    <w:rsid w:val="00CA1BFB"/>
    <w:rsid w:val="00CA4931"/>
    <w:rsid w:val="00CA4BF3"/>
    <w:rsid w:val="00CA70B7"/>
    <w:rsid w:val="00CB1418"/>
    <w:rsid w:val="00CB304F"/>
    <w:rsid w:val="00CB523C"/>
    <w:rsid w:val="00CC37CD"/>
    <w:rsid w:val="00CC3F18"/>
    <w:rsid w:val="00CD04B0"/>
    <w:rsid w:val="00CD26B0"/>
    <w:rsid w:val="00CD2BC0"/>
    <w:rsid w:val="00CD430F"/>
    <w:rsid w:val="00CD5D6C"/>
    <w:rsid w:val="00CD5E74"/>
    <w:rsid w:val="00CF1B10"/>
    <w:rsid w:val="00CF2722"/>
    <w:rsid w:val="00CF30C7"/>
    <w:rsid w:val="00CF39E9"/>
    <w:rsid w:val="00CF516A"/>
    <w:rsid w:val="00CF6351"/>
    <w:rsid w:val="00D0053A"/>
    <w:rsid w:val="00D01B25"/>
    <w:rsid w:val="00D0488C"/>
    <w:rsid w:val="00D11244"/>
    <w:rsid w:val="00D16C75"/>
    <w:rsid w:val="00D220DC"/>
    <w:rsid w:val="00D22D8A"/>
    <w:rsid w:val="00D230D8"/>
    <w:rsid w:val="00D25E52"/>
    <w:rsid w:val="00D319AC"/>
    <w:rsid w:val="00D32236"/>
    <w:rsid w:val="00D338A6"/>
    <w:rsid w:val="00D33CAB"/>
    <w:rsid w:val="00D34C33"/>
    <w:rsid w:val="00D36313"/>
    <w:rsid w:val="00D363CD"/>
    <w:rsid w:val="00D37440"/>
    <w:rsid w:val="00D374BF"/>
    <w:rsid w:val="00D375EA"/>
    <w:rsid w:val="00D40F7E"/>
    <w:rsid w:val="00D41A01"/>
    <w:rsid w:val="00D46511"/>
    <w:rsid w:val="00D51F9C"/>
    <w:rsid w:val="00D5323C"/>
    <w:rsid w:val="00D54F29"/>
    <w:rsid w:val="00D71103"/>
    <w:rsid w:val="00D7126E"/>
    <w:rsid w:val="00D805C7"/>
    <w:rsid w:val="00D865AF"/>
    <w:rsid w:val="00D86758"/>
    <w:rsid w:val="00D903A0"/>
    <w:rsid w:val="00D92A74"/>
    <w:rsid w:val="00D96255"/>
    <w:rsid w:val="00DA0505"/>
    <w:rsid w:val="00DA1FFC"/>
    <w:rsid w:val="00DA20AA"/>
    <w:rsid w:val="00DA3220"/>
    <w:rsid w:val="00DA5533"/>
    <w:rsid w:val="00DA6EFD"/>
    <w:rsid w:val="00DB0068"/>
    <w:rsid w:val="00DB15B3"/>
    <w:rsid w:val="00DB38E1"/>
    <w:rsid w:val="00DC0B01"/>
    <w:rsid w:val="00DC1B04"/>
    <w:rsid w:val="00DC5C84"/>
    <w:rsid w:val="00DD11C1"/>
    <w:rsid w:val="00DD3A48"/>
    <w:rsid w:val="00DD5F4A"/>
    <w:rsid w:val="00DE11CA"/>
    <w:rsid w:val="00DE178A"/>
    <w:rsid w:val="00DE21DD"/>
    <w:rsid w:val="00DE2498"/>
    <w:rsid w:val="00DE3C8B"/>
    <w:rsid w:val="00DE56F7"/>
    <w:rsid w:val="00DE5843"/>
    <w:rsid w:val="00DF18F8"/>
    <w:rsid w:val="00DF34B3"/>
    <w:rsid w:val="00DF34C8"/>
    <w:rsid w:val="00DF62B7"/>
    <w:rsid w:val="00DF631A"/>
    <w:rsid w:val="00DF7475"/>
    <w:rsid w:val="00E027E4"/>
    <w:rsid w:val="00E0352B"/>
    <w:rsid w:val="00E03615"/>
    <w:rsid w:val="00E03673"/>
    <w:rsid w:val="00E0373B"/>
    <w:rsid w:val="00E05B29"/>
    <w:rsid w:val="00E10E1F"/>
    <w:rsid w:val="00E1228E"/>
    <w:rsid w:val="00E1525A"/>
    <w:rsid w:val="00E15762"/>
    <w:rsid w:val="00E172FB"/>
    <w:rsid w:val="00E20F90"/>
    <w:rsid w:val="00E21033"/>
    <w:rsid w:val="00E21B38"/>
    <w:rsid w:val="00E2366F"/>
    <w:rsid w:val="00E2459C"/>
    <w:rsid w:val="00E26E55"/>
    <w:rsid w:val="00E27EF0"/>
    <w:rsid w:val="00E31441"/>
    <w:rsid w:val="00E3315E"/>
    <w:rsid w:val="00E34944"/>
    <w:rsid w:val="00E37BB1"/>
    <w:rsid w:val="00E42215"/>
    <w:rsid w:val="00E429B5"/>
    <w:rsid w:val="00E43BB2"/>
    <w:rsid w:val="00E45BF8"/>
    <w:rsid w:val="00E45E36"/>
    <w:rsid w:val="00E51A4B"/>
    <w:rsid w:val="00E51DA1"/>
    <w:rsid w:val="00E52EBF"/>
    <w:rsid w:val="00E54B3B"/>
    <w:rsid w:val="00E55AC9"/>
    <w:rsid w:val="00E55EC0"/>
    <w:rsid w:val="00E6156D"/>
    <w:rsid w:val="00E62557"/>
    <w:rsid w:val="00E62574"/>
    <w:rsid w:val="00E62C93"/>
    <w:rsid w:val="00E632D1"/>
    <w:rsid w:val="00E661EC"/>
    <w:rsid w:val="00E66C7B"/>
    <w:rsid w:val="00E67336"/>
    <w:rsid w:val="00E7149C"/>
    <w:rsid w:val="00E73271"/>
    <w:rsid w:val="00E7451D"/>
    <w:rsid w:val="00E76F8D"/>
    <w:rsid w:val="00E80013"/>
    <w:rsid w:val="00E819DC"/>
    <w:rsid w:val="00E82186"/>
    <w:rsid w:val="00E83861"/>
    <w:rsid w:val="00E84470"/>
    <w:rsid w:val="00E900BB"/>
    <w:rsid w:val="00E90D31"/>
    <w:rsid w:val="00E94C6D"/>
    <w:rsid w:val="00E956FE"/>
    <w:rsid w:val="00E9650E"/>
    <w:rsid w:val="00E97DB2"/>
    <w:rsid w:val="00EA4EFA"/>
    <w:rsid w:val="00EB1780"/>
    <w:rsid w:val="00EB17A9"/>
    <w:rsid w:val="00EB290F"/>
    <w:rsid w:val="00EB2D24"/>
    <w:rsid w:val="00EB6827"/>
    <w:rsid w:val="00EB6B72"/>
    <w:rsid w:val="00EC078A"/>
    <w:rsid w:val="00EC7A03"/>
    <w:rsid w:val="00ED6392"/>
    <w:rsid w:val="00ED6B67"/>
    <w:rsid w:val="00ED7773"/>
    <w:rsid w:val="00EE06AC"/>
    <w:rsid w:val="00EE45BC"/>
    <w:rsid w:val="00EE4701"/>
    <w:rsid w:val="00EF0CBA"/>
    <w:rsid w:val="00EF29C9"/>
    <w:rsid w:val="00EF3103"/>
    <w:rsid w:val="00EF6A36"/>
    <w:rsid w:val="00F00521"/>
    <w:rsid w:val="00F00639"/>
    <w:rsid w:val="00F00B74"/>
    <w:rsid w:val="00F01986"/>
    <w:rsid w:val="00F056F5"/>
    <w:rsid w:val="00F0693B"/>
    <w:rsid w:val="00F06BFB"/>
    <w:rsid w:val="00F0707A"/>
    <w:rsid w:val="00F0757B"/>
    <w:rsid w:val="00F07AB1"/>
    <w:rsid w:val="00F120F8"/>
    <w:rsid w:val="00F176EF"/>
    <w:rsid w:val="00F202F5"/>
    <w:rsid w:val="00F21273"/>
    <w:rsid w:val="00F22D46"/>
    <w:rsid w:val="00F22EA0"/>
    <w:rsid w:val="00F23533"/>
    <w:rsid w:val="00F23759"/>
    <w:rsid w:val="00F23C9A"/>
    <w:rsid w:val="00F25401"/>
    <w:rsid w:val="00F27D47"/>
    <w:rsid w:val="00F32A83"/>
    <w:rsid w:val="00F40BDB"/>
    <w:rsid w:val="00F41A1C"/>
    <w:rsid w:val="00F430A5"/>
    <w:rsid w:val="00F43A27"/>
    <w:rsid w:val="00F533C8"/>
    <w:rsid w:val="00F53657"/>
    <w:rsid w:val="00F5396D"/>
    <w:rsid w:val="00F55AFD"/>
    <w:rsid w:val="00F565E7"/>
    <w:rsid w:val="00F63FD6"/>
    <w:rsid w:val="00F65DDE"/>
    <w:rsid w:val="00F67933"/>
    <w:rsid w:val="00F77115"/>
    <w:rsid w:val="00F819AF"/>
    <w:rsid w:val="00F82783"/>
    <w:rsid w:val="00F8303E"/>
    <w:rsid w:val="00F85337"/>
    <w:rsid w:val="00F8638A"/>
    <w:rsid w:val="00F86F20"/>
    <w:rsid w:val="00F9663A"/>
    <w:rsid w:val="00FA0DDD"/>
    <w:rsid w:val="00FA5052"/>
    <w:rsid w:val="00FB11D7"/>
    <w:rsid w:val="00FB2D21"/>
    <w:rsid w:val="00FB3BB2"/>
    <w:rsid w:val="00FB51B5"/>
    <w:rsid w:val="00FB5825"/>
    <w:rsid w:val="00FB5FA1"/>
    <w:rsid w:val="00FB7B81"/>
    <w:rsid w:val="00FC0789"/>
    <w:rsid w:val="00FC25C3"/>
    <w:rsid w:val="00FC2DF3"/>
    <w:rsid w:val="00FC309A"/>
    <w:rsid w:val="00FC5ADF"/>
    <w:rsid w:val="00FC7EBB"/>
    <w:rsid w:val="00FD051D"/>
    <w:rsid w:val="00FD09EB"/>
    <w:rsid w:val="00FD1733"/>
    <w:rsid w:val="00FD2693"/>
    <w:rsid w:val="00FD3C57"/>
    <w:rsid w:val="00FD459B"/>
    <w:rsid w:val="00FD4DAD"/>
    <w:rsid w:val="00FD5BAF"/>
    <w:rsid w:val="00FD67CB"/>
    <w:rsid w:val="00FD7BF5"/>
    <w:rsid w:val="00FE037E"/>
    <w:rsid w:val="00FE14E5"/>
    <w:rsid w:val="00FE27B8"/>
    <w:rsid w:val="00FE7FD9"/>
    <w:rsid w:val="00FF03C8"/>
    <w:rsid w:val="00FF0E54"/>
    <w:rsid w:val="00FF0FB3"/>
    <w:rsid w:val="00FF2A10"/>
    <w:rsid w:val="00FF33EB"/>
    <w:rsid w:val="00FF3B2B"/>
    <w:rsid w:val="00FF523F"/>
    <w:rsid w:val="01294845"/>
    <w:rsid w:val="01F10E48"/>
    <w:rsid w:val="01FC7E83"/>
    <w:rsid w:val="025F68D4"/>
    <w:rsid w:val="02EC7E21"/>
    <w:rsid w:val="03362E85"/>
    <w:rsid w:val="038D11B4"/>
    <w:rsid w:val="03A65BB0"/>
    <w:rsid w:val="03AE7387"/>
    <w:rsid w:val="042F4DE1"/>
    <w:rsid w:val="04B62043"/>
    <w:rsid w:val="0575035A"/>
    <w:rsid w:val="060C76DB"/>
    <w:rsid w:val="0812627D"/>
    <w:rsid w:val="08A37EBB"/>
    <w:rsid w:val="0A6B21A6"/>
    <w:rsid w:val="0CA11395"/>
    <w:rsid w:val="0D7D4812"/>
    <w:rsid w:val="0EA00B62"/>
    <w:rsid w:val="0F430B02"/>
    <w:rsid w:val="0FF018C5"/>
    <w:rsid w:val="109904FE"/>
    <w:rsid w:val="10BC6CFB"/>
    <w:rsid w:val="10F036D9"/>
    <w:rsid w:val="115257AA"/>
    <w:rsid w:val="13EA68FF"/>
    <w:rsid w:val="13FA0270"/>
    <w:rsid w:val="14A250A8"/>
    <w:rsid w:val="14BA6662"/>
    <w:rsid w:val="158562DB"/>
    <w:rsid w:val="167801ED"/>
    <w:rsid w:val="167A6B1F"/>
    <w:rsid w:val="1696124D"/>
    <w:rsid w:val="169E11ED"/>
    <w:rsid w:val="16A6057A"/>
    <w:rsid w:val="17385EE8"/>
    <w:rsid w:val="175809B1"/>
    <w:rsid w:val="19042481"/>
    <w:rsid w:val="197F0869"/>
    <w:rsid w:val="199A5A15"/>
    <w:rsid w:val="1A59252F"/>
    <w:rsid w:val="1AD24C04"/>
    <w:rsid w:val="1AFE0088"/>
    <w:rsid w:val="1B582F76"/>
    <w:rsid w:val="1C7C1CC4"/>
    <w:rsid w:val="1D377FA9"/>
    <w:rsid w:val="1E5604AC"/>
    <w:rsid w:val="1E8D0ADC"/>
    <w:rsid w:val="1ED57922"/>
    <w:rsid w:val="1F093A10"/>
    <w:rsid w:val="20164069"/>
    <w:rsid w:val="20195715"/>
    <w:rsid w:val="209F6FDE"/>
    <w:rsid w:val="20B869BF"/>
    <w:rsid w:val="20E956EC"/>
    <w:rsid w:val="21A856B3"/>
    <w:rsid w:val="22440BD1"/>
    <w:rsid w:val="245F7668"/>
    <w:rsid w:val="24B47E38"/>
    <w:rsid w:val="25B91B4E"/>
    <w:rsid w:val="27232F57"/>
    <w:rsid w:val="27AE2120"/>
    <w:rsid w:val="27C24441"/>
    <w:rsid w:val="282508A0"/>
    <w:rsid w:val="2A1831C5"/>
    <w:rsid w:val="2A184966"/>
    <w:rsid w:val="2A205120"/>
    <w:rsid w:val="2AF33F70"/>
    <w:rsid w:val="2CAF2AF7"/>
    <w:rsid w:val="2D07439F"/>
    <w:rsid w:val="2E134C10"/>
    <w:rsid w:val="2E581766"/>
    <w:rsid w:val="2F2B2683"/>
    <w:rsid w:val="2FFF7A8A"/>
    <w:rsid w:val="306626DB"/>
    <w:rsid w:val="31F04928"/>
    <w:rsid w:val="324B679C"/>
    <w:rsid w:val="32DD1DC8"/>
    <w:rsid w:val="335A1168"/>
    <w:rsid w:val="349432B9"/>
    <w:rsid w:val="34B20B82"/>
    <w:rsid w:val="34FE66D6"/>
    <w:rsid w:val="35192828"/>
    <w:rsid w:val="364C0CFD"/>
    <w:rsid w:val="371B50A8"/>
    <w:rsid w:val="37574C74"/>
    <w:rsid w:val="37950382"/>
    <w:rsid w:val="37F341BE"/>
    <w:rsid w:val="3944562B"/>
    <w:rsid w:val="39BB0830"/>
    <w:rsid w:val="3B646CAD"/>
    <w:rsid w:val="3BA235C5"/>
    <w:rsid w:val="3BC868E1"/>
    <w:rsid w:val="3BEA2804"/>
    <w:rsid w:val="3D493AED"/>
    <w:rsid w:val="3D9C5EC8"/>
    <w:rsid w:val="3D9D115E"/>
    <w:rsid w:val="3DD304E1"/>
    <w:rsid w:val="3DE553AB"/>
    <w:rsid w:val="3EBF081C"/>
    <w:rsid w:val="3F507341"/>
    <w:rsid w:val="3F9C3BAE"/>
    <w:rsid w:val="413A76F6"/>
    <w:rsid w:val="42B619A6"/>
    <w:rsid w:val="42DB7366"/>
    <w:rsid w:val="432A3950"/>
    <w:rsid w:val="4376688A"/>
    <w:rsid w:val="43BB0423"/>
    <w:rsid w:val="44AA2FC9"/>
    <w:rsid w:val="44F777CA"/>
    <w:rsid w:val="45B91A04"/>
    <w:rsid w:val="46F8389F"/>
    <w:rsid w:val="49092480"/>
    <w:rsid w:val="4A5452EC"/>
    <w:rsid w:val="4B0E0CAB"/>
    <w:rsid w:val="4C100C5A"/>
    <w:rsid w:val="4C9444F6"/>
    <w:rsid w:val="4CDB5270"/>
    <w:rsid w:val="4E2A51C2"/>
    <w:rsid w:val="4EA9001F"/>
    <w:rsid w:val="4F366F38"/>
    <w:rsid w:val="4F6646CB"/>
    <w:rsid w:val="4F840281"/>
    <w:rsid w:val="4FAC1795"/>
    <w:rsid w:val="50C37FE4"/>
    <w:rsid w:val="50FC0750"/>
    <w:rsid w:val="514809B9"/>
    <w:rsid w:val="515F5636"/>
    <w:rsid w:val="51B338C2"/>
    <w:rsid w:val="520322B9"/>
    <w:rsid w:val="521F1FDD"/>
    <w:rsid w:val="52BD2656"/>
    <w:rsid w:val="54A66DB2"/>
    <w:rsid w:val="554E6969"/>
    <w:rsid w:val="55553457"/>
    <w:rsid w:val="55771BB7"/>
    <w:rsid w:val="57B321F8"/>
    <w:rsid w:val="58C15921"/>
    <w:rsid w:val="58F26A65"/>
    <w:rsid w:val="591E7C6D"/>
    <w:rsid w:val="5BE865E7"/>
    <w:rsid w:val="5C1151AE"/>
    <w:rsid w:val="5C1A6838"/>
    <w:rsid w:val="5C934441"/>
    <w:rsid w:val="5C99630D"/>
    <w:rsid w:val="5D0F1FBD"/>
    <w:rsid w:val="5DC70092"/>
    <w:rsid w:val="5E32316B"/>
    <w:rsid w:val="5F955AAD"/>
    <w:rsid w:val="6074484D"/>
    <w:rsid w:val="6136341A"/>
    <w:rsid w:val="61C144EF"/>
    <w:rsid w:val="61C5669E"/>
    <w:rsid w:val="61FA0A0E"/>
    <w:rsid w:val="62A40545"/>
    <w:rsid w:val="62E27872"/>
    <w:rsid w:val="633914D9"/>
    <w:rsid w:val="64A97E79"/>
    <w:rsid w:val="66696111"/>
    <w:rsid w:val="6701538B"/>
    <w:rsid w:val="675505B4"/>
    <w:rsid w:val="67B10533"/>
    <w:rsid w:val="67FB62C3"/>
    <w:rsid w:val="6A284764"/>
    <w:rsid w:val="6AB8296B"/>
    <w:rsid w:val="6B1C78DC"/>
    <w:rsid w:val="6B4B46C9"/>
    <w:rsid w:val="6B594849"/>
    <w:rsid w:val="6C0E1514"/>
    <w:rsid w:val="6C4138FC"/>
    <w:rsid w:val="6DD00457"/>
    <w:rsid w:val="6DFA6099"/>
    <w:rsid w:val="6EA01D12"/>
    <w:rsid w:val="6EF40D26"/>
    <w:rsid w:val="6EFE59A3"/>
    <w:rsid w:val="6F1D0C2B"/>
    <w:rsid w:val="6F525606"/>
    <w:rsid w:val="72114585"/>
    <w:rsid w:val="73CD7BD3"/>
    <w:rsid w:val="75422F83"/>
    <w:rsid w:val="75906E1E"/>
    <w:rsid w:val="76F0487A"/>
    <w:rsid w:val="770D732C"/>
    <w:rsid w:val="77442B1F"/>
    <w:rsid w:val="777452F7"/>
    <w:rsid w:val="77B621BB"/>
    <w:rsid w:val="77CD629B"/>
    <w:rsid w:val="7972411A"/>
    <w:rsid w:val="799910FC"/>
    <w:rsid w:val="7A7C5C54"/>
    <w:rsid w:val="7A8818C1"/>
    <w:rsid w:val="7B6A22B0"/>
    <w:rsid w:val="7BC84EC1"/>
    <w:rsid w:val="7BD86382"/>
    <w:rsid w:val="7C505AF7"/>
    <w:rsid w:val="7CE13E55"/>
    <w:rsid w:val="7CF34D0D"/>
    <w:rsid w:val="7D813887"/>
    <w:rsid w:val="7E49323A"/>
    <w:rsid w:val="7E5B7B63"/>
    <w:rsid w:val="7EBB4D8C"/>
    <w:rsid w:val="7EEB5AA4"/>
    <w:rsid w:val="7EEC63BE"/>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5BDE7691"/>
  <w15:docId w15:val="{E17BB0D8-0AF2-4DBB-BE9F-5D3F34F12E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iPriority="0"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0"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uiPriority="0"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qFormat="1"/>
    <w:lsdException w:name="Table Grid" w:semiHidden="1" w:uiPriority="59" w:unhideWhenUsed="1" w:qFormat="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pPr>
      <w:spacing w:after="200" w:line="276" w:lineRule="auto"/>
    </w:pPr>
    <w:rPr>
      <w:rFonts w:asciiTheme="minorHAnsi" w:eastAsiaTheme="minorHAnsi" w:hAnsiTheme="minorHAnsi" w:cstheme="minorBidi"/>
      <w:sz w:val="22"/>
      <w:szCs w:val="22"/>
      <w:lang w:eastAsia="en-US"/>
    </w:rPr>
  </w:style>
  <w:style w:type="paragraph" w:styleId="1">
    <w:name w:val="heading 1"/>
    <w:basedOn w:val="a0"/>
    <w:next w:val="a0"/>
    <w:link w:val="10"/>
    <w:autoRedefine/>
    <w:uiPriority w:val="9"/>
    <w:qFormat/>
    <w:pPr>
      <w:keepNext/>
      <w:keepLines/>
      <w:numPr>
        <w:numId w:val="1"/>
      </w:numPr>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0"/>
    <w:next w:val="a0"/>
    <w:link w:val="20"/>
    <w:autoRedefine/>
    <w:uiPriority w:val="9"/>
    <w:unhideWhenUsed/>
    <w:qFormat/>
    <w:pPr>
      <w:keepNext/>
      <w:keepLines/>
      <w:numPr>
        <w:ilvl w:val="1"/>
        <w:numId w:val="1"/>
      </w:numPr>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0"/>
    <w:next w:val="a0"/>
    <w:link w:val="30"/>
    <w:uiPriority w:val="9"/>
    <w:unhideWhenUsed/>
    <w:qFormat/>
    <w:pPr>
      <w:keepNext/>
      <w:keepLines/>
      <w:numPr>
        <w:ilvl w:val="2"/>
        <w:numId w:val="1"/>
      </w:numPr>
      <w:spacing w:before="40" w:after="0"/>
      <w:outlineLvl w:val="2"/>
    </w:pPr>
    <w:rPr>
      <w:rFonts w:asciiTheme="majorHAnsi" w:eastAsiaTheme="majorEastAsia" w:hAnsiTheme="majorHAnsi" w:cstheme="majorBidi"/>
      <w:color w:val="244061" w:themeColor="accent1" w:themeShade="80"/>
      <w:sz w:val="24"/>
      <w:szCs w:val="24"/>
    </w:rPr>
  </w:style>
  <w:style w:type="paragraph" w:styleId="4">
    <w:name w:val="heading 4"/>
    <w:basedOn w:val="a0"/>
    <w:next w:val="a0"/>
    <w:link w:val="40"/>
    <w:autoRedefine/>
    <w:uiPriority w:val="9"/>
    <w:semiHidden/>
    <w:unhideWhenUsed/>
    <w:qFormat/>
    <w:pPr>
      <w:keepNext/>
      <w:keepLines/>
      <w:numPr>
        <w:ilvl w:val="3"/>
        <w:numId w:val="1"/>
      </w:numPr>
      <w:spacing w:before="40" w:after="0"/>
      <w:outlineLvl w:val="3"/>
    </w:pPr>
    <w:rPr>
      <w:rFonts w:asciiTheme="majorHAnsi" w:eastAsiaTheme="majorEastAsia" w:hAnsiTheme="majorHAnsi" w:cstheme="majorBidi"/>
      <w:i/>
      <w:iCs/>
      <w:color w:val="365F91" w:themeColor="accent1" w:themeShade="BF"/>
    </w:rPr>
  </w:style>
  <w:style w:type="paragraph" w:styleId="5">
    <w:name w:val="heading 5"/>
    <w:basedOn w:val="a0"/>
    <w:next w:val="a0"/>
    <w:link w:val="50"/>
    <w:uiPriority w:val="9"/>
    <w:semiHidden/>
    <w:unhideWhenUsed/>
    <w:qFormat/>
    <w:pPr>
      <w:keepNext/>
      <w:keepLines/>
      <w:numPr>
        <w:ilvl w:val="4"/>
        <w:numId w:val="1"/>
      </w:numPr>
      <w:spacing w:before="40" w:after="0"/>
      <w:outlineLvl w:val="4"/>
    </w:pPr>
    <w:rPr>
      <w:rFonts w:asciiTheme="majorHAnsi" w:eastAsiaTheme="majorEastAsia" w:hAnsiTheme="majorHAnsi" w:cstheme="majorBidi"/>
      <w:color w:val="365F91" w:themeColor="accent1" w:themeShade="BF"/>
    </w:rPr>
  </w:style>
  <w:style w:type="paragraph" w:styleId="6">
    <w:name w:val="heading 6"/>
    <w:basedOn w:val="a0"/>
    <w:next w:val="a0"/>
    <w:link w:val="60"/>
    <w:autoRedefine/>
    <w:uiPriority w:val="9"/>
    <w:semiHidden/>
    <w:unhideWhenUsed/>
    <w:qFormat/>
    <w:pPr>
      <w:keepNext/>
      <w:keepLines/>
      <w:numPr>
        <w:ilvl w:val="5"/>
        <w:numId w:val="1"/>
      </w:numPr>
      <w:spacing w:before="40" w:after="0"/>
      <w:outlineLvl w:val="5"/>
    </w:pPr>
    <w:rPr>
      <w:rFonts w:asciiTheme="majorHAnsi" w:eastAsiaTheme="majorEastAsia" w:hAnsiTheme="majorHAnsi" w:cstheme="majorBidi"/>
      <w:color w:val="244061" w:themeColor="accent1" w:themeShade="80"/>
    </w:rPr>
  </w:style>
  <w:style w:type="paragraph" w:styleId="7">
    <w:name w:val="heading 7"/>
    <w:basedOn w:val="a0"/>
    <w:next w:val="a0"/>
    <w:link w:val="70"/>
    <w:uiPriority w:val="9"/>
    <w:semiHidden/>
    <w:unhideWhenUsed/>
    <w:qFormat/>
    <w:pPr>
      <w:keepNext/>
      <w:keepLines/>
      <w:numPr>
        <w:ilvl w:val="6"/>
        <w:numId w:val="1"/>
      </w:numPr>
      <w:spacing w:before="40" w:after="0"/>
      <w:outlineLvl w:val="6"/>
    </w:pPr>
    <w:rPr>
      <w:rFonts w:asciiTheme="majorHAnsi" w:eastAsiaTheme="majorEastAsia" w:hAnsiTheme="majorHAnsi" w:cstheme="majorBidi"/>
      <w:i/>
      <w:iCs/>
      <w:color w:val="244061" w:themeColor="accent1" w:themeShade="80"/>
    </w:rPr>
  </w:style>
  <w:style w:type="paragraph" w:styleId="8">
    <w:name w:val="heading 8"/>
    <w:basedOn w:val="a0"/>
    <w:next w:val="a0"/>
    <w:link w:val="80"/>
    <w:autoRedefine/>
    <w:uiPriority w:val="9"/>
    <w:semiHidden/>
    <w:unhideWhenUsed/>
    <w:qFormat/>
    <w:pPr>
      <w:keepNext/>
      <w:keepLines/>
      <w:numPr>
        <w:ilvl w:val="7"/>
        <w:numId w:val="1"/>
      </w:numPr>
      <w:spacing w:before="40" w:after="0"/>
      <w:outlineLvl w:val="7"/>
    </w:pPr>
    <w:rPr>
      <w:rFonts w:asciiTheme="majorHAnsi" w:eastAsiaTheme="majorEastAsia" w:hAnsiTheme="majorHAnsi" w:cstheme="majorBidi"/>
      <w:color w:val="262626" w:themeColor="text1" w:themeTint="D9"/>
      <w:sz w:val="21"/>
      <w:szCs w:val="21"/>
    </w:rPr>
  </w:style>
  <w:style w:type="paragraph" w:styleId="9">
    <w:name w:val="heading 9"/>
    <w:basedOn w:val="a0"/>
    <w:next w:val="a0"/>
    <w:link w:val="90"/>
    <w:autoRedefine/>
    <w:uiPriority w:val="9"/>
    <w:semiHidden/>
    <w:unhideWhenUsed/>
    <w:qFormat/>
    <w:pPr>
      <w:keepNext/>
      <w:keepLines/>
      <w:numPr>
        <w:ilvl w:val="8"/>
        <w:numId w:val="1"/>
      </w:numPr>
      <w:spacing w:before="40" w:after="0"/>
      <w:outlineLvl w:val="8"/>
    </w:pPr>
    <w:rPr>
      <w:rFonts w:asciiTheme="majorHAnsi" w:eastAsiaTheme="majorEastAsia" w:hAnsiTheme="majorHAnsi" w:cstheme="majorBidi"/>
      <w:i/>
      <w:iCs/>
      <w:color w:val="262626" w:themeColor="text1" w:themeTint="D9"/>
      <w:sz w:val="21"/>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annotation reference"/>
    <w:basedOn w:val="a1"/>
    <w:autoRedefine/>
    <w:qFormat/>
    <w:rPr>
      <w:sz w:val="16"/>
      <w:szCs w:val="16"/>
    </w:rPr>
  </w:style>
  <w:style w:type="character" w:styleId="a5">
    <w:name w:val="Emphasis"/>
    <w:basedOn w:val="a1"/>
    <w:autoRedefine/>
    <w:uiPriority w:val="20"/>
    <w:qFormat/>
    <w:rPr>
      <w:i/>
      <w:iCs/>
    </w:rPr>
  </w:style>
  <w:style w:type="character" w:styleId="a6">
    <w:name w:val="Hyperlink"/>
    <w:basedOn w:val="a1"/>
    <w:autoRedefine/>
    <w:uiPriority w:val="99"/>
    <w:unhideWhenUsed/>
    <w:qFormat/>
    <w:rPr>
      <w:color w:val="0000FF"/>
      <w:u w:val="single"/>
    </w:rPr>
  </w:style>
  <w:style w:type="paragraph" w:styleId="a7">
    <w:name w:val="Balloon Text"/>
    <w:basedOn w:val="a0"/>
    <w:link w:val="a8"/>
    <w:autoRedefine/>
    <w:qFormat/>
    <w:pPr>
      <w:spacing w:after="0" w:line="240" w:lineRule="auto"/>
    </w:pPr>
    <w:rPr>
      <w:rFonts w:ascii="Segoe UI" w:hAnsi="Segoe UI" w:cs="Segoe UI"/>
      <w:sz w:val="18"/>
      <w:szCs w:val="18"/>
    </w:rPr>
  </w:style>
  <w:style w:type="paragraph" w:styleId="a9">
    <w:name w:val="annotation text"/>
    <w:basedOn w:val="a0"/>
    <w:link w:val="aa"/>
    <w:autoRedefine/>
    <w:qFormat/>
    <w:pPr>
      <w:spacing w:line="240" w:lineRule="auto"/>
    </w:pPr>
    <w:rPr>
      <w:sz w:val="20"/>
      <w:szCs w:val="20"/>
    </w:rPr>
  </w:style>
  <w:style w:type="paragraph" w:styleId="ab">
    <w:name w:val="annotation subject"/>
    <w:basedOn w:val="a9"/>
    <w:next w:val="a9"/>
    <w:link w:val="ac"/>
    <w:autoRedefine/>
    <w:qFormat/>
    <w:rPr>
      <w:b/>
      <w:bCs/>
    </w:rPr>
  </w:style>
  <w:style w:type="paragraph" w:styleId="ad">
    <w:name w:val="header"/>
    <w:basedOn w:val="a0"/>
    <w:link w:val="ae"/>
    <w:autoRedefine/>
    <w:uiPriority w:val="99"/>
    <w:unhideWhenUsed/>
    <w:qFormat/>
    <w:pPr>
      <w:tabs>
        <w:tab w:val="center" w:pos="4677"/>
        <w:tab w:val="right" w:pos="9355"/>
      </w:tabs>
      <w:spacing w:after="0" w:line="240" w:lineRule="auto"/>
    </w:pPr>
  </w:style>
  <w:style w:type="paragraph" w:styleId="11">
    <w:name w:val="toc 1"/>
    <w:basedOn w:val="a0"/>
    <w:next w:val="a0"/>
    <w:autoRedefine/>
    <w:uiPriority w:val="39"/>
    <w:unhideWhenUsed/>
    <w:qFormat/>
    <w:pPr>
      <w:tabs>
        <w:tab w:val="right" w:leader="dot" w:pos="9769"/>
      </w:tabs>
      <w:spacing w:after="0" w:line="240" w:lineRule="auto"/>
    </w:pPr>
  </w:style>
  <w:style w:type="paragraph" w:styleId="21">
    <w:name w:val="toc 2"/>
    <w:basedOn w:val="a0"/>
    <w:next w:val="a0"/>
    <w:autoRedefine/>
    <w:uiPriority w:val="39"/>
    <w:unhideWhenUsed/>
    <w:qFormat/>
    <w:pPr>
      <w:tabs>
        <w:tab w:val="right" w:leader="dot" w:pos="9529"/>
      </w:tabs>
      <w:spacing w:after="100"/>
      <w:ind w:left="220"/>
    </w:pPr>
    <w:rPr>
      <w:rFonts w:ascii="Times New Roman" w:eastAsia="SimSun" w:hAnsi="Times New Roman" w:cs="Times New Roman"/>
      <w:sz w:val="27"/>
      <w:szCs w:val="27"/>
    </w:rPr>
  </w:style>
  <w:style w:type="paragraph" w:styleId="af">
    <w:name w:val="Title"/>
    <w:basedOn w:val="a0"/>
    <w:next w:val="a0"/>
    <w:link w:val="af0"/>
    <w:autoRedefine/>
    <w:uiPriority w:val="10"/>
    <w:qFormat/>
    <w:pPr>
      <w:spacing w:after="0" w:line="240" w:lineRule="auto"/>
      <w:contextualSpacing/>
    </w:pPr>
    <w:rPr>
      <w:rFonts w:asciiTheme="majorHAnsi" w:eastAsiaTheme="majorEastAsia" w:hAnsiTheme="majorHAnsi" w:cstheme="majorBidi"/>
      <w:spacing w:val="-10"/>
      <w:kern w:val="28"/>
      <w:sz w:val="56"/>
      <w:szCs w:val="56"/>
    </w:rPr>
  </w:style>
  <w:style w:type="paragraph" w:styleId="af1">
    <w:name w:val="footer"/>
    <w:basedOn w:val="a0"/>
    <w:link w:val="af2"/>
    <w:autoRedefine/>
    <w:uiPriority w:val="99"/>
    <w:unhideWhenUsed/>
    <w:qFormat/>
    <w:pPr>
      <w:tabs>
        <w:tab w:val="center" w:pos="4677"/>
        <w:tab w:val="right" w:pos="9355"/>
      </w:tabs>
      <w:spacing w:after="0" w:line="240" w:lineRule="auto"/>
    </w:pPr>
  </w:style>
  <w:style w:type="paragraph" w:styleId="af3">
    <w:name w:val="Normal (Web)"/>
    <w:basedOn w:val="a0"/>
    <w:autoRedefine/>
    <w:uiPriority w:val="99"/>
    <w:qFormat/>
    <w:pPr>
      <w:spacing w:after="0" w:line="240" w:lineRule="auto"/>
      <w:ind w:left="34" w:right="-96" w:firstLine="533"/>
      <w:jc w:val="both"/>
    </w:pPr>
    <w:rPr>
      <w:rFonts w:ascii="Times New Roman" w:eastAsia="SimSun" w:hAnsi="Times New Roman" w:cs="Times New Roman"/>
      <w:sz w:val="28"/>
      <w:szCs w:val="28"/>
    </w:rPr>
  </w:style>
  <w:style w:type="paragraph" w:styleId="af4">
    <w:name w:val="Subtitle"/>
    <w:basedOn w:val="a0"/>
    <w:next w:val="a0"/>
    <w:link w:val="af5"/>
    <w:autoRedefine/>
    <w:uiPriority w:val="11"/>
    <w:qFormat/>
    <w:pPr>
      <w:spacing w:after="60" w:line="259" w:lineRule="auto"/>
      <w:jc w:val="center"/>
      <w:outlineLvl w:val="1"/>
    </w:pPr>
    <w:rPr>
      <w:rFonts w:ascii="Cambria" w:eastAsia="Times New Roman" w:hAnsi="Cambria" w:cs="Times New Roman"/>
      <w:sz w:val="24"/>
      <w:szCs w:val="24"/>
    </w:rPr>
  </w:style>
  <w:style w:type="table" w:styleId="af6">
    <w:name w:val="Table Grid"/>
    <w:basedOn w:val="a2"/>
    <w:autoRedefin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
    <w:name w:val="List Paragraph"/>
    <w:basedOn w:val="a0"/>
    <w:autoRedefine/>
    <w:uiPriority w:val="34"/>
    <w:qFormat/>
    <w:pPr>
      <w:numPr>
        <w:numId w:val="2"/>
      </w:numPr>
      <w:tabs>
        <w:tab w:val="left" w:pos="1100"/>
      </w:tabs>
      <w:spacing w:after="0" w:line="240" w:lineRule="auto"/>
      <w:ind w:left="0" w:firstLine="567"/>
      <w:contextualSpacing/>
      <w:jc w:val="both"/>
    </w:pPr>
  </w:style>
  <w:style w:type="character" w:customStyle="1" w:styleId="ae">
    <w:name w:val="Верхний колонтитул Знак"/>
    <w:basedOn w:val="a1"/>
    <w:link w:val="ad"/>
    <w:autoRedefine/>
    <w:uiPriority w:val="99"/>
    <w:qFormat/>
  </w:style>
  <w:style w:type="character" w:customStyle="1" w:styleId="af2">
    <w:name w:val="Нижний колонтитул Знак"/>
    <w:basedOn w:val="a1"/>
    <w:link w:val="af1"/>
    <w:autoRedefine/>
    <w:uiPriority w:val="99"/>
    <w:qFormat/>
  </w:style>
  <w:style w:type="paragraph" w:styleId="af7">
    <w:name w:val="No Spacing"/>
    <w:autoRedefine/>
    <w:uiPriority w:val="1"/>
    <w:qFormat/>
    <w:rPr>
      <w:rFonts w:asciiTheme="minorHAnsi" w:eastAsiaTheme="minorHAnsi" w:hAnsiTheme="minorHAnsi" w:cstheme="minorBidi"/>
      <w:sz w:val="22"/>
      <w:szCs w:val="22"/>
      <w:lang w:eastAsia="en-US"/>
    </w:rPr>
  </w:style>
  <w:style w:type="character" w:customStyle="1" w:styleId="10">
    <w:name w:val="Заголовок 1 Знак"/>
    <w:basedOn w:val="a1"/>
    <w:link w:val="1"/>
    <w:autoRedefine/>
    <w:uiPriority w:val="9"/>
    <w:qFormat/>
    <w:rPr>
      <w:rFonts w:asciiTheme="majorHAnsi" w:eastAsiaTheme="majorEastAsia" w:hAnsiTheme="majorHAnsi" w:cstheme="majorBidi"/>
      <w:color w:val="365F91" w:themeColor="accent1" w:themeShade="BF"/>
      <w:sz w:val="32"/>
      <w:szCs w:val="32"/>
    </w:rPr>
  </w:style>
  <w:style w:type="character" w:customStyle="1" w:styleId="20">
    <w:name w:val="Заголовок 2 Знак"/>
    <w:basedOn w:val="a1"/>
    <w:link w:val="2"/>
    <w:autoRedefine/>
    <w:uiPriority w:val="9"/>
    <w:qFormat/>
    <w:rPr>
      <w:rFonts w:asciiTheme="majorHAnsi" w:eastAsiaTheme="majorEastAsia" w:hAnsiTheme="majorHAnsi" w:cstheme="majorBidi"/>
      <w:color w:val="365F91" w:themeColor="accent1" w:themeShade="BF"/>
      <w:sz w:val="26"/>
      <w:szCs w:val="26"/>
    </w:rPr>
  </w:style>
  <w:style w:type="character" w:customStyle="1" w:styleId="30">
    <w:name w:val="Заголовок 3 Знак"/>
    <w:basedOn w:val="a1"/>
    <w:link w:val="3"/>
    <w:autoRedefine/>
    <w:uiPriority w:val="9"/>
    <w:qFormat/>
    <w:rPr>
      <w:rFonts w:asciiTheme="majorHAnsi" w:eastAsiaTheme="majorEastAsia" w:hAnsiTheme="majorHAnsi" w:cstheme="majorBidi"/>
      <w:color w:val="244061" w:themeColor="accent1" w:themeShade="80"/>
      <w:sz w:val="24"/>
      <w:szCs w:val="24"/>
    </w:rPr>
  </w:style>
  <w:style w:type="character" w:customStyle="1" w:styleId="40">
    <w:name w:val="Заголовок 4 Знак"/>
    <w:basedOn w:val="a1"/>
    <w:link w:val="4"/>
    <w:autoRedefine/>
    <w:uiPriority w:val="9"/>
    <w:semiHidden/>
    <w:qFormat/>
    <w:rPr>
      <w:rFonts w:asciiTheme="majorHAnsi" w:eastAsiaTheme="majorEastAsia" w:hAnsiTheme="majorHAnsi" w:cstheme="majorBidi"/>
      <w:i/>
      <w:iCs/>
      <w:color w:val="365F91" w:themeColor="accent1" w:themeShade="BF"/>
    </w:rPr>
  </w:style>
  <w:style w:type="character" w:customStyle="1" w:styleId="50">
    <w:name w:val="Заголовок 5 Знак"/>
    <w:basedOn w:val="a1"/>
    <w:link w:val="5"/>
    <w:autoRedefine/>
    <w:uiPriority w:val="9"/>
    <w:semiHidden/>
    <w:qFormat/>
    <w:rPr>
      <w:rFonts w:asciiTheme="majorHAnsi" w:eastAsiaTheme="majorEastAsia" w:hAnsiTheme="majorHAnsi" w:cstheme="majorBidi"/>
      <w:color w:val="365F91" w:themeColor="accent1" w:themeShade="BF"/>
    </w:rPr>
  </w:style>
  <w:style w:type="character" w:customStyle="1" w:styleId="60">
    <w:name w:val="Заголовок 6 Знак"/>
    <w:basedOn w:val="a1"/>
    <w:link w:val="6"/>
    <w:autoRedefine/>
    <w:uiPriority w:val="9"/>
    <w:semiHidden/>
    <w:qFormat/>
    <w:rPr>
      <w:rFonts w:asciiTheme="majorHAnsi" w:eastAsiaTheme="majorEastAsia" w:hAnsiTheme="majorHAnsi" w:cstheme="majorBidi"/>
      <w:color w:val="244061" w:themeColor="accent1" w:themeShade="80"/>
    </w:rPr>
  </w:style>
  <w:style w:type="character" w:customStyle="1" w:styleId="70">
    <w:name w:val="Заголовок 7 Знак"/>
    <w:basedOn w:val="a1"/>
    <w:link w:val="7"/>
    <w:autoRedefine/>
    <w:uiPriority w:val="9"/>
    <w:semiHidden/>
    <w:qFormat/>
    <w:rPr>
      <w:rFonts w:asciiTheme="majorHAnsi" w:eastAsiaTheme="majorEastAsia" w:hAnsiTheme="majorHAnsi" w:cstheme="majorBidi"/>
      <w:i/>
      <w:iCs/>
      <w:color w:val="244061" w:themeColor="accent1" w:themeShade="80"/>
    </w:rPr>
  </w:style>
  <w:style w:type="character" w:customStyle="1" w:styleId="80">
    <w:name w:val="Заголовок 8 Знак"/>
    <w:basedOn w:val="a1"/>
    <w:link w:val="8"/>
    <w:autoRedefine/>
    <w:uiPriority w:val="9"/>
    <w:semiHidden/>
    <w:qFormat/>
    <w:rPr>
      <w:rFonts w:asciiTheme="majorHAnsi" w:eastAsiaTheme="majorEastAsia" w:hAnsiTheme="majorHAnsi" w:cstheme="majorBidi"/>
      <w:color w:val="262626" w:themeColor="text1" w:themeTint="D9"/>
      <w:sz w:val="21"/>
      <w:szCs w:val="21"/>
    </w:rPr>
  </w:style>
  <w:style w:type="character" w:customStyle="1" w:styleId="90">
    <w:name w:val="Заголовок 9 Знак"/>
    <w:basedOn w:val="a1"/>
    <w:link w:val="9"/>
    <w:autoRedefine/>
    <w:uiPriority w:val="9"/>
    <w:semiHidden/>
    <w:qFormat/>
    <w:rPr>
      <w:rFonts w:asciiTheme="majorHAnsi" w:eastAsiaTheme="majorEastAsia" w:hAnsiTheme="majorHAnsi" w:cstheme="majorBidi"/>
      <w:i/>
      <w:iCs/>
      <w:color w:val="262626" w:themeColor="text1" w:themeTint="D9"/>
      <w:sz w:val="21"/>
      <w:szCs w:val="21"/>
    </w:rPr>
  </w:style>
  <w:style w:type="character" w:customStyle="1" w:styleId="fontstyle01">
    <w:name w:val="fontstyle01"/>
    <w:basedOn w:val="a1"/>
    <w:autoRedefine/>
    <w:qFormat/>
    <w:rPr>
      <w:rFonts w:ascii="TimesNewRomanPSMT" w:hAnsi="TimesNewRomanPSMT" w:hint="default"/>
      <w:color w:val="000000"/>
      <w:sz w:val="22"/>
      <w:szCs w:val="22"/>
    </w:rPr>
  </w:style>
  <w:style w:type="table" w:customStyle="1" w:styleId="Style13">
    <w:name w:val="_Style 13"/>
    <w:basedOn w:val="a2"/>
    <w:autoRedefine/>
    <w:qFormat/>
    <w:rPr>
      <w:rFonts w:ascii="Calibri" w:eastAsia="Calibri" w:hAnsi="Calibri" w:cs="Calibri"/>
    </w:rPr>
    <w:tblPr>
      <w:tblCellMar>
        <w:top w:w="100" w:type="dxa"/>
        <w:left w:w="100" w:type="dxa"/>
        <w:bottom w:w="100" w:type="dxa"/>
        <w:right w:w="100" w:type="dxa"/>
      </w:tblCellMar>
    </w:tblPr>
  </w:style>
  <w:style w:type="table" w:customStyle="1" w:styleId="Style12">
    <w:name w:val="_Style 12"/>
    <w:basedOn w:val="a2"/>
    <w:autoRedefine/>
    <w:qFormat/>
    <w:rPr>
      <w:rFonts w:ascii="Calibri" w:eastAsia="Calibri" w:hAnsi="Calibri" w:cs="Calibri"/>
    </w:rPr>
    <w:tblPr>
      <w:tblCellMar>
        <w:top w:w="100" w:type="dxa"/>
        <w:left w:w="100" w:type="dxa"/>
        <w:bottom w:w="100" w:type="dxa"/>
        <w:right w:w="100" w:type="dxa"/>
      </w:tblCellMar>
    </w:tblPr>
  </w:style>
  <w:style w:type="character" w:customStyle="1" w:styleId="element-citation">
    <w:name w:val="element-citation"/>
    <w:basedOn w:val="a1"/>
    <w:autoRedefine/>
    <w:qFormat/>
  </w:style>
  <w:style w:type="character" w:customStyle="1" w:styleId="ref-journal">
    <w:name w:val="ref-journal"/>
    <w:basedOn w:val="a1"/>
    <w:autoRedefine/>
    <w:qFormat/>
  </w:style>
  <w:style w:type="character" w:customStyle="1" w:styleId="ref-vol">
    <w:name w:val="ref-vol"/>
    <w:basedOn w:val="a1"/>
    <w:autoRedefine/>
    <w:qFormat/>
  </w:style>
  <w:style w:type="character" w:customStyle="1" w:styleId="nowrap">
    <w:name w:val="nowrap"/>
    <w:basedOn w:val="a1"/>
    <w:autoRedefine/>
    <w:qFormat/>
  </w:style>
  <w:style w:type="character" w:customStyle="1" w:styleId="af5">
    <w:name w:val="Подзаголовок Знак"/>
    <w:basedOn w:val="a1"/>
    <w:link w:val="af4"/>
    <w:autoRedefine/>
    <w:uiPriority w:val="11"/>
    <w:qFormat/>
    <w:rPr>
      <w:rFonts w:ascii="Cambria" w:eastAsia="Times New Roman" w:hAnsi="Cambria" w:cs="Times New Roman"/>
      <w:sz w:val="24"/>
      <w:szCs w:val="24"/>
    </w:rPr>
  </w:style>
  <w:style w:type="character" w:customStyle="1" w:styleId="a8">
    <w:name w:val="Текст выноски Знак"/>
    <w:basedOn w:val="a1"/>
    <w:link w:val="a7"/>
    <w:autoRedefine/>
    <w:qFormat/>
    <w:rPr>
      <w:rFonts w:ascii="Segoe UI" w:eastAsiaTheme="minorHAnsi" w:hAnsi="Segoe UI" w:cs="Segoe UI"/>
      <w:sz w:val="18"/>
      <w:szCs w:val="18"/>
      <w:lang w:eastAsia="en-US"/>
    </w:rPr>
  </w:style>
  <w:style w:type="character" w:customStyle="1" w:styleId="aa">
    <w:name w:val="Текст примечания Знак"/>
    <w:basedOn w:val="a1"/>
    <w:link w:val="a9"/>
    <w:autoRedefine/>
    <w:qFormat/>
    <w:rPr>
      <w:rFonts w:asciiTheme="minorHAnsi" w:eastAsiaTheme="minorHAnsi" w:hAnsiTheme="minorHAnsi" w:cstheme="minorBidi"/>
      <w:lang w:eastAsia="en-US"/>
    </w:rPr>
  </w:style>
  <w:style w:type="character" w:customStyle="1" w:styleId="ac">
    <w:name w:val="Тема примечания Знак"/>
    <w:basedOn w:val="aa"/>
    <w:link w:val="ab"/>
    <w:autoRedefine/>
    <w:qFormat/>
    <w:rPr>
      <w:rFonts w:asciiTheme="minorHAnsi" w:eastAsiaTheme="minorHAnsi" w:hAnsiTheme="minorHAnsi" w:cstheme="minorBidi"/>
      <w:b/>
      <w:bCs/>
      <w:lang w:eastAsia="en-US"/>
    </w:rPr>
  </w:style>
  <w:style w:type="paragraph" w:customStyle="1" w:styleId="TableParagraph">
    <w:name w:val="Table Paragraph"/>
    <w:basedOn w:val="a0"/>
    <w:autoRedefine/>
    <w:uiPriority w:val="1"/>
    <w:qFormat/>
    <w:pPr>
      <w:spacing w:before="32"/>
    </w:pPr>
    <w:rPr>
      <w:rFonts w:ascii="Trebuchet MS" w:eastAsia="Trebuchet MS" w:hAnsi="Trebuchet MS" w:cs="Trebuchet MS"/>
      <w:lang w:val="en-US"/>
    </w:rPr>
  </w:style>
  <w:style w:type="character" w:customStyle="1" w:styleId="font41">
    <w:name w:val="font41"/>
    <w:autoRedefine/>
    <w:qFormat/>
    <w:rPr>
      <w:rFonts w:ascii="Times New Roman" w:hAnsi="Times New Roman" w:cs="Times New Roman" w:hint="default"/>
      <w:color w:val="000000"/>
      <w:u w:val="none"/>
    </w:rPr>
  </w:style>
  <w:style w:type="character" w:customStyle="1" w:styleId="font21">
    <w:name w:val="font21"/>
    <w:autoRedefine/>
    <w:qFormat/>
    <w:rPr>
      <w:rFonts w:ascii="Times New Roman" w:hAnsi="Times New Roman" w:cs="Times New Roman" w:hint="default"/>
      <w:color w:val="000000"/>
      <w:u w:val="none"/>
    </w:rPr>
  </w:style>
  <w:style w:type="character" w:customStyle="1" w:styleId="font31">
    <w:name w:val="font31"/>
    <w:autoRedefine/>
    <w:qFormat/>
    <w:rPr>
      <w:rFonts w:ascii="Times New Roman" w:hAnsi="Times New Roman" w:cs="Times New Roman" w:hint="default"/>
      <w:color w:val="000000"/>
      <w:u w:val="none"/>
    </w:rPr>
  </w:style>
  <w:style w:type="character" w:customStyle="1" w:styleId="font11">
    <w:name w:val="font11"/>
    <w:autoRedefine/>
    <w:qFormat/>
    <w:rPr>
      <w:rFonts w:ascii="Times New Roman" w:hAnsi="Times New Roman" w:cs="Times New Roman" w:hint="default"/>
      <w:color w:val="000000"/>
      <w:u w:val="none"/>
    </w:rPr>
  </w:style>
  <w:style w:type="paragraph" w:customStyle="1" w:styleId="12">
    <w:name w:val="Заголовок оглавления1"/>
    <w:basedOn w:val="1"/>
    <w:next w:val="a0"/>
    <w:autoRedefine/>
    <w:uiPriority w:val="39"/>
    <w:unhideWhenUsed/>
    <w:qFormat/>
    <w:pPr>
      <w:numPr>
        <w:numId w:val="0"/>
      </w:numPr>
      <w:spacing w:line="259" w:lineRule="auto"/>
      <w:outlineLvl w:val="9"/>
    </w:pPr>
    <w:rPr>
      <w:lang w:eastAsia="ru-RU"/>
    </w:rPr>
  </w:style>
  <w:style w:type="character" w:customStyle="1" w:styleId="af0">
    <w:name w:val="Заголовок Знак"/>
    <w:basedOn w:val="a1"/>
    <w:link w:val="af"/>
    <w:autoRedefine/>
    <w:uiPriority w:val="10"/>
    <w:qFormat/>
    <w:rPr>
      <w:rFonts w:asciiTheme="majorHAnsi" w:eastAsiaTheme="majorEastAsia" w:hAnsiTheme="majorHAnsi" w:cstheme="majorBidi"/>
      <w:spacing w:val="-10"/>
      <w:kern w:val="28"/>
      <w:sz w:val="56"/>
      <w:szCs w:val="56"/>
      <w:lang w:eastAsia="en-US"/>
    </w:rPr>
  </w:style>
  <w:style w:type="paragraph" w:customStyle="1" w:styleId="22">
    <w:name w:val="Заголовок оглавления2"/>
    <w:basedOn w:val="1"/>
    <w:next w:val="a0"/>
    <w:uiPriority w:val="39"/>
    <w:unhideWhenUsed/>
    <w:qFormat/>
    <w:pPr>
      <w:numPr>
        <w:numId w:val="0"/>
      </w:numPr>
      <w:spacing w:line="259" w:lineRule="auto"/>
      <w:outlineLvl w:val="9"/>
    </w:pPr>
    <w:rPr>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chart" Target="charts/chart6.xml"/><Relationship Id="rId26" Type="http://schemas.openxmlformats.org/officeDocument/2006/relationships/image" Target="media/image11.png"/><Relationship Id="rId39" Type="http://schemas.openxmlformats.org/officeDocument/2006/relationships/image" Target="media/image17.png"/><Relationship Id="rId21" Type="http://schemas.openxmlformats.org/officeDocument/2006/relationships/image" Target="media/image7.png"/><Relationship Id="rId34" Type="http://schemas.openxmlformats.org/officeDocument/2006/relationships/hyperlink" Target="https://seer.cancer.gov/csr/1975_2014/" TargetMode="External"/><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fontTable" Target="fontTable.xml"/><Relationship Id="rId7" Type="http://schemas.openxmlformats.org/officeDocument/2006/relationships/hyperlink" Target="https://www.jpmph.org/articles/current.php?vol=55&amp;no=3" TargetMode="External"/><Relationship Id="rId2" Type="http://schemas.openxmlformats.org/officeDocument/2006/relationships/styles" Target="styles.xml"/><Relationship Id="rId16" Type="http://schemas.openxmlformats.org/officeDocument/2006/relationships/chart" Target="charts/chart4.xml"/><Relationship Id="rId29" Type="http://schemas.openxmlformats.org/officeDocument/2006/relationships/chart" Target="charts/chart9.xml"/><Relationship Id="rId11" Type="http://schemas.openxmlformats.org/officeDocument/2006/relationships/image" Target="media/image4.png"/><Relationship Id="rId24" Type="http://schemas.openxmlformats.org/officeDocument/2006/relationships/image" Target="media/image9.png"/><Relationship Id="rId32" Type="http://schemas.openxmlformats.org/officeDocument/2006/relationships/image" Target="media/image15.png"/><Relationship Id="rId37" Type="http://schemas.openxmlformats.org/officeDocument/2006/relationships/hyperlink" Target="https://www.cancerresearchuk.org/health-professional/cancer-statistics/statistics-by-cancer-type/lung-cancer" TargetMode="External"/><Relationship Id="rId40" Type="http://schemas.openxmlformats.org/officeDocument/2006/relationships/image" Target="media/image18.png"/><Relationship Id="rId45" Type="http://schemas.openxmlformats.org/officeDocument/2006/relationships/image" Target="media/image23.png"/><Relationship Id="rId5"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hyperlink" Target="https://www.cancer.org/cancer/lung-cancer/about/key-statistics.html" TargetMode="External"/><Relationship Id="rId49"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chart" Target="charts/chart7.xml"/><Relationship Id="rId31" Type="http://schemas.openxmlformats.org/officeDocument/2006/relationships/image" Target="media/image14.png"/><Relationship Id="rId44" Type="http://schemas.openxmlformats.org/officeDocument/2006/relationships/image" Target="media/image22.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chart" Target="charts/chart2.xml"/><Relationship Id="rId22" Type="http://schemas.openxmlformats.org/officeDocument/2006/relationships/chart" Target="charts/chart8.xml"/><Relationship Id="rId27" Type="http://schemas.openxmlformats.org/officeDocument/2006/relationships/image" Target="media/image12.png"/><Relationship Id="rId30" Type="http://schemas.openxmlformats.org/officeDocument/2006/relationships/chart" Target="charts/chart10.xml"/><Relationship Id="rId35" Type="http://schemas.openxmlformats.org/officeDocument/2006/relationships/hyperlink" Target="https://gco.iarc.fr/today" TargetMode="External"/><Relationship Id="rId43" Type="http://schemas.openxmlformats.org/officeDocument/2006/relationships/image" Target="media/image21.png"/><Relationship Id="rId48" Type="http://schemas.openxmlformats.org/officeDocument/2006/relationships/image" Target="media/image26.png"/><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chart" Target="charts/chart5.xml"/><Relationship Id="rId25" Type="http://schemas.openxmlformats.org/officeDocument/2006/relationships/image" Target="media/image10.png"/><Relationship Id="rId33" Type="http://schemas.openxmlformats.org/officeDocument/2006/relationships/image" Target="media/image16.png"/><Relationship Id="rId38" Type="http://schemas.openxmlformats.org/officeDocument/2006/relationships/hyperlink" Target="https://world-nuclear.org/information-library/country-profiles/countries-gn/kazakhstan.aspx" TargetMode="External"/><Relationship Id="rId46" Type="http://schemas.openxmlformats.org/officeDocument/2006/relationships/image" Target="media/image24.png"/><Relationship Id="rId20" Type="http://schemas.openxmlformats.org/officeDocument/2006/relationships/image" Target="media/image6.png"/><Relationship Id="rId41" Type="http://schemas.openxmlformats.org/officeDocument/2006/relationships/image" Target="media/image19.jpeg"/><Relationship Id="rId1" Type="http://schemas.openxmlformats.org/officeDocument/2006/relationships/numbering" Target="numbering.xml"/><Relationship Id="rId6" Type="http://schemas.openxmlformats.org/officeDocument/2006/relationships/endnotes" Target="endnotes.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GT\Downloads\&#1054;&#1073;&#1097;&#1072;&#1103;%20&#1090;&#1072;&#1073;&#1083;%20&#1089;&#1082;&#1088;&#1080;&#1085;&#1080;&#1085;&#1075;%2029.10.2022.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7.xml"/><Relationship Id="rId1" Type="http://schemas.microsoft.com/office/2011/relationships/chartStyle" Target="style7.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PC_pab_stan\Desktop\&#1058;&#1072;&#1073;&#1083;%20&#1089;&#1083;&#1091;&#1095;&#1072;&#1081;&#1085;&#1099;&#1077;%20&#1085;&#1072;&#1093;&#1086;&#1076;&#1082;&#1080;.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C:\Users\GT\Downloads\&#1054;&#1073;&#1097;&#1072;&#1103;%20&#1090;&#1072;&#1073;&#1083;%20&#1089;&#1082;&#1088;&#1080;&#1085;&#1080;&#1085;&#1075;%2029.10.2022.xlsx"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PC_pab_stan\Desktop\&#1058;&#1072;&#1073;&#1083;%20&#1089;&#1083;&#1091;&#1095;&#1072;&#1081;&#1085;&#1099;&#1077;%20&#1085;&#1072;&#1093;&#1086;&#1076;&#1082;&#1080;.xlsx"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C:\Users\PC_pab_stan\Desktop\&#1044;&#1048;&#1057;&#1057;&#1045;&#1056;\&#1044;&#1080;&#1089;&#1089;&#1077;&#1088;%20&#1085;&#1086;&#1074;&#1099;&#1081;\&#1054;&#1073;&#1097;&#1072;&#1103;%20&#1090;&#1072;&#1073;&#1083;%20&#1089;&#1082;&#1088;&#1080;&#1085;&#1080;&#1085;&#1075;%2006.06.2023.xlsx" TargetMode="External"/><Relationship Id="rId2" Type="http://schemas.microsoft.com/office/2011/relationships/chartColorStyle" Target="colors3.xml"/><Relationship Id="rId1" Type="http://schemas.microsoft.com/office/2011/relationships/chartStyle" Target="style3.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PC_pab_stan\Desktop\&#1044;&#1048;&#1057;&#1057;&#1045;&#1056;\&#1044;&#1080;&#1089;&#1089;&#1077;&#1088;%20&#1085;&#1086;&#1074;&#1099;&#1081;\&#1054;&#1073;&#1097;&#1072;&#1103;%20&#1090;&#1072;&#1073;&#1083;%20&#1089;&#1082;&#1088;&#1080;&#1085;&#1080;&#1085;&#1075;%2006.06.2023.xlsx" TargetMode="External"/><Relationship Id="rId2" Type="http://schemas.microsoft.com/office/2011/relationships/chartColorStyle" Target="colors4.xml"/><Relationship Id="rId1" Type="http://schemas.microsoft.com/office/2011/relationships/chartStyle" Target="style4.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PC_pab_stan\Downloads\&#1058;&#1072;&#1073;&#1083;%20&#1089;&#1083;&#1091;&#1095;&#1072;&#1081;&#1085;&#1099;&#1077;%20&#1085;&#1072;&#1093;&#1086;&#1076;&#1082;&#1080;%20(2).xlsx" TargetMode="External"/><Relationship Id="rId2" Type="http://schemas.microsoft.com/office/2011/relationships/chartColorStyle" Target="colors5.xml"/><Relationship Id="rId1" Type="http://schemas.microsoft.com/office/2011/relationships/chartStyle" Target="style5.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GT\Downloads\12.02%20%20&#1055;&#1086;%20&#1088;&#1077;&#1075;&#1080;&#1086;&#1085;&#1072;&#1084;%20&#1085;&#1086;&#1074;&#1099;&#1081;%20(1).xlsx" TargetMode="External"/><Relationship Id="rId2" Type="http://schemas.microsoft.com/office/2011/relationships/chartColorStyle" Target="colors6.xml"/><Relationship Id="rId1" Type="http://schemas.microsoft.com/office/2011/relationships/chartStyle" Target="style6.xml"/></Relationships>
</file>

<file path=word/charts/_rels/chart9.xml.rels><?xml version="1.0" encoding="UTF-8" standalone="yes"?>
<Relationships xmlns="http://schemas.openxmlformats.org/package/2006/relationships"><Relationship Id="rId1" Type="http://schemas.openxmlformats.org/officeDocument/2006/relationships/oleObject" Target="file:///C:\Users\PC_pab_stan\Desktop\&#1044;&#1048;&#1057;&#1057;&#1045;&#1056;\&#1044;&#1080;&#1089;&#1089;&#1077;&#1088;%20&#1085;&#1086;&#1074;&#1099;&#1081;\&#1054;&#1073;&#1097;&#1072;&#1103;%20&#1090;&#1072;&#1073;&#1083;%20&#1089;&#1082;&#1088;&#1080;&#1085;&#1080;&#1085;&#1075;%2022.01.202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Лист10!$A$21</c:f>
              <c:strCache>
                <c:ptCount val="1"/>
                <c:pt idx="0">
                  <c:v>Оба пола</c:v>
                </c:pt>
              </c:strCache>
            </c:strRef>
          </c:tx>
          <c:spPr>
            <a:solidFill>
              <a:srgbClr val="ACC777"/>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Лист10!$B$20:$K$20</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Лист10!$B$21:$K$21</c:f>
              <c:numCache>
                <c:formatCode>General</c:formatCode>
                <c:ptCount val="10"/>
                <c:pt idx="0">
                  <c:v>1</c:v>
                </c:pt>
                <c:pt idx="1">
                  <c:v>1</c:v>
                </c:pt>
                <c:pt idx="2">
                  <c:v>2</c:v>
                </c:pt>
                <c:pt idx="3">
                  <c:v>2</c:v>
                </c:pt>
                <c:pt idx="4">
                  <c:v>2</c:v>
                </c:pt>
                <c:pt idx="5">
                  <c:v>2</c:v>
                </c:pt>
                <c:pt idx="6">
                  <c:v>2</c:v>
                </c:pt>
                <c:pt idx="7">
                  <c:v>2</c:v>
                </c:pt>
                <c:pt idx="8">
                  <c:v>2</c:v>
                </c:pt>
                <c:pt idx="9">
                  <c:v>2</c:v>
                </c:pt>
              </c:numCache>
            </c:numRef>
          </c:val>
          <c:extLst>
            <c:ext xmlns:c16="http://schemas.microsoft.com/office/drawing/2014/chart" uri="{C3380CC4-5D6E-409C-BE32-E72D297353CC}">
              <c16:uniqueId val="{00000000-117C-4DCC-8CDB-F9D1F159145F}"/>
            </c:ext>
          </c:extLst>
        </c:ser>
        <c:ser>
          <c:idx val="1"/>
          <c:order val="1"/>
          <c:tx>
            <c:strRef>
              <c:f>Лист10!$A$22</c:f>
              <c:strCache>
                <c:ptCount val="1"/>
                <c:pt idx="0">
                  <c:v>Мужчины</c:v>
                </c:pt>
              </c:strCache>
            </c:strRef>
          </c:tx>
          <c:spPr>
            <a:solidFill>
              <a:schemeClr val="accent5">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Лист10!$B$20:$K$20</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Лист10!$B$22:$K$22</c:f>
              <c:numCache>
                <c:formatCode>General</c:formatCode>
                <c:ptCount val="10"/>
                <c:pt idx="0">
                  <c:v>1</c:v>
                </c:pt>
                <c:pt idx="1">
                  <c:v>1</c:v>
                </c:pt>
                <c:pt idx="2">
                  <c:v>1</c:v>
                </c:pt>
                <c:pt idx="3">
                  <c:v>1</c:v>
                </c:pt>
                <c:pt idx="4">
                  <c:v>1</c:v>
                </c:pt>
                <c:pt idx="5">
                  <c:v>1</c:v>
                </c:pt>
                <c:pt idx="6">
                  <c:v>1</c:v>
                </c:pt>
                <c:pt idx="7">
                  <c:v>1</c:v>
                </c:pt>
                <c:pt idx="8">
                  <c:v>1</c:v>
                </c:pt>
                <c:pt idx="9">
                  <c:v>1</c:v>
                </c:pt>
              </c:numCache>
            </c:numRef>
          </c:val>
          <c:extLst>
            <c:ext xmlns:c16="http://schemas.microsoft.com/office/drawing/2014/chart" uri="{C3380CC4-5D6E-409C-BE32-E72D297353CC}">
              <c16:uniqueId val="{00000001-117C-4DCC-8CDB-F9D1F159145F}"/>
            </c:ext>
          </c:extLst>
        </c:ser>
        <c:ser>
          <c:idx val="2"/>
          <c:order val="2"/>
          <c:tx>
            <c:strRef>
              <c:f>Лист10!$A$23</c:f>
              <c:strCache>
                <c:ptCount val="1"/>
                <c:pt idx="0">
                  <c:v>Женщины</c:v>
                </c:pt>
              </c:strCache>
            </c:strRef>
          </c:tx>
          <c:spPr>
            <a:solidFill>
              <a:srgbClr val="E36FA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Лист10!$B$20:$K$20</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Лист10!$B$23:$K$23</c:f>
              <c:numCache>
                <c:formatCode>General</c:formatCode>
                <c:ptCount val="10"/>
                <c:pt idx="0">
                  <c:v>7</c:v>
                </c:pt>
                <c:pt idx="1">
                  <c:v>9</c:v>
                </c:pt>
                <c:pt idx="2">
                  <c:v>8</c:v>
                </c:pt>
                <c:pt idx="3">
                  <c:v>6</c:v>
                </c:pt>
                <c:pt idx="4">
                  <c:v>7</c:v>
                </c:pt>
                <c:pt idx="5">
                  <c:v>10</c:v>
                </c:pt>
                <c:pt idx="6">
                  <c:v>7</c:v>
                </c:pt>
                <c:pt idx="7">
                  <c:v>9</c:v>
                </c:pt>
                <c:pt idx="8">
                  <c:v>7</c:v>
                </c:pt>
                <c:pt idx="9">
                  <c:v>7</c:v>
                </c:pt>
              </c:numCache>
            </c:numRef>
          </c:val>
          <c:extLst>
            <c:ext xmlns:c16="http://schemas.microsoft.com/office/drawing/2014/chart" uri="{C3380CC4-5D6E-409C-BE32-E72D297353CC}">
              <c16:uniqueId val="{00000002-117C-4DCC-8CDB-F9D1F159145F}"/>
            </c:ext>
          </c:extLst>
        </c:ser>
        <c:dLbls>
          <c:showLegendKey val="0"/>
          <c:showVal val="0"/>
          <c:showCatName val="0"/>
          <c:showSerName val="0"/>
          <c:showPercent val="0"/>
          <c:showBubbleSize val="0"/>
        </c:dLbls>
        <c:gapWidth val="219"/>
        <c:overlap val="-27"/>
        <c:axId val="655632688"/>
        <c:axId val="655633864"/>
      </c:barChart>
      <c:catAx>
        <c:axId val="655632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1" i="0" u="none" strike="noStrike" kern="1200" baseline="0">
                <a:solidFill>
                  <a:schemeClr val="tx1">
                    <a:lumMod val="65000"/>
                    <a:lumOff val="35000"/>
                  </a:schemeClr>
                </a:solidFill>
                <a:latin typeface="+mn-lt"/>
                <a:ea typeface="+mn-ea"/>
                <a:cs typeface="+mn-cs"/>
              </a:defRPr>
            </a:pPr>
            <a:endParaRPr lang="ru-RU"/>
          </a:p>
        </c:txPr>
        <c:crossAx val="655633864"/>
        <c:crosses val="autoZero"/>
        <c:auto val="1"/>
        <c:lblAlgn val="ctr"/>
        <c:lblOffset val="100"/>
        <c:noMultiLvlLbl val="0"/>
      </c:catAx>
      <c:valAx>
        <c:axId val="6556338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900" b="1" i="0" u="none" strike="noStrike" kern="1200" baseline="0">
                <a:solidFill>
                  <a:schemeClr val="tx1">
                    <a:lumMod val="65000"/>
                    <a:lumOff val="35000"/>
                  </a:schemeClr>
                </a:solidFill>
                <a:latin typeface="+mn-lt"/>
                <a:ea typeface="+mn-ea"/>
                <a:cs typeface="+mn-cs"/>
              </a:defRPr>
            </a:pPr>
            <a:endParaRPr lang="ru-RU"/>
          </a:p>
        </c:txPr>
        <c:crossAx val="655632688"/>
        <c:crosses val="autoZero"/>
        <c:crossBetween val="between"/>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uri="{0b15fc19-7d7d-44ad-8c2d-2c3a37ce22c3}">
        <chartProps xmlns="https://web.wps.cn/et/2018/main" chartId="{e3583f14-d669-41ad-bd14-06f6aea2cc8a}"/>
      </c:ext>
    </c:extLst>
  </c:chart>
  <c:spPr>
    <a:solidFill>
      <a:schemeClr val="bg1"/>
    </a:solidFill>
    <a:ln w="9525" cap="flat" cmpd="sng" algn="ctr">
      <a:solidFill>
        <a:schemeClr val="tx1">
          <a:lumMod val="15000"/>
          <a:lumOff val="85000"/>
        </a:schemeClr>
      </a:solidFill>
      <a:round/>
    </a:ln>
    <a:effectLst/>
  </c:spPr>
  <c:txPr>
    <a:bodyPr/>
    <a:lstStyle/>
    <a:p>
      <a:pPr>
        <a:defRPr lang="ru-RU"/>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1532033426183801E-2"/>
          <c:y val="0.116529628579529"/>
          <c:w val="0.877089136490251"/>
          <c:h val="0.78820527360362902"/>
        </c:manualLayout>
      </c:layout>
      <c:barChart>
        <c:barDir val="col"/>
        <c:grouping val="clustered"/>
        <c:varyColors val="0"/>
        <c:ser>
          <c:idx val="0"/>
          <c:order val="0"/>
          <c:spPr>
            <a:gradFill>
              <a:gsLst>
                <a:gs pos="0">
                  <a:srgbClr val="06FAF7"/>
                </a:gs>
                <a:gs pos="90000">
                  <a:srgbClr val="002060"/>
                </a:gs>
              </a:gsLst>
              <a:lin ang="5400000" scaled="0"/>
            </a:gradFill>
            <a:ln>
              <a:noFill/>
            </a:ln>
            <a:effectLst/>
          </c:spPr>
          <c:invertIfNegative val="0"/>
          <c:dLbls>
            <c:dLbl>
              <c:idx val="3"/>
              <c:tx>
                <c:rich>
                  <a:bodyPr/>
                  <a:lstStyle/>
                  <a:p>
                    <a:r>
                      <a:rPr lang="en-US"/>
                      <a:t>14</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FD1-4959-8A37-5E3E512BFB94}"/>
                </c:ext>
              </c:extLst>
            </c:dLbl>
            <c:dLbl>
              <c:idx val="4"/>
              <c:tx>
                <c:rich>
                  <a:bodyPr/>
                  <a:lstStyle/>
                  <a:p>
                    <a:r>
                      <a:rPr lang="en-US"/>
                      <a:t>34</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FD1-4959-8A37-5E3E512BFB94}"/>
                </c:ext>
              </c:extLst>
            </c:dLbl>
            <c:dLbl>
              <c:idx val="5"/>
              <c:tx>
                <c:rich>
                  <a:bodyPr/>
                  <a:lstStyle/>
                  <a:p>
                    <a:r>
                      <a:rPr lang="en-US"/>
                      <a:t>9</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FD1-4959-8A37-5E3E512BFB94}"/>
                </c:ext>
              </c:extLst>
            </c:dLbl>
            <c:spPr>
              <a:noFill/>
              <a:ln>
                <a:noFill/>
              </a:ln>
              <a:effectLst/>
            </c:spPr>
            <c:txPr>
              <a:bodyPr rot="0" spcFirstLastPara="0" vertOverflow="ellipsis" vert="horz" wrap="square" lIns="38100" tIns="19050" rIns="38100" bIns="19050" anchor="ctr" anchorCtr="1"/>
              <a:lstStyle/>
              <a:p>
                <a:pPr>
                  <a:defRPr lang="ru-RU" sz="10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{"IА","IB","IIA","IIB","IIIA","IIIB","IIIC","IVA"}</c:f>
              <c:strCache>
                <c:ptCount val="8"/>
                <c:pt idx="0">
                  <c:v>IА</c:v>
                </c:pt>
                <c:pt idx="1">
                  <c:v>IB</c:v>
                </c:pt>
                <c:pt idx="2">
                  <c:v>IIA</c:v>
                </c:pt>
                <c:pt idx="3">
                  <c:v>IIB</c:v>
                </c:pt>
                <c:pt idx="4">
                  <c:v>IIIA</c:v>
                </c:pt>
                <c:pt idx="5">
                  <c:v>IIIB</c:v>
                </c:pt>
                <c:pt idx="6">
                  <c:v>IIIC</c:v>
                </c:pt>
                <c:pt idx="7">
                  <c:v>IVA</c:v>
                </c:pt>
              </c:strCache>
            </c:strRef>
          </c:cat>
          <c:val>
            <c:numRef>
              <c:f>{4,4,9,12,32,8,4,1}</c:f>
              <c:numCache>
                <c:formatCode>General</c:formatCode>
                <c:ptCount val="8"/>
                <c:pt idx="0">
                  <c:v>4</c:v>
                </c:pt>
                <c:pt idx="1">
                  <c:v>4</c:v>
                </c:pt>
                <c:pt idx="2">
                  <c:v>9</c:v>
                </c:pt>
                <c:pt idx="3">
                  <c:v>12</c:v>
                </c:pt>
                <c:pt idx="4">
                  <c:v>32</c:v>
                </c:pt>
                <c:pt idx="5">
                  <c:v>8</c:v>
                </c:pt>
                <c:pt idx="6">
                  <c:v>4</c:v>
                </c:pt>
                <c:pt idx="7">
                  <c:v>1</c:v>
                </c:pt>
              </c:numCache>
            </c:numRef>
          </c:val>
          <c:extLst>
            <c:ext xmlns:c16="http://schemas.microsoft.com/office/drawing/2014/chart" uri="{C3380CC4-5D6E-409C-BE32-E72D297353CC}">
              <c16:uniqueId val="{00000003-4FD1-4959-8A37-5E3E512BFB94}"/>
            </c:ext>
          </c:extLst>
        </c:ser>
        <c:dLbls>
          <c:showLegendKey val="0"/>
          <c:showVal val="1"/>
          <c:showCatName val="0"/>
          <c:showSerName val="0"/>
          <c:showPercent val="0"/>
          <c:showBubbleSize val="0"/>
        </c:dLbls>
        <c:gapWidth val="219"/>
        <c:overlap val="-27"/>
        <c:axId val="642324288"/>
        <c:axId val="642325856"/>
      </c:barChart>
      <c:catAx>
        <c:axId val="642324288"/>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ru-RU" sz="1000" b="1" i="0" u="none" strike="noStrike" kern="1200" baseline="0">
                <a:solidFill>
                  <a:schemeClr val="tx1"/>
                </a:solidFill>
                <a:latin typeface="+mn-lt"/>
                <a:ea typeface="+mn-ea"/>
                <a:cs typeface="+mn-cs"/>
              </a:defRPr>
            </a:pPr>
            <a:endParaRPr lang="ru-RU"/>
          </a:p>
        </c:txPr>
        <c:crossAx val="642325856"/>
        <c:crosses val="autoZero"/>
        <c:auto val="1"/>
        <c:lblAlgn val="ctr"/>
        <c:lblOffset val="100"/>
        <c:noMultiLvlLbl val="0"/>
      </c:catAx>
      <c:valAx>
        <c:axId val="6423258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ru-RU" sz="1000" b="1" i="0" u="none" strike="noStrike" kern="1200" baseline="0">
                <a:solidFill>
                  <a:schemeClr val="tx1"/>
                </a:solidFill>
                <a:latin typeface="+mn-lt"/>
                <a:ea typeface="+mn-ea"/>
                <a:cs typeface="+mn-cs"/>
              </a:defRPr>
            </a:pPr>
            <a:endParaRPr lang="ru-RU"/>
          </a:p>
        </c:txPr>
        <c:crossAx val="642324288"/>
        <c:crosses val="autoZero"/>
        <c:crossBetween val="between"/>
      </c:valAx>
      <c:spPr>
        <a:noFill/>
        <a:ln>
          <a:noFill/>
        </a:ln>
        <a:effectLst/>
      </c:spPr>
    </c:plotArea>
    <c:plotVisOnly val="1"/>
    <c:dispBlanksAs val="gap"/>
    <c:showDLblsOverMax val="0"/>
    <c:extLst>
      <c:ext uri="{0b15fc19-7d7d-44ad-8c2d-2c3a37ce22c3}">
        <chartProps xmlns="https://web.wps.cn/et/2018/main" chartId="{c74ec7c6-6cd5-458c-ac96-da0eb66c0d4d}"/>
      </c:ext>
    </c:extLst>
  </c:chart>
  <c:spPr>
    <a:solidFill>
      <a:schemeClr val="bg1"/>
    </a:solidFill>
    <a:ln w="9525" cap="flat" cmpd="sng" algn="ctr">
      <a:solidFill>
        <a:schemeClr val="tx1">
          <a:lumMod val="15000"/>
          <a:lumOff val="85000"/>
        </a:schemeClr>
      </a:solidFill>
      <a:round/>
    </a:ln>
    <a:effectLst/>
  </c:spPr>
  <c:txPr>
    <a:bodyPr/>
    <a:lstStyle/>
    <a:p>
      <a:pPr>
        <a:defRPr lang="ru-RU"/>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effectLst/>
      </c:spPr>
    </c:floor>
    <c:sideWall>
      <c:thickness val="0"/>
      <c:spPr>
        <a:noFill/>
        <a:effectLst/>
      </c:spPr>
    </c:sideWall>
    <c:backWall>
      <c:thickness val="0"/>
      <c:spPr>
        <a:noFill/>
        <a:effectLst/>
      </c:spPr>
    </c:backWall>
    <c:plotArea>
      <c:layout>
        <c:manualLayout>
          <c:layoutTarget val="inner"/>
          <c:xMode val="edge"/>
          <c:yMode val="edge"/>
          <c:x val="4.8154093097913303E-3"/>
          <c:y val="6.3233965672990101E-3"/>
          <c:w val="0.68111289459604096"/>
          <c:h val="0.988256549232159"/>
        </c:manualLayout>
      </c:layout>
      <c:pie3DChart>
        <c:varyColors val="1"/>
        <c:ser>
          <c:idx val="0"/>
          <c:order val="0"/>
          <c:spPr>
            <a:scene3d>
              <a:camera prst="orthographicFront"/>
              <a:lightRig rig="threePt" dir="t"/>
            </a:scene3d>
            <a:sp3d contourW="25400"/>
          </c:spPr>
          <c:dPt>
            <c:idx val="0"/>
            <c:bubble3D val="0"/>
            <c:spPr>
              <a:solidFill>
                <a:srgbClr val="FA50E8"/>
              </a:solidFill>
              <a:ln w="25400">
                <a:solidFill>
                  <a:schemeClr val="lt1"/>
                </a:solidFill>
              </a:ln>
              <a:effectLst/>
              <a:scene3d>
                <a:camera prst="orthographicFront"/>
                <a:lightRig rig="threePt" dir="t"/>
              </a:scene3d>
              <a:sp3d contourW="25400"/>
            </c:spPr>
            <c:extLst>
              <c:ext xmlns:c16="http://schemas.microsoft.com/office/drawing/2014/chart" uri="{C3380CC4-5D6E-409C-BE32-E72D297353CC}">
                <c16:uniqueId val="{00000001-1437-4688-96D5-D7ACEFB60BBB}"/>
              </c:ext>
            </c:extLst>
          </c:dPt>
          <c:dPt>
            <c:idx val="1"/>
            <c:bubble3D val="0"/>
            <c:explosion val="10"/>
            <c:spPr>
              <a:gradFill>
                <a:gsLst>
                  <a:gs pos="0">
                    <a:srgbClr val="7B32B2"/>
                  </a:gs>
                  <a:gs pos="100000">
                    <a:srgbClr val="401A5D"/>
                  </a:gs>
                </a:gsLst>
                <a:lin ang="5400000" scaled="0"/>
              </a:gradFill>
              <a:ln w="25400">
                <a:solidFill>
                  <a:schemeClr val="lt1"/>
                </a:solidFill>
              </a:ln>
              <a:effectLst/>
              <a:scene3d>
                <a:camera prst="orthographicFront"/>
                <a:lightRig rig="threePt" dir="t"/>
              </a:scene3d>
              <a:sp3d contourW="25400"/>
            </c:spPr>
            <c:extLst>
              <c:ext xmlns:c16="http://schemas.microsoft.com/office/drawing/2014/chart" uri="{C3380CC4-5D6E-409C-BE32-E72D297353CC}">
                <c16:uniqueId val="{00000003-1437-4688-96D5-D7ACEFB60BBB}"/>
              </c:ext>
            </c:extLst>
          </c:dPt>
          <c:dPt>
            <c:idx val="2"/>
            <c:bubble3D val="0"/>
            <c:spPr>
              <a:solidFill>
                <a:srgbClr val="F4F207"/>
              </a:solidFill>
              <a:ln w="25400">
                <a:solidFill>
                  <a:schemeClr val="lt1"/>
                </a:solidFill>
              </a:ln>
              <a:effectLst/>
              <a:scene3d>
                <a:camera prst="orthographicFront"/>
                <a:lightRig rig="threePt" dir="t"/>
              </a:scene3d>
              <a:sp3d contourW="25400"/>
            </c:spPr>
            <c:extLst>
              <c:ext xmlns:c16="http://schemas.microsoft.com/office/drawing/2014/chart" uri="{C3380CC4-5D6E-409C-BE32-E72D297353CC}">
                <c16:uniqueId val="{00000005-1437-4688-96D5-D7ACEFB60BBB}"/>
              </c:ext>
            </c:extLst>
          </c:dPt>
          <c:dPt>
            <c:idx val="3"/>
            <c:bubble3D val="0"/>
            <c:spPr>
              <a:solidFill>
                <a:srgbClr val="FF0000"/>
              </a:solidFill>
              <a:ln w="25400">
                <a:solidFill>
                  <a:schemeClr val="lt1"/>
                </a:solidFill>
              </a:ln>
              <a:effectLst/>
              <a:scene3d>
                <a:camera prst="orthographicFront"/>
                <a:lightRig rig="threePt" dir="t"/>
              </a:scene3d>
              <a:sp3d contourW="25400"/>
            </c:spPr>
            <c:extLst>
              <c:ext xmlns:c16="http://schemas.microsoft.com/office/drawing/2014/chart" uri="{C3380CC4-5D6E-409C-BE32-E72D297353CC}">
                <c16:uniqueId val="{00000007-1437-4688-96D5-D7ACEFB60BBB}"/>
              </c:ext>
            </c:extLst>
          </c:dPt>
          <c:dPt>
            <c:idx val="4"/>
            <c:bubble3D val="0"/>
            <c:spPr>
              <a:solidFill>
                <a:schemeClr val="accent5"/>
              </a:solidFill>
              <a:ln w="25400">
                <a:solidFill>
                  <a:schemeClr val="lt1"/>
                </a:solidFill>
              </a:ln>
              <a:effectLst/>
              <a:scene3d>
                <a:camera prst="orthographicFront"/>
                <a:lightRig rig="threePt" dir="t"/>
              </a:scene3d>
              <a:sp3d contourW="25400"/>
            </c:spPr>
            <c:extLst>
              <c:ext xmlns:c16="http://schemas.microsoft.com/office/drawing/2014/chart" uri="{C3380CC4-5D6E-409C-BE32-E72D297353CC}">
                <c16:uniqueId val="{00000009-1437-4688-96D5-D7ACEFB60BBB}"/>
              </c:ext>
            </c:extLst>
          </c:dPt>
          <c:dPt>
            <c:idx val="5"/>
            <c:bubble3D val="0"/>
            <c:spPr>
              <a:solidFill>
                <a:srgbClr val="CBACFA"/>
              </a:solidFill>
              <a:ln w="25400">
                <a:solidFill>
                  <a:schemeClr val="lt1"/>
                </a:solidFill>
              </a:ln>
              <a:effectLst/>
              <a:scene3d>
                <a:camera prst="orthographicFront"/>
                <a:lightRig rig="threePt" dir="t"/>
              </a:scene3d>
              <a:sp3d contourW="25400"/>
            </c:spPr>
            <c:extLst>
              <c:ext xmlns:c16="http://schemas.microsoft.com/office/drawing/2014/chart" uri="{C3380CC4-5D6E-409C-BE32-E72D297353CC}">
                <c16:uniqueId val="{0000000B-1437-4688-96D5-D7ACEFB60BBB}"/>
              </c:ext>
            </c:extLst>
          </c:dPt>
          <c:dPt>
            <c:idx val="6"/>
            <c:bubble3D val="0"/>
            <c:spPr>
              <a:solidFill>
                <a:srgbClr val="67DC39"/>
              </a:solidFill>
              <a:ln w="25400">
                <a:solidFill>
                  <a:schemeClr val="lt1"/>
                </a:solidFill>
              </a:ln>
              <a:effectLst/>
              <a:scene3d>
                <a:camera prst="orthographicFront"/>
                <a:lightRig rig="threePt" dir="t"/>
              </a:scene3d>
              <a:sp3d contourW="25400"/>
            </c:spPr>
            <c:extLst>
              <c:ext xmlns:c16="http://schemas.microsoft.com/office/drawing/2014/chart" uri="{C3380CC4-5D6E-409C-BE32-E72D297353CC}">
                <c16:uniqueId val="{0000000D-1437-4688-96D5-D7ACEFB60BBB}"/>
              </c:ext>
            </c:extLst>
          </c:dPt>
          <c:dPt>
            <c:idx val="7"/>
            <c:bubble3D val="0"/>
            <c:spPr>
              <a:solidFill>
                <a:srgbClr val="87BCEC"/>
              </a:solidFill>
              <a:ln w="25400">
                <a:solidFill>
                  <a:schemeClr val="lt1"/>
                </a:solidFill>
              </a:ln>
              <a:effectLst/>
              <a:scene3d>
                <a:camera prst="orthographicFront"/>
                <a:lightRig rig="threePt" dir="t"/>
              </a:scene3d>
              <a:sp3d contourW="25400"/>
            </c:spPr>
            <c:extLst>
              <c:ext xmlns:c16="http://schemas.microsoft.com/office/drawing/2014/chart" uri="{C3380CC4-5D6E-409C-BE32-E72D297353CC}">
                <c16:uniqueId val="{0000000F-1437-4688-96D5-D7ACEFB60BBB}"/>
              </c:ext>
            </c:extLst>
          </c:dPt>
          <c:dPt>
            <c:idx val="8"/>
            <c:bubble3D val="0"/>
            <c:spPr>
              <a:solidFill>
                <a:schemeClr val="accent6">
                  <a:lumMod val="40000"/>
                  <a:lumOff val="60000"/>
                </a:schemeClr>
              </a:solidFill>
              <a:ln w="25400">
                <a:solidFill>
                  <a:schemeClr val="lt1"/>
                </a:solidFill>
              </a:ln>
              <a:effectLst/>
              <a:scene3d>
                <a:camera prst="orthographicFront"/>
                <a:lightRig rig="threePt" dir="t"/>
              </a:scene3d>
              <a:sp3d contourW="25400"/>
            </c:spPr>
            <c:extLst>
              <c:ext xmlns:c16="http://schemas.microsoft.com/office/drawing/2014/chart" uri="{C3380CC4-5D6E-409C-BE32-E72D297353CC}">
                <c16:uniqueId val="{00000011-1437-4688-96D5-D7ACEFB60BBB}"/>
              </c:ext>
            </c:extLst>
          </c:dPt>
          <c:dPt>
            <c:idx val="9"/>
            <c:bubble3D val="0"/>
            <c:spPr>
              <a:solidFill>
                <a:srgbClr val="C4C4C4"/>
              </a:solidFill>
              <a:ln w="25400">
                <a:solidFill>
                  <a:schemeClr val="lt1"/>
                </a:solidFill>
              </a:ln>
              <a:effectLst/>
              <a:scene3d>
                <a:camera prst="orthographicFront"/>
                <a:lightRig rig="threePt" dir="t"/>
              </a:scene3d>
              <a:sp3d contourW="25400"/>
            </c:spPr>
            <c:extLst>
              <c:ext xmlns:c16="http://schemas.microsoft.com/office/drawing/2014/chart" uri="{C3380CC4-5D6E-409C-BE32-E72D297353CC}">
                <c16:uniqueId val="{00000013-1437-4688-96D5-D7ACEFB60BBB}"/>
              </c:ext>
            </c:extLst>
          </c:dPt>
          <c:dPt>
            <c:idx val="10"/>
            <c:bubble3D val="0"/>
            <c:spPr>
              <a:solidFill>
                <a:schemeClr val="accent5">
                  <a:lumMod val="60000"/>
                </a:schemeClr>
              </a:solidFill>
              <a:ln w="25400">
                <a:solidFill>
                  <a:schemeClr val="lt1"/>
                </a:solidFill>
              </a:ln>
              <a:effectLst/>
              <a:scene3d>
                <a:camera prst="orthographicFront"/>
                <a:lightRig rig="threePt" dir="t"/>
              </a:scene3d>
              <a:sp3d contourW="25400"/>
            </c:spPr>
            <c:extLst>
              <c:ext xmlns:c16="http://schemas.microsoft.com/office/drawing/2014/chart" uri="{C3380CC4-5D6E-409C-BE32-E72D297353CC}">
                <c16:uniqueId val="{00000015-1437-4688-96D5-D7ACEFB60BBB}"/>
              </c:ext>
            </c:extLst>
          </c:dPt>
          <c:dPt>
            <c:idx val="11"/>
            <c:bubble3D val="0"/>
            <c:spPr>
              <a:solidFill>
                <a:srgbClr val="0A2C70"/>
              </a:solidFill>
              <a:ln w="25400">
                <a:solidFill>
                  <a:schemeClr val="lt1"/>
                </a:solidFill>
              </a:ln>
              <a:effectLst/>
              <a:scene3d>
                <a:camera prst="orthographicFront"/>
                <a:lightRig rig="threePt" dir="t"/>
              </a:scene3d>
              <a:sp3d contourW="25400"/>
            </c:spPr>
            <c:extLst>
              <c:ext xmlns:c16="http://schemas.microsoft.com/office/drawing/2014/chart" uri="{C3380CC4-5D6E-409C-BE32-E72D297353CC}">
                <c16:uniqueId val="{00000017-1437-4688-96D5-D7ACEFB60BBB}"/>
              </c:ext>
            </c:extLst>
          </c:dPt>
          <c:dPt>
            <c:idx val="12"/>
            <c:bubble3D val="0"/>
            <c:spPr>
              <a:solidFill>
                <a:srgbClr val="00B0F0"/>
              </a:solidFill>
              <a:ln w="25400">
                <a:solidFill>
                  <a:schemeClr val="lt1"/>
                </a:solidFill>
              </a:ln>
              <a:effectLst/>
              <a:scene3d>
                <a:camera prst="orthographicFront"/>
                <a:lightRig rig="threePt" dir="t"/>
              </a:scene3d>
              <a:sp3d contourW="25400"/>
            </c:spPr>
            <c:extLst>
              <c:ext xmlns:c16="http://schemas.microsoft.com/office/drawing/2014/chart" uri="{C3380CC4-5D6E-409C-BE32-E72D297353CC}">
                <c16:uniqueId val="{00000019-1437-4688-96D5-D7ACEFB60BBB}"/>
              </c:ext>
            </c:extLst>
          </c:dPt>
          <c:dPt>
            <c:idx val="13"/>
            <c:bubble3D val="0"/>
            <c:spPr>
              <a:solidFill>
                <a:srgbClr val="127F5C"/>
              </a:solidFill>
              <a:ln w="25400">
                <a:solidFill>
                  <a:schemeClr val="lt1"/>
                </a:solidFill>
              </a:ln>
              <a:effectLst/>
              <a:scene3d>
                <a:camera prst="orthographicFront"/>
                <a:lightRig rig="threePt" dir="t"/>
              </a:scene3d>
              <a:sp3d contourW="25400"/>
            </c:spPr>
            <c:extLst>
              <c:ext xmlns:c16="http://schemas.microsoft.com/office/drawing/2014/chart" uri="{C3380CC4-5D6E-409C-BE32-E72D297353CC}">
                <c16:uniqueId val="{0000001B-1437-4688-96D5-D7ACEFB60BBB}"/>
              </c:ext>
            </c:extLst>
          </c:dPt>
          <c:dPt>
            <c:idx val="14"/>
            <c:bubble3D val="0"/>
            <c:spPr>
              <a:solidFill>
                <a:schemeClr val="accent4">
                  <a:lumMod val="40000"/>
                  <a:lumOff val="60000"/>
                </a:schemeClr>
              </a:solidFill>
              <a:ln w="25400">
                <a:solidFill>
                  <a:schemeClr val="lt1"/>
                </a:solidFill>
              </a:ln>
              <a:effectLst/>
              <a:scene3d>
                <a:camera prst="orthographicFront"/>
                <a:lightRig rig="threePt" dir="t"/>
              </a:scene3d>
              <a:sp3d contourW="25400"/>
            </c:spPr>
            <c:extLst>
              <c:ext xmlns:c16="http://schemas.microsoft.com/office/drawing/2014/chart" uri="{C3380CC4-5D6E-409C-BE32-E72D297353CC}">
                <c16:uniqueId val="{0000001D-1437-4688-96D5-D7ACEFB60BBB}"/>
              </c:ext>
            </c:extLst>
          </c:dPt>
          <c:dPt>
            <c:idx val="15"/>
            <c:bubble3D val="0"/>
            <c:spPr>
              <a:solidFill>
                <a:srgbClr val="739ADE"/>
              </a:solidFill>
              <a:ln w="25400">
                <a:solidFill>
                  <a:schemeClr val="lt1"/>
                </a:solidFill>
              </a:ln>
              <a:effectLst/>
              <a:scene3d>
                <a:camera prst="orthographicFront"/>
                <a:lightRig rig="threePt" dir="t"/>
              </a:scene3d>
              <a:sp3d contourW="25400"/>
            </c:spPr>
            <c:extLst>
              <c:ext xmlns:c16="http://schemas.microsoft.com/office/drawing/2014/chart" uri="{C3380CC4-5D6E-409C-BE32-E72D297353CC}">
                <c16:uniqueId val="{0000001F-1437-4688-96D5-D7ACEFB60BBB}"/>
              </c:ext>
            </c:extLst>
          </c:dPt>
          <c:dPt>
            <c:idx val="16"/>
            <c:bubble3D val="0"/>
            <c:spPr>
              <a:solidFill>
                <a:srgbClr val="C00000"/>
              </a:solidFill>
              <a:ln w="25400">
                <a:solidFill>
                  <a:schemeClr val="lt1"/>
                </a:solidFill>
              </a:ln>
              <a:effectLst/>
              <a:scene3d>
                <a:camera prst="orthographicFront"/>
                <a:lightRig rig="threePt" dir="t"/>
              </a:scene3d>
              <a:sp3d contourW="25400"/>
            </c:spPr>
            <c:extLst>
              <c:ext xmlns:c16="http://schemas.microsoft.com/office/drawing/2014/chart" uri="{C3380CC4-5D6E-409C-BE32-E72D297353CC}">
                <c16:uniqueId val="{00000021-1437-4688-96D5-D7ACEFB60BBB}"/>
              </c:ext>
            </c:extLst>
          </c:dPt>
          <c:dPt>
            <c:idx val="17"/>
            <c:bubble3D val="0"/>
            <c:spPr>
              <a:solidFill>
                <a:schemeClr val="accent6">
                  <a:lumMod val="80000"/>
                  <a:lumOff val="20000"/>
                </a:schemeClr>
              </a:solidFill>
              <a:ln w="25400">
                <a:solidFill>
                  <a:schemeClr val="lt1"/>
                </a:solidFill>
              </a:ln>
              <a:effectLst/>
              <a:scene3d>
                <a:camera prst="orthographicFront"/>
                <a:lightRig rig="threePt" dir="t"/>
              </a:scene3d>
              <a:sp3d contourW="25400"/>
            </c:spPr>
            <c:extLst>
              <c:ext xmlns:c16="http://schemas.microsoft.com/office/drawing/2014/chart" uri="{C3380CC4-5D6E-409C-BE32-E72D297353CC}">
                <c16:uniqueId val="{00000023-1437-4688-96D5-D7ACEFB60BBB}"/>
              </c:ext>
            </c:extLst>
          </c:dPt>
          <c:dLbls>
            <c:spPr>
              <a:noFill/>
              <a:ln>
                <a:noFill/>
              </a:ln>
              <a:effectLst/>
            </c:spPr>
            <c:txPr>
              <a:bodyPr rot="0" spcFirstLastPara="0" vertOverflow="ellipsis" vert="horz" wrap="square" lIns="38100" tIns="19050" rIns="38100" bIns="19050" anchor="ctr" anchorCtr="1"/>
              <a:lstStyle/>
              <a:p>
                <a:pPr>
                  <a:defRPr lang="ru-RU" sz="10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prstDash val="solid"/>
                  <a:round/>
                </a:ln>
                <a:effectLst/>
              </c:spPr>
            </c:leaderLines>
            <c:extLst>
              <c:ext xmlns:c15="http://schemas.microsoft.com/office/drawing/2012/chart" uri="{CE6537A1-D6FC-4f65-9D91-7224C49458BB}"/>
            </c:extLst>
          </c:dLbls>
          <c:cat>
            <c:strRef>
              <c:f>'[Табл случайные находки.xlsx]Лист2'!$B$22:$B$39</c:f>
              <c:strCache>
                <c:ptCount val="18"/>
                <c:pt idx="0">
                  <c:v>Молочная железа</c:v>
                </c:pt>
                <c:pt idx="1">
                  <c:v>Трахея, бронхи, легкое</c:v>
                </c:pt>
                <c:pt idx="2">
                  <c:v>Желудок</c:v>
                </c:pt>
                <c:pt idx="3">
                  <c:v>Шейка матки</c:v>
                </c:pt>
                <c:pt idx="4">
                  <c:v>Ободочная кишка</c:v>
                </c:pt>
                <c:pt idx="5">
                  <c:v>Прямая кишка</c:v>
                </c:pt>
                <c:pt idx="6">
                  <c:v>Гемобластозы</c:v>
                </c:pt>
                <c:pt idx="7">
                  <c:v>Почки</c:v>
                </c:pt>
                <c:pt idx="8">
                  <c:v>Предстательная железа</c:v>
                </c:pt>
                <c:pt idx="9">
                  <c:v>Тело матки </c:v>
                </c:pt>
                <c:pt idx="10">
                  <c:v>Пищевод</c:v>
                </c:pt>
                <c:pt idx="11">
                  <c:v>Яичники</c:v>
                </c:pt>
                <c:pt idx="12">
                  <c:v>Поджелудочная железа</c:v>
                </c:pt>
                <c:pt idx="13">
                  <c:v>Печень</c:v>
                </c:pt>
                <c:pt idx="14">
                  <c:v>Щитовидная железа</c:v>
                </c:pt>
                <c:pt idx="15">
                  <c:v>Мочевой пузырь </c:v>
                </c:pt>
                <c:pt idx="16">
                  <c:v>ЦНС</c:v>
                </c:pt>
                <c:pt idx="17">
                  <c:v>Другие</c:v>
                </c:pt>
              </c:strCache>
            </c:strRef>
          </c:cat>
          <c:val>
            <c:numRef>
              <c:f>'[Табл случайные находки.xlsx]Лист2'!$C$22:$C$39</c:f>
              <c:numCache>
                <c:formatCode>General</c:formatCode>
                <c:ptCount val="18"/>
                <c:pt idx="0">
                  <c:v>15.2</c:v>
                </c:pt>
                <c:pt idx="1">
                  <c:v>11.5</c:v>
                </c:pt>
                <c:pt idx="2">
                  <c:v>8.1999999999999993</c:v>
                </c:pt>
                <c:pt idx="3">
                  <c:v>5.5</c:v>
                </c:pt>
                <c:pt idx="4">
                  <c:v>5.3</c:v>
                </c:pt>
                <c:pt idx="5">
                  <c:v>5</c:v>
                </c:pt>
                <c:pt idx="6">
                  <c:v>4.7</c:v>
                </c:pt>
                <c:pt idx="7">
                  <c:v>3.8</c:v>
                </c:pt>
                <c:pt idx="8">
                  <c:v>3.8</c:v>
                </c:pt>
                <c:pt idx="9">
                  <c:v>3.7</c:v>
                </c:pt>
                <c:pt idx="10">
                  <c:v>3.6</c:v>
                </c:pt>
                <c:pt idx="11">
                  <c:v>3.5</c:v>
                </c:pt>
                <c:pt idx="12">
                  <c:v>3.4</c:v>
                </c:pt>
                <c:pt idx="13">
                  <c:v>3.1</c:v>
                </c:pt>
                <c:pt idx="14">
                  <c:v>2.4</c:v>
                </c:pt>
                <c:pt idx="15">
                  <c:v>2.4</c:v>
                </c:pt>
                <c:pt idx="16">
                  <c:v>2.2000000000000002</c:v>
                </c:pt>
                <c:pt idx="17">
                  <c:v>12.7</c:v>
                </c:pt>
              </c:numCache>
            </c:numRef>
          </c:val>
          <c:extLst>
            <c:ext xmlns:c16="http://schemas.microsoft.com/office/drawing/2014/chart" uri="{C3380CC4-5D6E-409C-BE32-E72D297353CC}">
              <c16:uniqueId val="{00000024-1437-4688-96D5-D7ACEFB60BBB}"/>
            </c:ext>
          </c:extLst>
        </c:ser>
        <c:dLbls>
          <c:showLegendKey val="0"/>
          <c:showVal val="1"/>
          <c:showCatName val="0"/>
          <c:showSerName val="0"/>
          <c:showPercent val="0"/>
          <c:showBubbleSize val="0"/>
          <c:showLeaderLines val="1"/>
        </c:dLbls>
      </c:pie3DChart>
      <c:spPr>
        <a:noFill/>
        <a:ln>
          <a:noFill/>
        </a:ln>
        <a:effectLst/>
      </c:spPr>
    </c:plotArea>
    <c:legend>
      <c:legendPos val="r"/>
      <c:legendEntry>
        <c:idx val="0"/>
        <c:txPr>
          <a:bodyPr rot="0" spcFirstLastPara="0" vertOverflow="ellipsis" vert="horz" wrap="square" anchor="ctr" anchorCtr="1"/>
          <a:lstStyle/>
          <a:p>
            <a:pPr>
              <a:defRPr lang="ru-RU" sz="10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legendEntry>
      <c:legendEntry>
        <c:idx val="1"/>
        <c:txPr>
          <a:bodyPr rot="0" spcFirstLastPara="0" vertOverflow="ellipsis" vert="horz" wrap="square" anchor="ctr" anchorCtr="1"/>
          <a:lstStyle/>
          <a:p>
            <a:pPr>
              <a:defRPr lang="ru-RU" sz="10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legendEntry>
      <c:legendEntry>
        <c:idx val="2"/>
        <c:txPr>
          <a:bodyPr rot="0" spcFirstLastPara="0" vertOverflow="ellipsis" vert="horz" wrap="square" anchor="ctr" anchorCtr="1"/>
          <a:lstStyle/>
          <a:p>
            <a:pPr>
              <a:defRPr lang="ru-RU" sz="10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legendEntry>
      <c:legendEntry>
        <c:idx val="3"/>
        <c:txPr>
          <a:bodyPr rot="0" spcFirstLastPara="0" vertOverflow="ellipsis" vert="horz" wrap="square" anchor="ctr" anchorCtr="1"/>
          <a:lstStyle/>
          <a:p>
            <a:pPr>
              <a:defRPr lang="ru-RU" sz="10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legendEntry>
      <c:legendEntry>
        <c:idx val="4"/>
        <c:txPr>
          <a:bodyPr rot="0" spcFirstLastPara="0" vertOverflow="ellipsis" vert="horz" wrap="square" anchor="ctr" anchorCtr="1"/>
          <a:lstStyle/>
          <a:p>
            <a:pPr>
              <a:defRPr lang="ru-RU" sz="10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legendEntry>
      <c:legendEntry>
        <c:idx val="5"/>
        <c:txPr>
          <a:bodyPr rot="0" spcFirstLastPara="0" vertOverflow="ellipsis" vert="horz" wrap="square" anchor="ctr" anchorCtr="1"/>
          <a:lstStyle/>
          <a:p>
            <a:pPr>
              <a:defRPr lang="ru-RU" sz="10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legendEntry>
      <c:legendEntry>
        <c:idx val="6"/>
        <c:txPr>
          <a:bodyPr rot="0" spcFirstLastPara="0" vertOverflow="ellipsis" vert="horz" wrap="square" anchor="ctr" anchorCtr="1"/>
          <a:lstStyle/>
          <a:p>
            <a:pPr>
              <a:defRPr lang="ru-RU" sz="10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legendEntry>
      <c:legendEntry>
        <c:idx val="7"/>
        <c:txPr>
          <a:bodyPr rot="0" spcFirstLastPara="0" vertOverflow="ellipsis" vert="horz" wrap="square" anchor="ctr" anchorCtr="1"/>
          <a:lstStyle/>
          <a:p>
            <a:pPr>
              <a:defRPr lang="ru-RU" sz="10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legendEntry>
      <c:legendEntry>
        <c:idx val="8"/>
        <c:txPr>
          <a:bodyPr rot="0" spcFirstLastPara="0" vertOverflow="ellipsis" vert="horz" wrap="square" anchor="ctr" anchorCtr="1"/>
          <a:lstStyle/>
          <a:p>
            <a:pPr>
              <a:defRPr lang="ru-RU" sz="10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legendEntry>
      <c:legendEntry>
        <c:idx val="9"/>
        <c:txPr>
          <a:bodyPr rot="0" spcFirstLastPara="0" vertOverflow="ellipsis" vert="horz" wrap="square" anchor="ctr" anchorCtr="1"/>
          <a:lstStyle/>
          <a:p>
            <a:pPr>
              <a:defRPr lang="ru-RU" sz="10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legendEntry>
      <c:legendEntry>
        <c:idx val="10"/>
        <c:txPr>
          <a:bodyPr rot="0" spcFirstLastPara="0" vertOverflow="ellipsis" vert="horz" wrap="square" anchor="ctr" anchorCtr="1"/>
          <a:lstStyle/>
          <a:p>
            <a:pPr>
              <a:defRPr lang="ru-RU" sz="10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legendEntry>
      <c:legendEntry>
        <c:idx val="11"/>
        <c:txPr>
          <a:bodyPr rot="0" spcFirstLastPara="0" vertOverflow="ellipsis" vert="horz" wrap="square" anchor="ctr" anchorCtr="1"/>
          <a:lstStyle/>
          <a:p>
            <a:pPr>
              <a:defRPr lang="ru-RU" sz="10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legendEntry>
      <c:legendEntry>
        <c:idx val="12"/>
        <c:txPr>
          <a:bodyPr rot="0" spcFirstLastPara="0" vertOverflow="ellipsis" vert="horz" wrap="square" anchor="ctr" anchorCtr="1"/>
          <a:lstStyle/>
          <a:p>
            <a:pPr>
              <a:defRPr lang="ru-RU" sz="10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legendEntry>
      <c:legendEntry>
        <c:idx val="13"/>
        <c:txPr>
          <a:bodyPr rot="0" spcFirstLastPara="0" vertOverflow="ellipsis" vert="horz" wrap="square" anchor="ctr" anchorCtr="1"/>
          <a:lstStyle/>
          <a:p>
            <a:pPr>
              <a:defRPr lang="ru-RU" sz="10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legendEntry>
      <c:legendEntry>
        <c:idx val="14"/>
        <c:txPr>
          <a:bodyPr rot="0" spcFirstLastPara="0" vertOverflow="ellipsis" vert="horz" wrap="square" anchor="ctr" anchorCtr="1"/>
          <a:lstStyle/>
          <a:p>
            <a:pPr>
              <a:defRPr lang="ru-RU" sz="10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legendEntry>
      <c:legendEntry>
        <c:idx val="15"/>
        <c:txPr>
          <a:bodyPr rot="0" spcFirstLastPara="0" vertOverflow="ellipsis" vert="horz" wrap="square" anchor="ctr" anchorCtr="1"/>
          <a:lstStyle/>
          <a:p>
            <a:pPr>
              <a:defRPr lang="ru-RU" sz="10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legendEntry>
      <c:legendEntry>
        <c:idx val="16"/>
        <c:txPr>
          <a:bodyPr rot="0" spcFirstLastPara="0" vertOverflow="ellipsis" vert="horz" wrap="square" anchor="ctr" anchorCtr="1"/>
          <a:lstStyle/>
          <a:p>
            <a:pPr>
              <a:defRPr lang="ru-RU" sz="10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legendEntry>
      <c:legendEntry>
        <c:idx val="17"/>
        <c:txPr>
          <a:bodyPr rot="0" spcFirstLastPara="0" vertOverflow="ellipsis" vert="horz" wrap="square" anchor="ctr" anchorCtr="1"/>
          <a:lstStyle/>
          <a:p>
            <a:pPr>
              <a:defRPr lang="ru-RU" sz="10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legendEntry>
      <c:layout>
        <c:manualLayout>
          <c:xMode val="edge"/>
          <c:yMode val="edge"/>
          <c:x val="0.67731216773431402"/>
          <c:y val="1.1743450767841E-2"/>
          <c:w val="0.31894245193130899"/>
          <c:h val="0.97560975609756095"/>
        </c:manualLayout>
      </c:layout>
      <c:overlay val="0"/>
      <c:spPr>
        <a:noFill/>
        <a:ln>
          <a:noFill/>
        </a:ln>
        <a:effectLst/>
      </c:spPr>
      <c:txPr>
        <a:bodyPr rot="0" spcFirstLastPara="0" vertOverflow="ellipsis" vert="horz" wrap="square" anchor="ctr" anchorCtr="1"/>
        <a:lstStyle/>
        <a:p>
          <a:pPr>
            <a:defRPr lang="ru-RU" sz="10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legend>
    <c:plotVisOnly val="1"/>
    <c:dispBlanksAs val="gap"/>
    <c:showDLblsOverMax val="0"/>
    <c:extLst>
      <c:ext uri="{0b15fc19-7d7d-44ad-8c2d-2c3a37ce22c3}">
        <chartProps xmlns="https://web.wps.cn/et/2018/main" chartId="{24126ea6-c933-40b1-8132-ca7cc17cfa3e}"/>
      </c:ext>
    </c:extLst>
  </c:chart>
  <c:spPr>
    <a:solidFill>
      <a:schemeClr val="bg1"/>
    </a:solidFill>
    <a:ln w="9525" cap="flat" cmpd="sng" algn="ctr">
      <a:solidFill>
        <a:schemeClr val="tx1">
          <a:lumMod val="15000"/>
          <a:lumOff val="85000"/>
        </a:schemeClr>
      </a:solidFill>
      <a:prstDash val="solid"/>
      <a:round/>
    </a:ln>
    <a:effectLst/>
  </c:spPr>
  <c:txPr>
    <a:bodyPr/>
    <a:lstStyle/>
    <a:p>
      <a:pPr>
        <a:defRPr lang="ru-RU"/>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Лист10!$A$28</c:f>
              <c:strCache>
                <c:ptCount val="1"/>
                <c:pt idx="0">
                  <c:v>Оба пола</c:v>
                </c:pt>
              </c:strCache>
            </c:strRef>
          </c:tx>
          <c:spPr>
            <a:solidFill>
              <a:srgbClr val="ACC777"/>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Лист10!$B$27:$K$27</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Лист10!$B$28:$K$28</c:f>
              <c:numCache>
                <c:formatCode>General</c:formatCode>
                <c:ptCount val="10"/>
                <c:pt idx="0">
                  <c:v>1</c:v>
                </c:pt>
                <c:pt idx="1">
                  <c:v>1</c:v>
                </c:pt>
                <c:pt idx="2">
                  <c:v>1</c:v>
                </c:pt>
                <c:pt idx="3">
                  <c:v>1</c:v>
                </c:pt>
                <c:pt idx="4">
                  <c:v>1</c:v>
                </c:pt>
                <c:pt idx="5">
                  <c:v>1</c:v>
                </c:pt>
                <c:pt idx="6">
                  <c:v>1</c:v>
                </c:pt>
                <c:pt idx="7">
                  <c:v>1</c:v>
                </c:pt>
                <c:pt idx="8">
                  <c:v>1</c:v>
                </c:pt>
                <c:pt idx="9">
                  <c:v>1</c:v>
                </c:pt>
              </c:numCache>
            </c:numRef>
          </c:val>
          <c:extLst>
            <c:ext xmlns:c16="http://schemas.microsoft.com/office/drawing/2014/chart" uri="{C3380CC4-5D6E-409C-BE32-E72D297353CC}">
              <c16:uniqueId val="{00000000-4B6B-4B71-93D3-51F54FF2EA89}"/>
            </c:ext>
          </c:extLst>
        </c:ser>
        <c:ser>
          <c:idx val="1"/>
          <c:order val="1"/>
          <c:tx>
            <c:strRef>
              <c:f>Лист10!$A$29</c:f>
              <c:strCache>
                <c:ptCount val="1"/>
                <c:pt idx="0">
                  <c:v>Мужчины</c:v>
                </c:pt>
              </c:strCache>
            </c:strRef>
          </c:tx>
          <c:spPr>
            <a:solidFill>
              <a:schemeClr val="accent5">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Лист10!$B$27:$K$27</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Лист10!$B$29:$K$29</c:f>
              <c:numCache>
                <c:formatCode>General</c:formatCode>
                <c:ptCount val="10"/>
                <c:pt idx="0">
                  <c:v>1</c:v>
                </c:pt>
                <c:pt idx="1">
                  <c:v>1</c:v>
                </c:pt>
                <c:pt idx="2">
                  <c:v>1</c:v>
                </c:pt>
                <c:pt idx="3">
                  <c:v>1</c:v>
                </c:pt>
                <c:pt idx="4">
                  <c:v>1</c:v>
                </c:pt>
                <c:pt idx="5">
                  <c:v>1</c:v>
                </c:pt>
                <c:pt idx="6">
                  <c:v>1</c:v>
                </c:pt>
                <c:pt idx="7">
                  <c:v>1</c:v>
                </c:pt>
                <c:pt idx="8">
                  <c:v>1</c:v>
                </c:pt>
                <c:pt idx="9">
                  <c:v>1</c:v>
                </c:pt>
              </c:numCache>
            </c:numRef>
          </c:val>
          <c:extLst>
            <c:ext xmlns:c16="http://schemas.microsoft.com/office/drawing/2014/chart" uri="{C3380CC4-5D6E-409C-BE32-E72D297353CC}">
              <c16:uniqueId val="{00000001-4B6B-4B71-93D3-51F54FF2EA89}"/>
            </c:ext>
          </c:extLst>
        </c:ser>
        <c:ser>
          <c:idx val="2"/>
          <c:order val="2"/>
          <c:tx>
            <c:strRef>
              <c:f>Лист10!$A$30</c:f>
              <c:strCache>
                <c:ptCount val="1"/>
                <c:pt idx="0">
                  <c:v>Женщины</c:v>
                </c:pt>
              </c:strCache>
            </c:strRef>
          </c:tx>
          <c:spPr>
            <a:solidFill>
              <a:srgbClr val="E36FA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Лист10!$B$27:$K$27</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Лист10!$B$30:$K$30</c:f>
              <c:numCache>
                <c:formatCode>General</c:formatCode>
                <c:ptCount val="10"/>
                <c:pt idx="0">
                  <c:v>5</c:v>
                </c:pt>
                <c:pt idx="1">
                  <c:v>7</c:v>
                </c:pt>
                <c:pt idx="2">
                  <c:v>6</c:v>
                </c:pt>
                <c:pt idx="3">
                  <c:v>5</c:v>
                </c:pt>
                <c:pt idx="4">
                  <c:v>5</c:v>
                </c:pt>
                <c:pt idx="5">
                  <c:v>6</c:v>
                </c:pt>
                <c:pt idx="6">
                  <c:v>5</c:v>
                </c:pt>
                <c:pt idx="7">
                  <c:v>6</c:v>
                </c:pt>
                <c:pt idx="8">
                  <c:v>5</c:v>
                </c:pt>
                <c:pt idx="9">
                  <c:v>5</c:v>
                </c:pt>
              </c:numCache>
            </c:numRef>
          </c:val>
          <c:extLst>
            <c:ext xmlns:c16="http://schemas.microsoft.com/office/drawing/2014/chart" uri="{C3380CC4-5D6E-409C-BE32-E72D297353CC}">
              <c16:uniqueId val="{00000002-4B6B-4B71-93D3-51F54FF2EA89}"/>
            </c:ext>
          </c:extLst>
        </c:ser>
        <c:dLbls>
          <c:showLegendKey val="0"/>
          <c:showVal val="0"/>
          <c:showCatName val="0"/>
          <c:showSerName val="0"/>
          <c:showPercent val="0"/>
          <c:showBubbleSize val="0"/>
        </c:dLbls>
        <c:gapWidth val="219"/>
        <c:overlap val="-27"/>
        <c:axId val="638829328"/>
        <c:axId val="638832072"/>
      </c:barChart>
      <c:catAx>
        <c:axId val="638829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1" i="0" u="none" strike="noStrike" kern="1200" baseline="0">
                <a:solidFill>
                  <a:schemeClr val="tx1">
                    <a:lumMod val="65000"/>
                    <a:lumOff val="35000"/>
                  </a:schemeClr>
                </a:solidFill>
                <a:latin typeface="+mn-lt"/>
                <a:ea typeface="+mn-ea"/>
                <a:cs typeface="+mn-cs"/>
              </a:defRPr>
            </a:pPr>
            <a:endParaRPr lang="ru-RU"/>
          </a:p>
        </c:txPr>
        <c:crossAx val="638832072"/>
        <c:crosses val="autoZero"/>
        <c:auto val="1"/>
        <c:lblAlgn val="ctr"/>
        <c:lblOffset val="100"/>
        <c:noMultiLvlLbl val="0"/>
      </c:catAx>
      <c:valAx>
        <c:axId val="6388320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900" b="1" i="0" u="none" strike="noStrike" kern="1200" baseline="0">
                <a:solidFill>
                  <a:schemeClr val="tx1">
                    <a:lumMod val="65000"/>
                    <a:lumOff val="35000"/>
                  </a:schemeClr>
                </a:solidFill>
                <a:latin typeface="+mn-lt"/>
                <a:ea typeface="+mn-ea"/>
                <a:cs typeface="+mn-cs"/>
              </a:defRPr>
            </a:pPr>
            <a:endParaRPr lang="ru-RU"/>
          </a:p>
        </c:txPr>
        <c:crossAx val="638829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uri="{0b15fc19-7d7d-44ad-8c2d-2c3a37ce22c3}">
        <chartProps xmlns="https://web.wps.cn/et/2018/main" chartId="{58fd7f58-7648-43bc-801d-8acf9c390979}"/>
      </c:ext>
    </c:extLst>
  </c:chart>
  <c:spPr>
    <a:solidFill>
      <a:schemeClr val="bg1"/>
    </a:solidFill>
    <a:ln w="9525" cap="flat" cmpd="sng" algn="ctr">
      <a:solidFill>
        <a:schemeClr val="tx1">
          <a:lumMod val="15000"/>
          <a:lumOff val="85000"/>
        </a:schemeClr>
      </a:solidFill>
      <a:round/>
    </a:ln>
    <a:effectLst/>
  </c:spPr>
  <c:txPr>
    <a:bodyPr/>
    <a:lstStyle/>
    <a:p>
      <a:pPr>
        <a:defRPr lang="ru-RU"/>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effectLst/>
      </c:spPr>
    </c:floor>
    <c:sideWall>
      <c:thickness val="0"/>
      <c:spPr>
        <a:noFill/>
        <a:effectLst/>
      </c:spPr>
    </c:sideWall>
    <c:backWall>
      <c:thickness val="0"/>
      <c:spPr>
        <a:noFill/>
        <a:effectLst/>
      </c:spPr>
    </c:backWall>
    <c:plotArea>
      <c:layout>
        <c:manualLayout>
          <c:layoutTarget val="inner"/>
          <c:xMode val="edge"/>
          <c:yMode val="edge"/>
          <c:x val="3.2003413697461098E-3"/>
          <c:y val="5.7012542759407097E-3"/>
          <c:w val="0.713889481544698"/>
          <c:h val="0.98859749144811904"/>
        </c:manualLayout>
      </c:layout>
      <c:pie3DChart>
        <c:varyColors val="1"/>
        <c:ser>
          <c:idx val="0"/>
          <c:order val="0"/>
          <c:spPr>
            <a:scene3d>
              <a:camera prst="orthographicFront"/>
              <a:lightRig rig="threePt" dir="t"/>
            </a:scene3d>
            <a:sp3d contourW="25400"/>
          </c:spPr>
          <c:dPt>
            <c:idx val="0"/>
            <c:bubble3D val="0"/>
            <c:explosion val="13"/>
            <c:spPr>
              <a:gradFill>
                <a:gsLst>
                  <a:gs pos="0">
                    <a:srgbClr val="7B32B2"/>
                  </a:gs>
                  <a:gs pos="100000">
                    <a:srgbClr val="401A5D"/>
                  </a:gs>
                </a:gsLst>
                <a:lin ang="5400000" scaled="0"/>
              </a:gradFill>
              <a:ln w="25400">
                <a:solidFill>
                  <a:schemeClr val="lt1"/>
                </a:solidFill>
              </a:ln>
              <a:effectLst/>
              <a:scene3d>
                <a:camera prst="orthographicFront"/>
                <a:lightRig rig="threePt" dir="t"/>
              </a:scene3d>
              <a:sp3d contourW="25400"/>
            </c:spPr>
            <c:extLst>
              <c:ext xmlns:c16="http://schemas.microsoft.com/office/drawing/2014/chart" uri="{C3380CC4-5D6E-409C-BE32-E72D297353CC}">
                <c16:uniqueId val="{00000001-8EA6-4B67-9B52-0E8DCCD3006A}"/>
              </c:ext>
            </c:extLst>
          </c:dPt>
          <c:dPt>
            <c:idx val="1"/>
            <c:bubble3D val="0"/>
            <c:spPr>
              <a:solidFill>
                <a:srgbClr val="F4F207"/>
              </a:solidFill>
              <a:ln w="25400">
                <a:solidFill>
                  <a:schemeClr val="lt1"/>
                </a:solidFill>
              </a:ln>
              <a:effectLst/>
              <a:scene3d>
                <a:camera prst="orthographicFront"/>
                <a:lightRig rig="threePt" dir="t"/>
              </a:scene3d>
              <a:sp3d contourW="25400"/>
            </c:spPr>
            <c:extLst>
              <c:ext xmlns:c16="http://schemas.microsoft.com/office/drawing/2014/chart" uri="{C3380CC4-5D6E-409C-BE32-E72D297353CC}">
                <c16:uniqueId val="{00000003-8EA6-4B67-9B52-0E8DCCD3006A}"/>
              </c:ext>
            </c:extLst>
          </c:dPt>
          <c:dPt>
            <c:idx val="2"/>
            <c:bubble3D val="0"/>
            <c:spPr>
              <a:solidFill>
                <a:srgbClr val="FA50E8"/>
              </a:solidFill>
              <a:ln w="25400">
                <a:solidFill>
                  <a:schemeClr val="lt1"/>
                </a:solidFill>
              </a:ln>
              <a:effectLst/>
              <a:scene3d>
                <a:camera prst="orthographicFront"/>
                <a:lightRig rig="threePt" dir="t"/>
              </a:scene3d>
              <a:sp3d contourW="25400"/>
            </c:spPr>
            <c:extLst>
              <c:ext xmlns:c16="http://schemas.microsoft.com/office/drawing/2014/chart" uri="{C3380CC4-5D6E-409C-BE32-E72D297353CC}">
                <c16:uniqueId val="{00000005-8EA6-4B67-9B52-0E8DCCD3006A}"/>
              </c:ext>
            </c:extLst>
          </c:dPt>
          <c:dPt>
            <c:idx val="3"/>
            <c:bubble3D val="0"/>
            <c:spPr>
              <a:solidFill>
                <a:srgbClr val="00B0F0"/>
              </a:solidFill>
              <a:ln w="25400">
                <a:solidFill>
                  <a:schemeClr val="lt1"/>
                </a:solidFill>
              </a:ln>
              <a:effectLst/>
              <a:scene3d>
                <a:camera prst="orthographicFront"/>
                <a:lightRig rig="threePt" dir="t"/>
              </a:scene3d>
              <a:sp3d contourW="25400"/>
            </c:spPr>
            <c:extLst>
              <c:ext xmlns:c16="http://schemas.microsoft.com/office/drawing/2014/chart" uri="{C3380CC4-5D6E-409C-BE32-E72D297353CC}">
                <c16:uniqueId val="{00000007-8EA6-4B67-9B52-0E8DCCD3006A}"/>
              </c:ext>
            </c:extLst>
          </c:dPt>
          <c:dPt>
            <c:idx val="4"/>
            <c:bubble3D val="0"/>
            <c:spPr>
              <a:solidFill>
                <a:schemeClr val="accent5"/>
              </a:solidFill>
              <a:ln w="25400">
                <a:solidFill>
                  <a:schemeClr val="lt1"/>
                </a:solidFill>
              </a:ln>
              <a:effectLst/>
              <a:scene3d>
                <a:camera prst="orthographicFront"/>
                <a:lightRig rig="threePt" dir="t"/>
              </a:scene3d>
              <a:sp3d contourW="25400"/>
            </c:spPr>
            <c:extLst>
              <c:ext xmlns:c16="http://schemas.microsoft.com/office/drawing/2014/chart" uri="{C3380CC4-5D6E-409C-BE32-E72D297353CC}">
                <c16:uniqueId val="{00000009-8EA6-4B67-9B52-0E8DCCD3006A}"/>
              </c:ext>
            </c:extLst>
          </c:dPt>
          <c:dPt>
            <c:idx val="5"/>
            <c:bubble3D val="0"/>
            <c:spPr>
              <a:solidFill>
                <a:srgbClr val="67DC39"/>
              </a:solidFill>
              <a:ln w="25400">
                <a:solidFill>
                  <a:schemeClr val="lt1"/>
                </a:solidFill>
              </a:ln>
              <a:effectLst/>
              <a:scene3d>
                <a:camera prst="orthographicFront"/>
                <a:lightRig rig="threePt" dir="t"/>
              </a:scene3d>
              <a:sp3d contourW="25400"/>
            </c:spPr>
            <c:extLst>
              <c:ext xmlns:c16="http://schemas.microsoft.com/office/drawing/2014/chart" uri="{C3380CC4-5D6E-409C-BE32-E72D297353CC}">
                <c16:uniqueId val="{0000000B-8EA6-4B67-9B52-0E8DCCD3006A}"/>
              </c:ext>
            </c:extLst>
          </c:dPt>
          <c:dPt>
            <c:idx val="6"/>
            <c:bubble3D val="0"/>
            <c:spPr>
              <a:solidFill>
                <a:srgbClr val="002060"/>
              </a:solidFill>
              <a:ln w="25400">
                <a:solidFill>
                  <a:schemeClr val="lt1"/>
                </a:solidFill>
              </a:ln>
              <a:effectLst/>
              <a:scene3d>
                <a:camera prst="orthographicFront"/>
                <a:lightRig rig="threePt" dir="t"/>
              </a:scene3d>
              <a:sp3d contourW="25400"/>
            </c:spPr>
            <c:extLst>
              <c:ext xmlns:c16="http://schemas.microsoft.com/office/drawing/2014/chart" uri="{C3380CC4-5D6E-409C-BE32-E72D297353CC}">
                <c16:uniqueId val="{0000000D-8EA6-4B67-9B52-0E8DCCD3006A}"/>
              </c:ext>
            </c:extLst>
          </c:dPt>
          <c:dPt>
            <c:idx val="7"/>
            <c:bubble3D val="0"/>
            <c:spPr>
              <a:gradFill>
                <a:gsLst>
                  <a:gs pos="29000">
                    <a:srgbClr val="7B32B2"/>
                  </a:gs>
                  <a:gs pos="100000">
                    <a:schemeClr val="bg1"/>
                  </a:gs>
                </a:gsLst>
                <a:lin ang="5400000" scaled="0"/>
              </a:gradFill>
              <a:ln w="25400">
                <a:solidFill>
                  <a:schemeClr val="lt1"/>
                </a:solidFill>
              </a:ln>
              <a:effectLst/>
              <a:scene3d>
                <a:camera prst="orthographicFront"/>
                <a:lightRig rig="threePt" dir="t"/>
              </a:scene3d>
              <a:sp3d contourW="25400"/>
            </c:spPr>
            <c:extLst>
              <c:ext xmlns:c16="http://schemas.microsoft.com/office/drawing/2014/chart" uri="{C3380CC4-5D6E-409C-BE32-E72D297353CC}">
                <c16:uniqueId val="{0000000F-8EA6-4B67-9B52-0E8DCCD3006A}"/>
              </c:ext>
            </c:extLst>
          </c:dPt>
          <c:dPt>
            <c:idx val="8"/>
            <c:bubble3D val="0"/>
            <c:spPr>
              <a:solidFill>
                <a:srgbClr val="0B7553"/>
              </a:solidFill>
              <a:ln w="25400">
                <a:solidFill>
                  <a:schemeClr val="lt1"/>
                </a:solidFill>
              </a:ln>
              <a:effectLst/>
              <a:scene3d>
                <a:camera prst="orthographicFront"/>
                <a:lightRig rig="threePt" dir="t"/>
              </a:scene3d>
              <a:sp3d contourW="25400"/>
            </c:spPr>
            <c:extLst>
              <c:ext xmlns:c16="http://schemas.microsoft.com/office/drawing/2014/chart" uri="{C3380CC4-5D6E-409C-BE32-E72D297353CC}">
                <c16:uniqueId val="{00000011-8EA6-4B67-9B52-0E8DCCD3006A}"/>
              </c:ext>
            </c:extLst>
          </c:dPt>
          <c:dPt>
            <c:idx val="9"/>
            <c:bubble3D val="0"/>
            <c:spPr>
              <a:solidFill>
                <a:srgbClr val="FF0000"/>
              </a:solidFill>
              <a:ln w="25400">
                <a:solidFill>
                  <a:schemeClr val="lt1"/>
                </a:solidFill>
              </a:ln>
              <a:effectLst/>
              <a:scene3d>
                <a:camera prst="orthographicFront"/>
                <a:lightRig rig="threePt" dir="t"/>
              </a:scene3d>
              <a:sp3d contourW="25400"/>
            </c:spPr>
            <c:extLst>
              <c:ext xmlns:c16="http://schemas.microsoft.com/office/drawing/2014/chart" uri="{C3380CC4-5D6E-409C-BE32-E72D297353CC}">
                <c16:uniqueId val="{00000013-8EA6-4B67-9B52-0E8DCCD3006A}"/>
              </c:ext>
            </c:extLst>
          </c:dPt>
          <c:dPt>
            <c:idx val="10"/>
            <c:bubble3D val="0"/>
            <c:spPr>
              <a:solidFill>
                <a:schemeClr val="accent5">
                  <a:lumMod val="60000"/>
                </a:schemeClr>
              </a:solidFill>
              <a:ln w="25400">
                <a:solidFill>
                  <a:schemeClr val="lt1"/>
                </a:solidFill>
              </a:ln>
              <a:effectLst/>
              <a:scene3d>
                <a:camera prst="orthographicFront"/>
                <a:lightRig rig="threePt" dir="t"/>
              </a:scene3d>
              <a:sp3d contourW="25400"/>
            </c:spPr>
            <c:extLst>
              <c:ext xmlns:c16="http://schemas.microsoft.com/office/drawing/2014/chart" uri="{C3380CC4-5D6E-409C-BE32-E72D297353CC}">
                <c16:uniqueId val="{00000015-8EA6-4B67-9B52-0E8DCCD3006A}"/>
              </c:ext>
            </c:extLst>
          </c:dPt>
          <c:dPt>
            <c:idx val="11"/>
            <c:bubble3D val="0"/>
            <c:spPr>
              <a:solidFill>
                <a:srgbClr val="92D050"/>
              </a:solidFill>
              <a:ln w="25400">
                <a:solidFill>
                  <a:schemeClr val="lt1"/>
                </a:solidFill>
              </a:ln>
              <a:effectLst/>
              <a:scene3d>
                <a:camera prst="orthographicFront"/>
                <a:lightRig rig="threePt" dir="t"/>
              </a:scene3d>
              <a:sp3d contourW="25400"/>
            </c:spPr>
            <c:extLst>
              <c:ext xmlns:c16="http://schemas.microsoft.com/office/drawing/2014/chart" uri="{C3380CC4-5D6E-409C-BE32-E72D297353CC}">
                <c16:uniqueId val="{00000017-8EA6-4B67-9B52-0E8DCCD3006A}"/>
              </c:ext>
            </c:extLst>
          </c:dPt>
          <c:dPt>
            <c:idx val="12"/>
            <c:bubble3D val="0"/>
            <c:spPr>
              <a:solidFill>
                <a:schemeClr val="accent1">
                  <a:lumMod val="80000"/>
                  <a:lumOff val="20000"/>
                </a:schemeClr>
              </a:solidFill>
              <a:ln w="25400">
                <a:solidFill>
                  <a:schemeClr val="lt1"/>
                </a:solidFill>
              </a:ln>
              <a:effectLst/>
              <a:scene3d>
                <a:camera prst="orthographicFront"/>
                <a:lightRig rig="threePt" dir="t"/>
              </a:scene3d>
              <a:sp3d contourW="25400"/>
            </c:spPr>
            <c:extLst>
              <c:ext xmlns:c16="http://schemas.microsoft.com/office/drawing/2014/chart" uri="{C3380CC4-5D6E-409C-BE32-E72D297353CC}">
                <c16:uniqueId val="{00000019-8EA6-4B67-9B52-0E8DCCD3006A}"/>
              </c:ext>
            </c:extLst>
          </c:dPt>
          <c:dPt>
            <c:idx val="13"/>
            <c:bubble3D val="0"/>
            <c:spPr>
              <a:solidFill>
                <a:srgbClr val="C00000"/>
              </a:solidFill>
              <a:ln w="25400">
                <a:solidFill>
                  <a:schemeClr val="lt1"/>
                </a:solidFill>
              </a:ln>
              <a:effectLst/>
              <a:scene3d>
                <a:camera prst="orthographicFront"/>
                <a:lightRig rig="threePt" dir="t"/>
              </a:scene3d>
              <a:sp3d contourW="25400"/>
            </c:spPr>
            <c:extLst>
              <c:ext xmlns:c16="http://schemas.microsoft.com/office/drawing/2014/chart" uri="{C3380CC4-5D6E-409C-BE32-E72D297353CC}">
                <c16:uniqueId val="{0000001B-8EA6-4B67-9B52-0E8DCCD3006A}"/>
              </c:ext>
            </c:extLst>
          </c:dPt>
          <c:dPt>
            <c:idx val="14"/>
            <c:bubble3D val="0"/>
            <c:spPr>
              <a:solidFill>
                <a:schemeClr val="accent3">
                  <a:lumMod val="80000"/>
                  <a:lumOff val="20000"/>
                </a:schemeClr>
              </a:solidFill>
              <a:ln w="25400">
                <a:solidFill>
                  <a:schemeClr val="lt1"/>
                </a:solidFill>
              </a:ln>
              <a:effectLst/>
              <a:scene3d>
                <a:camera prst="orthographicFront"/>
                <a:lightRig rig="threePt" dir="t"/>
              </a:scene3d>
              <a:sp3d contourW="25400"/>
            </c:spPr>
            <c:extLst>
              <c:ext xmlns:c16="http://schemas.microsoft.com/office/drawing/2014/chart" uri="{C3380CC4-5D6E-409C-BE32-E72D297353CC}">
                <c16:uniqueId val="{0000001D-8EA6-4B67-9B52-0E8DCCD3006A}"/>
              </c:ext>
            </c:extLst>
          </c:dPt>
          <c:dPt>
            <c:idx val="15"/>
            <c:bubble3D val="0"/>
            <c:spPr>
              <a:solidFill>
                <a:schemeClr val="accent4">
                  <a:lumMod val="80000"/>
                  <a:lumOff val="20000"/>
                </a:schemeClr>
              </a:solidFill>
              <a:ln w="25400">
                <a:solidFill>
                  <a:schemeClr val="lt1"/>
                </a:solidFill>
              </a:ln>
              <a:effectLst/>
              <a:scene3d>
                <a:camera prst="orthographicFront"/>
                <a:lightRig rig="threePt" dir="t"/>
              </a:scene3d>
              <a:sp3d contourW="25400"/>
            </c:spPr>
            <c:extLst>
              <c:ext xmlns:c16="http://schemas.microsoft.com/office/drawing/2014/chart" uri="{C3380CC4-5D6E-409C-BE32-E72D297353CC}">
                <c16:uniqueId val="{0000001F-8EA6-4B67-9B52-0E8DCCD3006A}"/>
              </c:ext>
            </c:extLst>
          </c:dPt>
          <c:dPt>
            <c:idx val="16"/>
            <c:bubble3D val="0"/>
            <c:spPr>
              <a:solidFill>
                <a:schemeClr val="accent5">
                  <a:lumMod val="80000"/>
                  <a:lumOff val="20000"/>
                </a:schemeClr>
              </a:solidFill>
              <a:ln w="25400">
                <a:solidFill>
                  <a:schemeClr val="lt1"/>
                </a:solidFill>
              </a:ln>
              <a:effectLst/>
              <a:scene3d>
                <a:camera prst="orthographicFront"/>
                <a:lightRig rig="threePt" dir="t"/>
              </a:scene3d>
              <a:sp3d contourW="25400"/>
            </c:spPr>
            <c:extLst>
              <c:ext xmlns:c16="http://schemas.microsoft.com/office/drawing/2014/chart" uri="{C3380CC4-5D6E-409C-BE32-E72D297353CC}">
                <c16:uniqueId val="{00000021-8EA6-4B67-9B52-0E8DCCD3006A}"/>
              </c:ext>
            </c:extLst>
          </c:dPt>
          <c:dPt>
            <c:idx val="17"/>
            <c:bubble3D val="0"/>
            <c:spPr>
              <a:solidFill>
                <a:schemeClr val="accent6">
                  <a:lumMod val="80000"/>
                  <a:lumOff val="20000"/>
                </a:schemeClr>
              </a:solidFill>
              <a:ln w="25400">
                <a:solidFill>
                  <a:schemeClr val="lt1"/>
                </a:solidFill>
              </a:ln>
              <a:effectLst/>
              <a:scene3d>
                <a:camera prst="orthographicFront"/>
                <a:lightRig rig="threePt" dir="t"/>
              </a:scene3d>
              <a:sp3d contourW="25400"/>
            </c:spPr>
            <c:extLst>
              <c:ext xmlns:c16="http://schemas.microsoft.com/office/drawing/2014/chart" uri="{C3380CC4-5D6E-409C-BE32-E72D297353CC}">
                <c16:uniqueId val="{00000023-8EA6-4B67-9B52-0E8DCCD3006A}"/>
              </c:ext>
            </c:extLst>
          </c:dPt>
          <c:dLbls>
            <c:spPr>
              <a:noFill/>
              <a:ln>
                <a:noFill/>
              </a:ln>
              <a:effectLst/>
            </c:spPr>
            <c:txPr>
              <a:bodyPr rot="0" spcFirstLastPara="0" vertOverflow="ellipsis" vert="horz" wrap="square" lIns="38100" tIns="19050" rIns="38100" bIns="19050" anchor="ctr" anchorCtr="1"/>
              <a:lstStyle/>
              <a:p>
                <a:pPr>
                  <a:defRPr lang="ru-RU" sz="1000" b="1" i="0" u="none" strike="noStrike" kern="120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prstDash val="solid"/>
                  <a:round/>
                </a:ln>
                <a:effectLst/>
              </c:spPr>
            </c:leaderLines>
            <c:extLst>
              <c:ext xmlns:c15="http://schemas.microsoft.com/office/drawing/2012/chart" uri="{CE6537A1-D6FC-4f65-9D91-7224C49458BB}"/>
            </c:extLst>
          </c:dLbls>
          <c:cat>
            <c:strRef>
              <c:f>'[Табл случайные находки.xlsx]Лист2'!$B$2:$B$19</c:f>
              <c:strCache>
                <c:ptCount val="18"/>
                <c:pt idx="0">
                  <c:v>Трахея, бронхи, легкое</c:v>
                </c:pt>
                <c:pt idx="1">
                  <c:v>Желудок</c:v>
                </c:pt>
                <c:pt idx="2">
                  <c:v>Молочная железа</c:v>
                </c:pt>
                <c:pt idx="3">
                  <c:v>Поджелудочная железа</c:v>
                </c:pt>
                <c:pt idx="4">
                  <c:v>Ободочная кишка</c:v>
                </c:pt>
                <c:pt idx="5">
                  <c:v>Гемобластозы</c:v>
                </c:pt>
                <c:pt idx="6">
                  <c:v>Пищевод</c:v>
                </c:pt>
                <c:pt idx="7">
                  <c:v>Прямая кишка</c:v>
                </c:pt>
                <c:pt idx="8">
                  <c:v>Печень</c:v>
                </c:pt>
                <c:pt idx="9">
                  <c:v>Шейка матки</c:v>
                </c:pt>
                <c:pt idx="10">
                  <c:v>Яичники</c:v>
                </c:pt>
                <c:pt idx="11">
                  <c:v>Предстательная железа</c:v>
                </c:pt>
                <c:pt idx="12">
                  <c:v>Почки</c:v>
                </c:pt>
                <c:pt idx="13">
                  <c:v>ЦНС</c:v>
                </c:pt>
                <c:pt idx="14">
                  <c:v>Тело матки </c:v>
                </c:pt>
                <c:pt idx="15">
                  <c:v>Язык, полость рта</c:v>
                </c:pt>
                <c:pt idx="16">
                  <c:v>Мочевой пузырь </c:v>
                </c:pt>
                <c:pt idx="17">
                  <c:v>Другие</c:v>
                </c:pt>
              </c:strCache>
            </c:strRef>
          </c:cat>
          <c:val>
            <c:numRef>
              <c:f>'[Табл случайные находки.xlsx]Лист2'!$C$2:$C$19</c:f>
              <c:numCache>
                <c:formatCode>General</c:formatCode>
                <c:ptCount val="18"/>
                <c:pt idx="0">
                  <c:v>16.2</c:v>
                </c:pt>
                <c:pt idx="1">
                  <c:v>12.1</c:v>
                </c:pt>
                <c:pt idx="2">
                  <c:v>8.1</c:v>
                </c:pt>
                <c:pt idx="3">
                  <c:v>5.6</c:v>
                </c:pt>
                <c:pt idx="4">
                  <c:v>5.2</c:v>
                </c:pt>
                <c:pt idx="5">
                  <c:v>5.0999999999999996</c:v>
                </c:pt>
                <c:pt idx="6">
                  <c:v>5</c:v>
                </c:pt>
                <c:pt idx="7">
                  <c:v>4.7</c:v>
                </c:pt>
                <c:pt idx="8">
                  <c:v>4.5999999999999996</c:v>
                </c:pt>
                <c:pt idx="9">
                  <c:v>4</c:v>
                </c:pt>
                <c:pt idx="10">
                  <c:v>3.5</c:v>
                </c:pt>
                <c:pt idx="11">
                  <c:v>2.8</c:v>
                </c:pt>
                <c:pt idx="12">
                  <c:v>2.6</c:v>
                </c:pt>
                <c:pt idx="13">
                  <c:v>2.5</c:v>
                </c:pt>
                <c:pt idx="14">
                  <c:v>1.8</c:v>
                </c:pt>
                <c:pt idx="15">
                  <c:v>1.7</c:v>
                </c:pt>
                <c:pt idx="16">
                  <c:v>1.7</c:v>
                </c:pt>
                <c:pt idx="17">
                  <c:v>12.8</c:v>
                </c:pt>
              </c:numCache>
            </c:numRef>
          </c:val>
          <c:extLst>
            <c:ext xmlns:c16="http://schemas.microsoft.com/office/drawing/2014/chart" uri="{C3380CC4-5D6E-409C-BE32-E72D297353CC}">
              <c16:uniqueId val="{00000024-8EA6-4B67-9B52-0E8DCCD3006A}"/>
            </c:ext>
          </c:extLst>
        </c:ser>
        <c:dLbls>
          <c:showLegendKey val="0"/>
          <c:showVal val="1"/>
          <c:showCatName val="0"/>
          <c:showSerName val="0"/>
          <c:showPercent val="0"/>
          <c:showBubbleSize val="0"/>
          <c:showLeaderLines val="1"/>
        </c:dLbls>
      </c:pie3DChart>
      <c:spPr>
        <a:noFill/>
        <a:ln>
          <a:noFill/>
        </a:ln>
        <a:effectLst/>
      </c:spPr>
    </c:plotArea>
    <c:legend>
      <c:legendPos val="r"/>
      <c:legendEntry>
        <c:idx val="0"/>
        <c:txPr>
          <a:bodyPr rot="0" spcFirstLastPara="0" vertOverflow="ellipsis" vert="horz" wrap="square" anchor="ctr" anchorCtr="1"/>
          <a:lstStyle/>
          <a:p>
            <a:pPr>
              <a:defRPr lang="ru-RU" sz="10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legendEntry>
      <c:legendEntry>
        <c:idx val="1"/>
        <c:txPr>
          <a:bodyPr rot="0" spcFirstLastPara="0" vertOverflow="ellipsis" vert="horz" wrap="square" anchor="ctr" anchorCtr="1"/>
          <a:lstStyle/>
          <a:p>
            <a:pPr>
              <a:defRPr lang="ru-RU" sz="10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legendEntry>
      <c:legendEntry>
        <c:idx val="2"/>
        <c:txPr>
          <a:bodyPr rot="0" spcFirstLastPara="0" vertOverflow="ellipsis" vert="horz" wrap="square" anchor="ctr" anchorCtr="1"/>
          <a:lstStyle/>
          <a:p>
            <a:pPr>
              <a:defRPr lang="ru-RU" sz="10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legendEntry>
      <c:legendEntry>
        <c:idx val="3"/>
        <c:txPr>
          <a:bodyPr rot="0" spcFirstLastPara="0" vertOverflow="ellipsis" vert="horz" wrap="square" anchor="ctr" anchorCtr="1"/>
          <a:lstStyle/>
          <a:p>
            <a:pPr>
              <a:defRPr lang="ru-RU" sz="10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legendEntry>
      <c:legendEntry>
        <c:idx val="4"/>
        <c:txPr>
          <a:bodyPr rot="0" spcFirstLastPara="0" vertOverflow="ellipsis" vert="horz" wrap="square" anchor="ctr" anchorCtr="1"/>
          <a:lstStyle/>
          <a:p>
            <a:pPr>
              <a:defRPr lang="ru-RU" sz="10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legendEntry>
      <c:legendEntry>
        <c:idx val="5"/>
        <c:txPr>
          <a:bodyPr rot="0" spcFirstLastPara="0" vertOverflow="ellipsis" vert="horz" wrap="square" anchor="ctr" anchorCtr="1"/>
          <a:lstStyle/>
          <a:p>
            <a:pPr>
              <a:defRPr lang="ru-RU" sz="10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legendEntry>
      <c:legendEntry>
        <c:idx val="6"/>
        <c:txPr>
          <a:bodyPr rot="0" spcFirstLastPara="0" vertOverflow="ellipsis" vert="horz" wrap="square" anchor="ctr" anchorCtr="1"/>
          <a:lstStyle/>
          <a:p>
            <a:pPr>
              <a:defRPr lang="ru-RU" sz="10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legendEntry>
      <c:legendEntry>
        <c:idx val="7"/>
        <c:txPr>
          <a:bodyPr rot="0" spcFirstLastPara="0" vertOverflow="ellipsis" vert="horz" wrap="square" anchor="ctr" anchorCtr="1"/>
          <a:lstStyle/>
          <a:p>
            <a:pPr>
              <a:defRPr lang="ru-RU" sz="10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legendEntry>
      <c:legendEntry>
        <c:idx val="8"/>
        <c:txPr>
          <a:bodyPr rot="0" spcFirstLastPara="0" vertOverflow="ellipsis" vert="horz" wrap="square" anchor="ctr" anchorCtr="1"/>
          <a:lstStyle/>
          <a:p>
            <a:pPr>
              <a:defRPr lang="ru-RU" sz="10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legendEntry>
      <c:legendEntry>
        <c:idx val="9"/>
        <c:txPr>
          <a:bodyPr rot="0" spcFirstLastPara="0" vertOverflow="ellipsis" vert="horz" wrap="square" anchor="ctr" anchorCtr="1"/>
          <a:lstStyle/>
          <a:p>
            <a:pPr>
              <a:defRPr lang="ru-RU" sz="10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legendEntry>
      <c:legendEntry>
        <c:idx val="10"/>
        <c:txPr>
          <a:bodyPr rot="0" spcFirstLastPara="0" vertOverflow="ellipsis" vert="horz" wrap="square" anchor="ctr" anchorCtr="1"/>
          <a:lstStyle/>
          <a:p>
            <a:pPr>
              <a:defRPr lang="ru-RU" sz="10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legendEntry>
      <c:legendEntry>
        <c:idx val="11"/>
        <c:txPr>
          <a:bodyPr rot="0" spcFirstLastPara="0" vertOverflow="ellipsis" vert="horz" wrap="square" anchor="ctr" anchorCtr="1"/>
          <a:lstStyle/>
          <a:p>
            <a:pPr>
              <a:defRPr lang="ru-RU" sz="10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legendEntry>
      <c:legendEntry>
        <c:idx val="12"/>
        <c:txPr>
          <a:bodyPr rot="0" spcFirstLastPara="0" vertOverflow="ellipsis" vert="horz" wrap="square" anchor="ctr" anchorCtr="1"/>
          <a:lstStyle/>
          <a:p>
            <a:pPr>
              <a:defRPr lang="ru-RU" sz="10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legendEntry>
      <c:legendEntry>
        <c:idx val="13"/>
        <c:txPr>
          <a:bodyPr rot="0" spcFirstLastPara="0" vertOverflow="ellipsis" vert="horz" wrap="square" anchor="ctr" anchorCtr="1"/>
          <a:lstStyle/>
          <a:p>
            <a:pPr>
              <a:defRPr lang="ru-RU" sz="10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legendEntry>
      <c:legendEntry>
        <c:idx val="14"/>
        <c:txPr>
          <a:bodyPr rot="0" spcFirstLastPara="0" vertOverflow="ellipsis" vert="horz" wrap="square" anchor="ctr" anchorCtr="1"/>
          <a:lstStyle/>
          <a:p>
            <a:pPr>
              <a:defRPr lang="ru-RU" sz="10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legendEntry>
      <c:legendEntry>
        <c:idx val="15"/>
        <c:txPr>
          <a:bodyPr rot="0" spcFirstLastPara="0" vertOverflow="ellipsis" vert="horz" wrap="square" anchor="ctr" anchorCtr="1"/>
          <a:lstStyle/>
          <a:p>
            <a:pPr>
              <a:defRPr lang="ru-RU" sz="10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legendEntry>
      <c:layout>
        <c:manualLayout>
          <c:xMode val="edge"/>
          <c:yMode val="edge"/>
          <c:x val="0.67648432687985904"/>
          <c:y val="6.0813378943367496E-3"/>
          <c:w val="0.31978192472241201"/>
          <c:h val="0.98764728240212896"/>
        </c:manualLayout>
      </c:layout>
      <c:overlay val="0"/>
      <c:spPr>
        <a:noFill/>
        <a:ln>
          <a:noFill/>
        </a:ln>
        <a:effectLst/>
      </c:spPr>
      <c:txPr>
        <a:bodyPr rot="0" spcFirstLastPara="0" vertOverflow="ellipsis" vert="horz" wrap="square" anchor="ctr" anchorCtr="1"/>
        <a:lstStyle/>
        <a:p>
          <a:pPr>
            <a:defRPr lang="ru-RU" sz="10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legend>
    <c:plotVisOnly val="1"/>
    <c:dispBlanksAs val="gap"/>
    <c:showDLblsOverMax val="0"/>
    <c:extLst>
      <c:ext uri="{0b15fc19-7d7d-44ad-8c2d-2c3a37ce22c3}">
        <chartProps xmlns="https://web.wps.cn/et/2018/main" chartId="{a2128171-59b1-438c-9746-c2025dff436e}"/>
      </c:ext>
    </c:extLst>
  </c:chart>
  <c:spPr>
    <a:solidFill>
      <a:schemeClr val="bg1"/>
    </a:solidFill>
    <a:ln w="9525" cap="flat" cmpd="sng" algn="ctr">
      <a:solidFill>
        <a:schemeClr val="tx1">
          <a:lumMod val="15000"/>
          <a:lumOff val="85000"/>
        </a:schemeClr>
      </a:solidFill>
      <a:prstDash val="solid"/>
      <a:round/>
    </a:ln>
    <a:effectLst/>
  </c:spPr>
  <c:txPr>
    <a:bodyPr/>
    <a:lstStyle/>
    <a:p>
      <a:pPr>
        <a:defRPr lang="ru-RU"/>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'[Общая табл скрининг 06.06.2023.xlsx]Лист11'!$F$4</c:f>
              <c:strCache>
                <c:ptCount val="1"/>
                <c:pt idx="0">
                  <c:v>заболеваемость</c:v>
                </c:pt>
              </c:strCache>
            </c:strRef>
          </c:tx>
          <c:spPr>
            <a:ln w="19050" cap="rnd">
              <a:solidFill>
                <a:srgbClr val="002060"/>
              </a:solidFill>
              <a:round/>
            </a:ln>
            <a:effectLst/>
          </c:spPr>
          <c:marker>
            <c:symbol val="circle"/>
            <c:size val="5"/>
            <c:spPr>
              <a:gradFill>
                <a:gsLst>
                  <a:gs pos="0">
                    <a:srgbClr val="012D86"/>
                  </a:gs>
                  <a:gs pos="100000">
                    <a:srgbClr val="0E2557"/>
                  </a:gs>
                </a:gsLst>
                <a:lin scaled="0"/>
              </a:gradFill>
              <a:ln w="9525">
                <a:solidFill>
                  <a:srgbClr val="002060"/>
                </a:solidFill>
              </a:ln>
              <a:effectLst/>
            </c:spPr>
          </c:marker>
          <c:trendline>
            <c:spPr>
              <a:ln w="19050" cap="rnd">
                <a:solidFill>
                  <a:schemeClr val="accent1"/>
                </a:solidFill>
                <a:prstDash val="sysDot"/>
              </a:ln>
              <a:effectLst/>
            </c:spPr>
            <c:trendlineType val="linear"/>
            <c:dispRSqr val="1"/>
            <c:dispEq val="1"/>
            <c:trendlineLbl>
              <c:layout>
                <c:manualLayout>
                  <c:x val="5.9846085815360002E-2"/>
                  <c:y val="-0.36575131233595798"/>
                </c:manualLayout>
              </c:layout>
              <c:tx>
                <c:rich>
                  <a:bodyPr rot="0" spcFirstLastPara="1" vertOverflow="ellipsis" vert="horz" wrap="square" anchor="ctr" anchorCtr="1"/>
                  <a:lstStyle/>
                  <a:p>
                    <a:pPr>
                      <a:defRPr lang="ru-RU" sz="900" b="0" i="0" u="none" strike="noStrike" kern="1200" baseline="0">
                        <a:solidFill>
                          <a:sysClr val="windowText" lastClr="000000"/>
                        </a:solidFill>
                        <a:latin typeface="+mn-lt"/>
                        <a:ea typeface="+mn-ea"/>
                        <a:cs typeface="+mn-cs"/>
                      </a:defRPr>
                    </a:pPr>
                    <a:r>
                      <a:rPr lang="en-US" sz="1200" b="1">
                        <a:solidFill>
                          <a:sysClr val="windowText" lastClr="000000"/>
                        </a:solidFill>
                        <a:latin typeface="Times New Roman" panose="02020603050405020304" charset="0"/>
                        <a:cs typeface="Times New Roman" panose="02020603050405020304" charset="0"/>
                      </a:rPr>
                      <a:t>y = -0,1515x + 326,5</a:t>
                    </a:r>
                    <a:br>
                      <a:rPr lang="en-US" sz="1200" b="1">
                        <a:solidFill>
                          <a:sysClr val="windowText" lastClr="000000"/>
                        </a:solidFill>
                        <a:latin typeface="Times New Roman" panose="02020603050405020304" charset="0"/>
                        <a:cs typeface="Times New Roman" panose="02020603050405020304" charset="0"/>
                      </a:rPr>
                    </a:br>
                    <a:r>
                      <a:rPr lang="en-US" sz="1200" b="1">
                        <a:solidFill>
                          <a:sysClr val="windowText" lastClr="000000"/>
                        </a:solidFill>
                        <a:latin typeface="Times New Roman" panose="02020603050405020304" charset="0"/>
                        <a:cs typeface="Times New Roman" panose="02020603050405020304" charset="0"/>
                      </a:rPr>
                      <a:t>R</a:t>
                    </a:r>
                    <a:r>
                      <a:rPr lang="en-US" sz="1200" b="1" baseline="35000">
                        <a:solidFill>
                          <a:sysClr val="windowText" lastClr="000000"/>
                        </a:solidFill>
                        <a:latin typeface="Times New Roman" panose="02020603050405020304" charset="0"/>
                        <a:cs typeface="Times New Roman" panose="02020603050405020304" charset="0"/>
                      </a:rPr>
                      <a:t>2</a:t>
                    </a:r>
                    <a:r>
                      <a:rPr lang="en-US" sz="1200" b="1">
                        <a:solidFill>
                          <a:sysClr val="windowText" lastClr="000000"/>
                        </a:solidFill>
                        <a:latin typeface="Times New Roman" panose="02020603050405020304" charset="0"/>
                        <a:cs typeface="Times New Roman" panose="02020603050405020304" charset="0"/>
                      </a:rPr>
                      <a:t> = 0,3459</a:t>
                    </a:r>
                  </a:p>
                </c:rich>
              </c:tx>
              <c:numFmt formatCode="General" sourceLinked="0"/>
              <c:spPr>
                <a:noFill/>
                <a:ln>
                  <a:noFill/>
                </a:ln>
                <a:effectLst/>
              </c:spPr>
              <c:txPr>
                <a:bodyPr rot="0" spcFirstLastPara="1" vertOverflow="ellipsis" vert="horz" wrap="square" anchor="ctr" anchorCtr="1"/>
                <a:lstStyle/>
                <a:p>
                  <a:pPr>
                    <a:defRPr lang="ru-RU" sz="900" b="0" i="0" u="none" strike="noStrike" kern="1200" baseline="0">
                      <a:solidFill>
                        <a:sysClr val="windowText" lastClr="000000"/>
                      </a:solidFill>
                      <a:latin typeface="+mn-lt"/>
                      <a:ea typeface="+mn-ea"/>
                      <a:cs typeface="+mn-cs"/>
                    </a:defRPr>
                  </a:pPr>
                  <a:endParaRPr lang="ru-RU"/>
                </a:p>
              </c:txPr>
            </c:trendlineLbl>
          </c:trendline>
          <c:xVal>
            <c:numRef>
              <c:f>'[Общая табл скрининг 06.06.2023.xlsx]Лист11'!$E$6:$E$15</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xVal>
          <c:yVal>
            <c:numRef>
              <c:f>'[Общая табл скрининг 06.06.2023.xlsx]Лист11'!$F$6:$F$15</c:f>
              <c:numCache>
                <c:formatCode>General</c:formatCode>
                <c:ptCount val="10"/>
                <c:pt idx="0">
                  <c:v>22.4</c:v>
                </c:pt>
                <c:pt idx="1">
                  <c:v>21.7</c:v>
                </c:pt>
                <c:pt idx="2">
                  <c:v>20.9</c:v>
                </c:pt>
                <c:pt idx="3">
                  <c:v>21.8</c:v>
                </c:pt>
                <c:pt idx="4">
                  <c:v>22</c:v>
                </c:pt>
                <c:pt idx="5">
                  <c:v>21.2</c:v>
                </c:pt>
                <c:pt idx="6">
                  <c:v>22.5</c:v>
                </c:pt>
                <c:pt idx="7">
                  <c:v>20.399999999999999</c:v>
                </c:pt>
                <c:pt idx="8">
                  <c:v>21</c:v>
                </c:pt>
                <c:pt idx="9">
                  <c:v>20.3</c:v>
                </c:pt>
              </c:numCache>
            </c:numRef>
          </c:yVal>
          <c:smooth val="0"/>
          <c:extLst>
            <c:ext xmlns:c16="http://schemas.microsoft.com/office/drawing/2014/chart" uri="{C3380CC4-5D6E-409C-BE32-E72D297353CC}">
              <c16:uniqueId val="{00000000-E2C4-4C05-ACB2-17A62E5ED7D4}"/>
            </c:ext>
          </c:extLst>
        </c:ser>
        <c:dLbls>
          <c:showLegendKey val="0"/>
          <c:showVal val="0"/>
          <c:showCatName val="0"/>
          <c:showSerName val="0"/>
          <c:showPercent val="0"/>
          <c:showBubbleSize val="0"/>
        </c:dLbls>
        <c:axId val="638784616"/>
        <c:axId val="644110088"/>
      </c:scatterChart>
      <c:valAx>
        <c:axId val="638784616"/>
        <c:scaling>
          <c:orientation val="minMax"/>
          <c:max val="2018"/>
          <c:min val="2009"/>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ru-RU" sz="12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644110088"/>
        <c:crosses val="autoZero"/>
        <c:crossBetween val="midCat"/>
      </c:valAx>
      <c:valAx>
        <c:axId val="6441100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ru-RU" sz="12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638784616"/>
        <c:crosses val="autoZero"/>
        <c:crossBetween val="midCat"/>
      </c:valAx>
      <c:spPr>
        <a:noFill/>
        <a:ln>
          <a:noFill/>
        </a:ln>
        <a:effectLst/>
      </c:spPr>
    </c:plotArea>
    <c:plotVisOnly val="1"/>
    <c:dispBlanksAs val="gap"/>
    <c:showDLblsOverMax val="0"/>
    <c:extLst>
      <c:ext uri="{0b15fc19-7d7d-44ad-8c2d-2c3a37ce22c3}">
        <chartProps xmlns="https://web.wps.cn/et/2018/main" chartId="{6cff0077-6e2a-4e25-ab14-460bc64e88bc}"/>
      </c:ext>
    </c:extLst>
  </c:chart>
  <c:spPr>
    <a:solidFill>
      <a:schemeClr val="bg1"/>
    </a:solidFill>
    <a:ln w="9525" cap="flat" cmpd="sng" algn="ctr">
      <a:solidFill>
        <a:schemeClr val="tx1">
          <a:lumMod val="15000"/>
          <a:lumOff val="85000"/>
        </a:schemeClr>
      </a:solidFill>
      <a:round/>
    </a:ln>
    <a:effectLst/>
  </c:spPr>
  <c:txPr>
    <a:bodyPr/>
    <a:lstStyle/>
    <a:p>
      <a:pPr>
        <a:defRPr lang="ru-RU"/>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'[Общая табл скрининг 06.06.2023.xlsx]Лист11'!$F$20</c:f>
              <c:strCache>
                <c:ptCount val="1"/>
                <c:pt idx="0">
                  <c:v>смертность</c:v>
                </c:pt>
              </c:strCache>
            </c:strRef>
          </c:tx>
          <c:spPr>
            <a:ln w="19050" cap="rnd">
              <a:solidFill>
                <a:srgbClr val="002060"/>
              </a:solidFill>
              <a:round/>
            </a:ln>
            <a:effectLst/>
          </c:spPr>
          <c:marker>
            <c:symbol val="circle"/>
            <c:size val="5"/>
            <c:spPr>
              <a:solidFill>
                <a:srgbClr val="002060"/>
              </a:solidFill>
              <a:ln w="9525">
                <a:solidFill>
                  <a:srgbClr val="002060"/>
                </a:solidFill>
              </a:ln>
              <a:effectLst/>
            </c:spPr>
          </c:marker>
          <c:trendline>
            <c:spPr>
              <a:ln w="19050" cap="rnd">
                <a:solidFill>
                  <a:schemeClr val="accent1"/>
                </a:solidFill>
                <a:prstDash val="sysDot"/>
              </a:ln>
              <a:effectLst/>
            </c:spPr>
            <c:trendlineType val="linear"/>
            <c:dispRSqr val="1"/>
            <c:dispEq val="1"/>
            <c:trendlineLbl>
              <c:layout>
                <c:manualLayout>
                  <c:x val="3.54609929078014E-2"/>
                  <c:y val="-0.32673377115954899"/>
                </c:manualLayout>
              </c:layout>
              <c:numFmt formatCode="General" sourceLinked="0"/>
              <c:spPr>
                <a:noFill/>
                <a:ln>
                  <a:noFill/>
                </a:ln>
                <a:effectLst/>
              </c:spPr>
              <c:txPr>
                <a:bodyPr rot="0" spcFirstLastPara="1" vertOverflow="ellipsis" vert="horz" wrap="square" anchor="ctr" anchorCtr="1"/>
                <a:lstStyle/>
                <a:p>
                  <a:pPr>
                    <a:defRPr lang="ru-RU" sz="12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trendlineLbl>
          </c:trendline>
          <c:xVal>
            <c:numRef>
              <c:f>'[Общая табл скрининг 06.06.2023.xlsx]Лист11'!$E$21:$E$30</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xVal>
          <c:yVal>
            <c:numRef>
              <c:f>'[Общая табл скрининг 06.06.2023.xlsx]Лист11'!$F$21:$F$30</c:f>
              <c:numCache>
                <c:formatCode>General</c:formatCode>
                <c:ptCount val="10"/>
                <c:pt idx="0">
                  <c:v>19.100000000000001</c:v>
                </c:pt>
                <c:pt idx="1">
                  <c:v>17.600000000000001</c:v>
                </c:pt>
                <c:pt idx="2">
                  <c:v>17.2</c:v>
                </c:pt>
                <c:pt idx="3">
                  <c:v>17.3</c:v>
                </c:pt>
                <c:pt idx="4">
                  <c:v>17.5</c:v>
                </c:pt>
                <c:pt idx="5">
                  <c:v>15.8</c:v>
                </c:pt>
                <c:pt idx="6">
                  <c:v>15.1</c:v>
                </c:pt>
                <c:pt idx="7">
                  <c:v>14</c:v>
                </c:pt>
                <c:pt idx="8">
                  <c:v>13.7</c:v>
                </c:pt>
                <c:pt idx="9">
                  <c:v>12.9</c:v>
                </c:pt>
              </c:numCache>
            </c:numRef>
          </c:yVal>
          <c:smooth val="0"/>
          <c:extLst>
            <c:ext xmlns:c16="http://schemas.microsoft.com/office/drawing/2014/chart" uri="{C3380CC4-5D6E-409C-BE32-E72D297353CC}">
              <c16:uniqueId val="{00000000-E0BF-485F-A65A-33618A0E047F}"/>
            </c:ext>
          </c:extLst>
        </c:ser>
        <c:dLbls>
          <c:showLegendKey val="0"/>
          <c:showVal val="0"/>
          <c:showCatName val="0"/>
          <c:showSerName val="0"/>
          <c:showPercent val="0"/>
          <c:showBubbleSize val="0"/>
        </c:dLbls>
        <c:axId val="492873928"/>
        <c:axId val="492874320"/>
      </c:scatterChart>
      <c:valAx>
        <c:axId val="492873928"/>
        <c:scaling>
          <c:orientation val="minMax"/>
          <c:max val="2018"/>
          <c:min val="2009"/>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ru-RU" sz="12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492874320"/>
        <c:crosses val="autoZero"/>
        <c:crossBetween val="midCat"/>
      </c:valAx>
      <c:valAx>
        <c:axId val="492874320"/>
        <c:scaling>
          <c:orientation val="minMax"/>
          <c:min val="1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ru-RU" sz="12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492873928"/>
        <c:crosses val="autoZero"/>
        <c:crossBetween val="midCat"/>
      </c:valAx>
      <c:spPr>
        <a:noFill/>
        <a:ln>
          <a:noFill/>
        </a:ln>
        <a:effectLst/>
      </c:spPr>
    </c:plotArea>
    <c:plotVisOnly val="1"/>
    <c:dispBlanksAs val="gap"/>
    <c:showDLblsOverMax val="0"/>
    <c:extLst>
      <c:ext uri="{0b15fc19-7d7d-44ad-8c2d-2c3a37ce22c3}">
        <chartProps xmlns="https://web.wps.cn/et/2018/main" chartId="{9ca35ef1-5261-4419-aeff-2a1de59bc467}"/>
      </c:ext>
    </c:extLst>
  </c:chart>
  <c:spPr>
    <a:solidFill>
      <a:schemeClr val="bg1"/>
    </a:solidFill>
    <a:ln w="9525" cap="flat" cmpd="sng" algn="ctr">
      <a:solidFill>
        <a:schemeClr val="tx1">
          <a:lumMod val="15000"/>
          <a:lumOff val="85000"/>
        </a:schemeClr>
      </a:solidFill>
      <a:round/>
    </a:ln>
    <a:effectLst/>
  </c:spPr>
  <c:txPr>
    <a:bodyPr/>
    <a:lstStyle/>
    <a:p>
      <a:pPr>
        <a:defRPr lang="ru-RU"/>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'[Табл случайные находки (2).xlsx]стадии по годам и областям'!$C$63</c:f>
              <c:strCache>
                <c:ptCount val="1"/>
                <c:pt idx="0">
                  <c:v>I-II</c:v>
                </c:pt>
              </c:strCache>
            </c:strRef>
          </c:tx>
          <c:spPr>
            <a:solidFill>
              <a:srgbClr val="94F4FE"/>
            </a:solidFill>
            <a:ln>
              <a:solidFill>
                <a:schemeClr val="tx1"/>
              </a:solidFill>
            </a:ln>
            <a:effectLst/>
          </c:spPr>
          <c:invertIfNegative val="0"/>
          <c:dLbls>
            <c:spPr>
              <a:noFill/>
              <a:ln>
                <a:noFill/>
              </a:ln>
              <a:effectLst/>
            </c:spPr>
            <c:txPr>
              <a:bodyPr rot="0" spcFirstLastPara="0" vertOverflow="ellipsis" vert="horz" wrap="square" lIns="38100" tIns="19050" rIns="38100" bIns="19050" anchor="ctr" anchorCtr="1"/>
              <a:lstStyle/>
              <a:p>
                <a:pPr>
                  <a:defRPr lang="ru-RU" sz="1200" b="1" i="0" u="none" strike="noStrike" kern="1200" baseline="0">
                    <a:solidFill>
                      <a:schemeClr val="tx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'[Табл случайные находки (2).xlsx]стадии по годам и областям'!$B$64:$B$73</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'[Табл случайные находки (2).xlsx]стадии по годам и областям'!$C$64:$C$73</c:f>
              <c:numCache>
                <c:formatCode>General</c:formatCode>
                <c:ptCount val="10"/>
                <c:pt idx="0">
                  <c:v>21.9</c:v>
                </c:pt>
                <c:pt idx="1">
                  <c:v>21.3</c:v>
                </c:pt>
                <c:pt idx="2">
                  <c:v>23.3</c:v>
                </c:pt>
                <c:pt idx="3">
                  <c:v>24.9</c:v>
                </c:pt>
                <c:pt idx="4">
                  <c:v>25.8</c:v>
                </c:pt>
                <c:pt idx="5">
                  <c:v>27.5</c:v>
                </c:pt>
                <c:pt idx="6">
                  <c:v>28.3</c:v>
                </c:pt>
                <c:pt idx="7">
                  <c:v>26.5</c:v>
                </c:pt>
                <c:pt idx="8" formatCode="0.0">
                  <c:v>30.3975704030922</c:v>
                </c:pt>
                <c:pt idx="9">
                  <c:v>27.5</c:v>
                </c:pt>
              </c:numCache>
            </c:numRef>
          </c:val>
          <c:extLst>
            <c:ext xmlns:c16="http://schemas.microsoft.com/office/drawing/2014/chart" uri="{C3380CC4-5D6E-409C-BE32-E72D297353CC}">
              <c16:uniqueId val="{00000000-577D-4B1F-9B12-33F9FD369C4F}"/>
            </c:ext>
          </c:extLst>
        </c:ser>
        <c:ser>
          <c:idx val="1"/>
          <c:order val="1"/>
          <c:tx>
            <c:strRef>
              <c:f>'[Табл случайные находки (2).xlsx]стадии по годам и областям'!$D$63</c:f>
              <c:strCache>
                <c:ptCount val="1"/>
                <c:pt idx="0">
                  <c:v>III-IV</c:v>
                </c:pt>
              </c:strCache>
            </c:strRef>
          </c:tx>
          <c:spPr>
            <a:pattFill prst="wdUpDiag">
              <a:fgClr>
                <a:srgbClr val="00B0F0"/>
              </a:fgClr>
              <a:bgClr>
                <a:schemeClr val="bg1"/>
              </a:bgClr>
            </a:pattFill>
            <a:ln w="6350" cmpd="sng">
              <a:solidFill>
                <a:schemeClr val="tx1"/>
              </a:solidFill>
              <a:prstDash val="solid"/>
            </a:ln>
            <a:effectLst/>
            <a:sp3d contourW="6350"/>
          </c:spPr>
          <c:invertIfNegative val="0"/>
          <c:dLbls>
            <c:spPr>
              <a:noFill/>
              <a:ln>
                <a:noFill/>
              </a:ln>
              <a:effectLst/>
            </c:spPr>
            <c:txPr>
              <a:bodyPr rot="0" spcFirstLastPara="0" vertOverflow="ellipsis" vert="horz" wrap="square" lIns="38100" tIns="19050" rIns="38100" bIns="19050" anchor="ctr" anchorCtr="1"/>
              <a:lstStyle/>
              <a:p>
                <a:pPr>
                  <a:defRPr lang="ru-RU" sz="1200" b="1" i="0" u="none" strike="noStrike" kern="1200" baseline="0">
                    <a:solidFill>
                      <a:schemeClr val="tx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'[Табл случайные находки (2).xlsx]стадии по годам и областям'!$B$64:$B$73</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'[Табл случайные находки (2).xlsx]стадии по годам и областям'!$D$64:$D$73</c:f>
              <c:numCache>
                <c:formatCode>General</c:formatCode>
                <c:ptCount val="10"/>
                <c:pt idx="0">
                  <c:v>78.099999999999994</c:v>
                </c:pt>
                <c:pt idx="1">
                  <c:v>78.7</c:v>
                </c:pt>
                <c:pt idx="2">
                  <c:v>76.7</c:v>
                </c:pt>
                <c:pt idx="3">
                  <c:v>75.099999999999994</c:v>
                </c:pt>
                <c:pt idx="4">
                  <c:v>74.2</c:v>
                </c:pt>
                <c:pt idx="5">
                  <c:v>72.5</c:v>
                </c:pt>
                <c:pt idx="6">
                  <c:v>71.7</c:v>
                </c:pt>
                <c:pt idx="7">
                  <c:v>73.5</c:v>
                </c:pt>
                <c:pt idx="8" formatCode="0.0">
                  <c:v>69.602429596907797</c:v>
                </c:pt>
                <c:pt idx="9">
                  <c:v>72.5</c:v>
                </c:pt>
              </c:numCache>
            </c:numRef>
          </c:val>
          <c:extLst>
            <c:ext xmlns:c16="http://schemas.microsoft.com/office/drawing/2014/chart" uri="{C3380CC4-5D6E-409C-BE32-E72D297353CC}">
              <c16:uniqueId val="{00000001-577D-4B1F-9B12-33F9FD369C4F}"/>
            </c:ext>
          </c:extLst>
        </c:ser>
        <c:dLbls>
          <c:showLegendKey val="0"/>
          <c:showVal val="1"/>
          <c:showCatName val="0"/>
          <c:showSerName val="0"/>
          <c:showPercent val="0"/>
          <c:showBubbleSize val="0"/>
        </c:dLbls>
        <c:gapWidth val="75"/>
        <c:overlap val="100"/>
        <c:axId val="309855064"/>
        <c:axId val="311256296"/>
      </c:barChart>
      <c:catAx>
        <c:axId val="309855064"/>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ru-RU" sz="1200" b="1" i="0" u="none" strike="noStrike" kern="1200" baseline="0">
                <a:solidFill>
                  <a:schemeClr val="tx1"/>
                </a:solidFill>
                <a:latin typeface="+mn-lt"/>
                <a:ea typeface="+mn-ea"/>
                <a:cs typeface="+mn-cs"/>
              </a:defRPr>
            </a:pPr>
            <a:endParaRPr lang="ru-RU"/>
          </a:p>
        </c:txPr>
        <c:crossAx val="311256296"/>
        <c:crosses val="autoZero"/>
        <c:auto val="1"/>
        <c:lblAlgn val="ctr"/>
        <c:lblOffset val="100"/>
        <c:noMultiLvlLbl val="0"/>
      </c:catAx>
      <c:valAx>
        <c:axId val="3112562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0" vertOverflow="ellipsis" vert="horz" wrap="square" anchor="ctr" anchorCtr="1"/>
          <a:lstStyle/>
          <a:p>
            <a:pPr>
              <a:defRPr lang="ru-RU" sz="1000" b="1" i="0" u="none" strike="noStrike" kern="1200" baseline="0">
                <a:solidFill>
                  <a:schemeClr val="tx1"/>
                </a:solidFill>
                <a:latin typeface="+mn-lt"/>
                <a:ea typeface="+mn-ea"/>
                <a:cs typeface="+mn-cs"/>
              </a:defRPr>
            </a:pPr>
            <a:endParaRPr lang="ru-RU"/>
          </a:p>
        </c:txPr>
        <c:crossAx val="309855064"/>
        <c:crosses val="autoZero"/>
        <c:crossBetween val="between"/>
      </c:valAx>
      <c:spPr>
        <a:noFill/>
        <a:ln>
          <a:noFill/>
        </a:ln>
        <a:effectLst/>
      </c:spPr>
    </c:plotArea>
    <c:legend>
      <c:legendPos val="b"/>
      <c:legendEntry>
        <c:idx val="0"/>
        <c:txPr>
          <a:bodyPr rot="0" spcFirstLastPara="0" vertOverflow="ellipsis" vert="horz" wrap="square" anchor="ctr" anchorCtr="1"/>
          <a:lstStyle/>
          <a:p>
            <a:pPr>
              <a:defRPr lang="ru-RU" sz="1200" b="1" i="0" u="none" strike="noStrike" kern="1200" baseline="0">
                <a:solidFill>
                  <a:sysClr val="windowText" lastClr="000000"/>
                </a:solidFill>
                <a:latin typeface="+mn-lt"/>
                <a:ea typeface="+mn-ea"/>
                <a:cs typeface="+mn-cs"/>
              </a:defRPr>
            </a:pPr>
            <a:endParaRPr lang="ru-RU"/>
          </a:p>
        </c:txPr>
      </c:legendEntry>
      <c:legendEntry>
        <c:idx val="1"/>
        <c:txPr>
          <a:bodyPr rot="0" spcFirstLastPara="0" vertOverflow="ellipsis" vert="horz" wrap="square" anchor="ctr" anchorCtr="1"/>
          <a:lstStyle/>
          <a:p>
            <a:pPr>
              <a:defRPr lang="ru-RU" sz="1200" b="1" i="0" u="none" strike="noStrike" kern="1200" baseline="0">
                <a:solidFill>
                  <a:sysClr val="windowText" lastClr="000000"/>
                </a:solidFill>
                <a:latin typeface="+mn-lt"/>
                <a:ea typeface="+mn-ea"/>
                <a:cs typeface="+mn-cs"/>
              </a:defRPr>
            </a:pPr>
            <a:endParaRPr lang="ru-RU"/>
          </a:p>
        </c:txPr>
      </c:legendEntry>
      <c:overlay val="0"/>
      <c:spPr>
        <a:noFill/>
        <a:ln>
          <a:noFill/>
        </a:ln>
        <a:effectLst/>
      </c:spPr>
      <c:txPr>
        <a:bodyPr rot="0" spcFirstLastPara="0" vertOverflow="ellipsis" vert="horz" wrap="square" anchor="ctr" anchorCtr="1"/>
        <a:lstStyle/>
        <a:p>
          <a:pPr>
            <a:defRPr lang="ru-RU" sz="1200" b="1" i="0" u="none" strike="noStrike" kern="1200" baseline="0">
              <a:solidFill>
                <a:sysClr val="windowText" lastClr="000000"/>
              </a:solidFill>
              <a:latin typeface="+mn-lt"/>
              <a:ea typeface="+mn-ea"/>
              <a:cs typeface="+mn-cs"/>
            </a:defRPr>
          </a:pPr>
          <a:endParaRPr lang="ru-RU"/>
        </a:p>
      </c:txPr>
    </c:legend>
    <c:plotVisOnly val="1"/>
    <c:dispBlanksAs val="gap"/>
    <c:showDLblsOverMax val="0"/>
    <c:extLst>
      <c:ext uri="{0b15fc19-7d7d-44ad-8c2d-2c3a37ce22c3}">
        <chartProps xmlns="https://web.wps.cn/et/2018/main" chartId="{7a6cec24-4056-4bd9-86ae-243cf461210f}"/>
      </c:ext>
    </c:extLst>
  </c:chart>
  <c:spPr>
    <a:solidFill>
      <a:schemeClr val="bg1"/>
    </a:solidFill>
    <a:ln w="9525" cap="flat" cmpd="sng" algn="ctr">
      <a:solidFill>
        <a:schemeClr val="tx1">
          <a:lumMod val="15000"/>
          <a:lumOff val="85000"/>
        </a:schemeClr>
      </a:solidFill>
      <a:round/>
    </a:ln>
    <a:effectLst/>
  </c:spPr>
  <c:txPr>
    <a:bodyPr/>
    <a:lstStyle/>
    <a:p>
      <a:pPr>
        <a:defRPr lang="ru-RU"/>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Лист6!$K$7</c:f>
              <c:strCache>
                <c:ptCount val="1"/>
                <c:pt idx="0">
                  <c:v>Мужчины</c:v>
                </c:pt>
              </c:strCache>
            </c:strRef>
          </c:tx>
          <c:spPr>
            <a:solidFill>
              <a:srgbClr val="6FE5FD"/>
            </a:solidFill>
            <a:ln>
              <a:noFill/>
            </a:ln>
            <a:effectLst/>
            <a:sp3d/>
          </c:spPr>
          <c:invertIfNegative val="0"/>
          <c:dLbls>
            <c:dLbl>
              <c:idx val="4"/>
              <c:layout>
                <c:manualLayout>
                  <c:x val="4.3149946062566603E-3"/>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1D7-4890-82EC-809042C96066}"/>
                </c:ext>
              </c:extLst>
            </c:dLbl>
            <c:dLbl>
              <c:idx val="7"/>
              <c:layout>
                <c:manualLayout>
                  <c:x val="6.4724919093850303E-3"/>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1D7-4890-82EC-809042C96066}"/>
                </c:ext>
              </c:extLst>
            </c:dLbl>
            <c:spPr>
              <a:noFill/>
              <a:ln>
                <a:noFill/>
              </a:ln>
              <a:effectLst/>
            </c:spPr>
            <c:txPr>
              <a:bodyPr rot="0" spcFirstLastPara="1" vertOverflow="ellipsis" vert="horz" wrap="square" lIns="38100" tIns="19050" rIns="38100" bIns="19050" anchor="ctr" anchorCtr="1">
                <a:spAutoFit/>
              </a:bodyPr>
              <a:lstStyle/>
              <a:p>
                <a:pPr>
                  <a:defRPr lang="ru-RU" sz="1000" b="1"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Лист6!$L$6:$V$6</c:f>
              <c:strCache>
                <c:ptCount val="11"/>
                <c:pt idx="0">
                  <c:v>0-24</c:v>
                </c:pt>
                <c:pt idx="1">
                  <c:v>25-29</c:v>
                </c:pt>
                <c:pt idx="2">
                  <c:v>30-34</c:v>
                </c:pt>
                <c:pt idx="3">
                  <c:v>35-39</c:v>
                </c:pt>
                <c:pt idx="4">
                  <c:v>40-44</c:v>
                </c:pt>
                <c:pt idx="5">
                  <c:v>45-49</c:v>
                </c:pt>
                <c:pt idx="6">
                  <c:v>50-54</c:v>
                </c:pt>
                <c:pt idx="7">
                  <c:v>55-59</c:v>
                </c:pt>
                <c:pt idx="8">
                  <c:v>60-64</c:v>
                </c:pt>
                <c:pt idx="9">
                  <c:v>65-69</c:v>
                </c:pt>
                <c:pt idx="10">
                  <c:v>старше 70</c:v>
                </c:pt>
              </c:strCache>
            </c:strRef>
          </c:cat>
          <c:val>
            <c:numRef>
              <c:f>Лист6!$L$7:$V$7</c:f>
              <c:numCache>
                <c:formatCode>General</c:formatCode>
                <c:ptCount val="11"/>
                <c:pt idx="0">
                  <c:v>0.01</c:v>
                </c:pt>
                <c:pt idx="1">
                  <c:v>0.14000000000000001</c:v>
                </c:pt>
                <c:pt idx="2">
                  <c:v>0.36</c:v>
                </c:pt>
                <c:pt idx="3">
                  <c:v>0.57999999999999996</c:v>
                </c:pt>
                <c:pt idx="4">
                  <c:v>1.49</c:v>
                </c:pt>
                <c:pt idx="5">
                  <c:v>4.34</c:v>
                </c:pt>
                <c:pt idx="6">
                  <c:v>10.25</c:v>
                </c:pt>
                <c:pt idx="7">
                  <c:v>17.21</c:v>
                </c:pt>
                <c:pt idx="8">
                  <c:v>20.99</c:v>
                </c:pt>
                <c:pt idx="9">
                  <c:v>16.77</c:v>
                </c:pt>
                <c:pt idx="10">
                  <c:v>27.86</c:v>
                </c:pt>
              </c:numCache>
            </c:numRef>
          </c:val>
          <c:extLst>
            <c:ext xmlns:c16="http://schemas.microsoft.com/office/drawing/2014/chart" uri="{C3380CC4-5D6E-409C-BE32-E72D297353CC}">
              <c16:uniqueId val="{00000002-E1D7-4890-82EC-809042C96066}"/>
            </c:ext>
          </c:extLst>
        </c:ser>
        <c:ser>
          <c:idx val="1"/>
          <c:order val="1"/>
          <c:tx>
            <c:strRef>
              <c:f>Лист6!$K$8</c:f>
              <c:strCache>
                <c:ptCount val="1"/>
                <c:pt idx="0">
                  <c:v>Женщины</c:v>
                </c:pt>
              </c:strCache>
            </c:strRef>
          </c:tx>
          <c:spPr>
            <a:pattFill prst="pct20">
              <a:fgClr>
                <a:srgbClr val="FF99CC"/>
              </a:fgClr>
              <a:bgClr>
                <a:schemeClr val="bg1"/>
              </a:bgClr>
            </a:pattFill>
            <a:ln>
              <a:noFill/>
            </a:ln>
            <a:effectLst/>
            <a:sp3d/>
          </c:spPr>
          <c:invertIfNegative val="0"/>
          <c:dLbls>
            <c:dLbl>
              <c:idx val="0"/>
              <c:layout>
                <c:manualLayout>
                  <c:x val="8.6299892125134801E-3"/>
                  <c:y val="-4.238921001926779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1D7-4890-82EC-809042C96066}"/>
                </c:ext>
              </c:extLst>
            </c:dLbl>
            <c:dLbl>
              <c:idx val="1"/>
              <c:layout>
                <c:manualLayout>
                  <c:x val="8.6299892125134801E-3"/>
                  <c:y val="-3.8535645472061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1D7-4890-82EC-809042C96066}"/>
                </c:ext>
              </c:extLst>
            </c:dLbl>
            <c:dLbl>
              <c:idx val="2"/>
              <c:layout>
                <c:manualLayout>
                  <c:x val="8.6299892125134801E-3"/>
                  <c:y val="-4.238921001926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1D7-4890-82EC-809042C96066}"/>
                </c:ext>
              </c:extLst>
            </c:dLbl>
            <c:dLbl>
              <c:idx val="3"/>
              <c:layout>
                <c:manualLayout>
                  <c:x val="8.6299892125134506E-3"/>
                  <c:y val="-4.624277456647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1D7-4890-82EC-809042C96066}"/>
                </c:ext>
              </c:extLst>
            </c:dLbl>
            <c:dLbl>
              <c:idx val="4"/>
              <c:layout>
                <c:manualLayout>
                  <c:x val="1.07874865156419E-2"/>
                  <c:y val="-5.009633911368020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1D7-4890-82EC-809042C96066}"/>
                </c:ext>
              </c:extLst>
            </c:dLbl>
            <c:dLbl>
              <c:idx val="5"/>
              <c:layout>
                <c:manualLayout>
                  <c:x val="4.3149946062566603E-3"/>
                  <c:y val="-7.321772639691730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1D7-4890-82EC-809042C96066}"/>
                </c:ext>
              </c:extLst>
            </c:dLbl>
            <c:dLbl>
              <c:idx val="6"/>
              <c:layout>
                <c:manualLayout>
                  <c:x val="4.3149946062566603E-3"/>
                  <c:y val="-8.477842003853559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1D7-4890-82EC-809042C96066}"/>
                </c:ext>
              </c:extLst>
            </c:dLbl>
            <c:dLbl>
              <c:idx val="7"/>
              <c:layout>
                <c:manualLayout>
                  <c:x val="6.4724919093850303E-3"/>
                  <c:y val="-9.633911368015420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1D7-4890-82EC-809042C96066}"/>
                </c:ext>
              </c:extLst>
            </c:dLbl>
            <c:dLbl>
              <c:idx val="8"/>
              <c:layout>
                <c:manualLayout>
                  <c:x val="6.1983471074380202E-3"/>
                  <c:y val="-0.11946050614012001"/>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1D7-4890-82EC-809042C96066}"/>
                </c:ext>
              </c:extLst>
            </c:dLbl>
            <c:dLbl>
              <c:idx val="9"/>
              <c:layout>
                <c:manualLayout>
                  <c:x val="6.4724919093851101E-3"/>
                  <c:y val="-0.115606936416185"/>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1D7-4890-82EC-809042C96066}"/>
                </c:ext>
              </c:extLst>
            </c:dLbl>
            <c:dLbl>
              <c:idx val="10"/>
              <c:layout>
                <c:manualLayout>
                  <c:x val="1.07874865156419E-2"/>
                  <c:y val="-0.22736030828516399"/>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1D7-4890-82EC-809042C96066}"/>
                </c:ext>
              </c:extLst>
            </c:dLbl>
            <c:spPr>
              <a:noFill/>
              <a:ln>
                <a:noFill/>
              </a:ln>
              <a:effectLst/>
            </c:spPr>
            <c:txPr>
              <a:bodyPr rot="0" spcFirstLastPara="1" vertOverflow="ellipsis" vert="horz" wrap="square" lIns="38100" tIns="19050" rIns="38100" bIns="19050" anchor="ctr" anchorCtr="1">
                <a:spAutoFit/>
              </a:bodyPr>
              <a:lstStyle/>
              <a:p>
                <a:pPr>
                  <a:defRPr lang="ru-RU" sz="1000" b="1"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bg1"/>
                      </a:solidFill>
                      <a:round/>
                    </a:ln>
                    <a:effectLst/>
                  </c:spPr>
                </c15:leaderLines>
              </c:ext>
            </c:extLst>
          </c:dLbls>
          <c:cat>
            <c:strRef>
              <c:f>Лист6!$L$6:$V$6</c:f>
              <c:strCache>
                <c:ptCount val="11"/>
                <c:pt idx="0">
                  <c:v>0-24</c:v>
                </c:pt>
                <c:pt idx="1">
                  <c:v>25-29</c:v>
                </c:pt>
                <c:pt idx="2">
                  <c:v>30-34</c:v>
                </c:pt>
                <c:pt idx="3">
                  <c:v>35-39</c:v>
                </c:pt>
                <c:pt idx="4">
                  <c:v>40-44</c:v>
                </c:pt>
                <c:pt idx="5">
                  <c:v>45-49</c:v>
                </c:pt>
                <c:pt idx="6">
                  <c:v>50-54</c:v>
                </c:pt>
                <c:pt idx="7">
                  <c:v>55-59</c:v>
                </c:pt>
                <c:pt idx="8">
                  <c:v>60-64</c:v>
                </c:pt>
                <c:pt idx="9">
                  <c:v>65-69</c:v>
                </c:pt>
                <c:pt idx="10">
                  <c:v>старше 70</c:v>
                </c:pt>
              </c:strCache>
            </c:strRef>
          </c:cat>
          <c:val>
            <c:numRef>
              <c:f>Лист6!$L$8:$V$8</c:f>
              <c:numCache>
                <c:formatCode>General</c:formatCode>
                <c:ptCount val="11"/>
                <c:pt idx="0">
                  <c:v>0.02</c:v>
                </c:pt>
                <c:pt idx="1">
                  <c:v>0.2</c:v>
                </c:pt>
                <c:pt idx="2">
                  <c:v>0.48</c:v>
                </c:pt>
                <c:pt idx="3">
                  <c:v>1.34</c:v>
                </c:pt>
                <c:pt idx="4">
                  <c:v>3.04</c:v>
                </c:pt>
                <c:pt idx="5">
                  <c:v>6.23</c:v>
                </c:pt>
                <c:pt idx="6">
                  <c:v>8.93</c:v>
                </c:pt>
                <c:pt idx="7">
                  <c:v>12.57</c:v>
                </c:pt>
                <c:pt idx="8">
                  <c:v>15.44</c:v>
                </c:pt>
                <c:pt idx="9">
                  <c:v>13.99</c:v>
                </c:pt>
                <c:pt idx="10">
                  <c:v>37.76</c:v>
                </c:pt>
              </c:numCache>
            </c:numRef>
          </c:val>
          <c:extLst>
            <c:ext xmlns:c16="http://schemas.microsoft.com/office/drawing/2014/chart" uri="{C3380CC4-5D6E-409C-BE32-E72D297353CC}">
              <c16:uniqueId val="{0000000E-E1D7-4890-82EC-809042C96066}"/>
            </c:ext>
          </c:extLst>
        </c:ser>
        <c:dLbls>
          <c:showLegendKey val="0"/>
          <c:showVal val="0"/>
          <c:showCatName val="0"/>
          <c:showSerName val="0"/>
          <c:showPercent val="0"/>
          <c:showBubbleSize val="0"/>
        </c:dLbls>
        <c:gapWidth val="150"/>
        <c:overlap val="100"/>
        <c:axId val="642327424"/>
        <c:axId val="642327816"/>
      </c:barChart>
      <c:catAx>
        <c:axId val="6423274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105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crossAx val="642327816"/>
        <c:crosses val="autoZero"/>
        <c:auto val="1"/>
        <c:lblAlgn val="ctr"/>
        <c:lblOffset val="100"/>
        <c:noMultiLvlLbl val="0"/>
      </c:catAx>
      <c:valAx>
        <c:axId val="6423278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12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crossAx val="642327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12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legend>
    <c:plotVisOnly val="1"/>
    <c:dispBlanksAs val="gap"/>
    <c:showDLblsOverMax val="0"/>
    <c:extLst>
      <c:ext uri="{0b15fc19-7d7d-44ad-8c2d-2c3a37ce22c3}">
        <chartProps xmlns="https://web.wps.cn/et/2018/main" chartId="{34425bff-1f5f-42e2-b33b-63e1b39a128a}"/>
      </c:ext>
    </c:extLst>
  </c:chart>
  <c:spPr>
    <a:solidFill>
      <a:schemeClr val="bg1"/>
    </a:solidFill>
    <a:ln w="9525" cap="flat" cmpd="sng" algn="ctr">
      <a:solidFill>
        <a:schemeClr val="tx1">
          <a:lumMod val="15000"/>
          <a:lumOff val="85000"/>
        </a:schemeClr>
      </a:solidFill>
      <a:round/>
    </a:ln>
    <a:effectLst/>
  </c:spPr>
  <c:txPr>
    <a:bodyPr/>
    <a:lstStyle/>
    <a:p>
      <a:pPr>
        <a:defRPr lang="ru-RU"/>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effectLst/>
      </c:spPr>
    </c:floor>
    <c:sideWall>
      <c:thickness val="0"/>
      <c:spPr>
        <a:noFill/>
        <a:effectLst/>
      </c:spPr>
    </c:sideWall>
    <c:backWall>
      <c:thickness val="0"/>
      <c:spPr>
        <a:noFill/>
        <a:effectLst/>
      </c:spPr>
    </c:backWall>
    <c:plotArea>
      <c:layout>
        <c:manualLayout>
          <c:layoutTarget val="inner"/>
          <c:xMode val="edge"/>
          <c:yMode val="edge"/>
          <c:x val="0.121623136419684"/>
          <c:y val="7.6874999999999999E-2"/>
          <c:w val="0.78825243806748102"/>
          <c:h val="0.66770833333333302"/>
        </c:manualLayout>
      </c:layout>
      <c:pie3DChart>
        <c:varyColors val="1"/>
        <c:ser>
          <c:idx val="0"/>
          <c:order val="0"/>
          <c:spPr>
            <a:ln w="25400">
              <a:solidFill>
                <a:schemeClr val="bg2">
                  <a:lumMod val="95000"/>
                </a:schemeClr>
              </a:solidFill>
            </a:ln>
            <a:scene3d>
              <a:camera prst="orthographicFront"/>
              <a:lightRig rig="threePt" dir="t"/>
            </a:scene3d>
            <a:sp3d contourW="25400"/>
          </c:spPr>
          <c:dPt>
            <c:idx val="0"/>
            <c:bubble3D val="0"/>
            <c:spPr>
              <a:solidFill>
                <a:srgbClr val="8996FA"/>
              </a:solidFill>
              <a:ln w="25400">
                <a:noFill/>
              </a:ln>
              <a:effectLst/>
              <a:scene3d>
                <a:camera prst="orthographicFront"/>
                <a:lightRig rig="threePt" dir="t"/>
              </a:scene3d>
              <a:sp3d contourW="25400"/>
            </c:spPr>
            <c:extLst>
              <c:ext xmlns:c16="http://schemas.microsoft.com/office/drawing/2014/chart" uri="{C3380CC4-5D6E-409C-BE32-E72D297353CC}">
                <c16:uniqueId val="{00000001-87DE-4CE5-8487-6D48D39FFA8D}"/>
              </c:ext>
            </c:extLst>
          </c:dPt>
          <c:dPt>
            <c:idx val="1"/>
            <c:bubble3D val="0"/>
            <c:spPr>
              <a:solidFill>
                <a:srgbClr val="06FAF7"/>
              </a:solidFill>
              <a:ln w="25400">
                <a:noFill/>
              </a:ln>
              <a:effectLst/>
              <a:scene3d>
                <a:camera prst="orthographicFront"/>
                <a:lightRig rig="threePt" dir="t"/>
              </a:scene3d>
              <a:sp3d contourW="25400"/>
            </c:spPr>
            <c:extLst>
              <c:ext xmlns:c16="http://schemas.microsoft.com/office/drawing/2014/chart" uri="{C3380CC4-5D6E-409C-BE32-E72D297353CC}">
                <c16:uniqueId val="{00000003-87DE-4CE5-8487-6D48D39FFA8D}"/>
              </c:ext>
            </c:extLst>
          </c:dPt>
          <c:dPt>
            <c:idx val="2"/>
            <c:bubble3D val="0"/>
            <c:spPr>
              <a:solidFill>
                <a:srgbClr val="01189E"/>
              </a:solidFill>
              <a:ln w="25400">
                <a:noFill/>
              </a:ln>
              <a:effectLst/>
              <a:scene3d>
                <a:camera prst="orthographicFront"/>
                <a:lightRig rig="threePt" dir="t"/>
              </a:scene3d>
              <a:sp3d contourW="25400"/>
            </c:spPr>
            <c:extLst>
              <c:ext xmlns:c16="http://schemas.microsoft.com/office/drawing/2014/chart" uri="{C3380CC4-5D6E-409C-BE32-E72D297353CC}">
                <c16:uniqueId val="{00000005-87DE-4CE5-8487-6D48D39FFA8D}"/>
              </c:ext>
            </c:extLst>
          </c:dPt>
          <c:dLbls>
            <c:dLbl>
              <c:idx val="0"/>
              <c:tx>
                <c:rich>
                  <a:bodyPr/>
                  <a:lstStyle/>
                  <a:p>
                    <a:r>
                      <a:rPr lang="en-US"/>
                      <a:t>57%</a:t>
                    </a:r>
                  </a:p>
                </c:rich>
              </c:tx>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7DE-4CE5-8487-6D48D39FFA8D}"/>
                </c:ext>
              </c:extLst>
            </c:dLbl>
            <c:dLbl>
              <c:idx val="1"/>
              <c:tx>
                <c:rich>
                  <a:bodyPr/>
                  <a:lstStyle/>
                  <a:p>
                    <a:r>
                      <a:rPr lang="en-US"/>
                      <a:t>39,2%</a:t>
                    </a:r>
                  </a:p>
                </c:rich>
              </c:tx>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7DE-4CE5-8487-6D48D39FFA8D}"/>
                </c:ext>
              </c:extLst>
            </c:dLbl>
            <c:dLbl>
              <c:idx val="2"/>
              <c:layout>
                <c:manualLayout>
                  <c:x val="3.8184695582483899E-3"/>
                  <c:y val="0"/>
                </c:manualLayout>
              </c:layout>
              <c:tx>
                <c:rich>
                  <a:bodyPr/>
                  <a:lstStyle/>
                  <a:p>
                    <a:r>
                      <a:rPr lang="en-US"/>
                      <a:t>3,8%</a:t>
                    </a:r>
                  </a:p>
                </c:rich>
              </c:tx>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7DE-4CE5-8487-6D48D39FFA8D}"/>
                </c:ext>
              </c:extLst>
            </c:dLbl>
            <c:spPr>
              <a:noFill/>
              <a:ln>
                <a:noFill/>
              </a:ln>
              <a:effectLst/>
            </c:spPr>
            <c:txPr>
              <a:bodyPr rot="0" spcFirstLastPara="0" vertOverflow="ellipsis" vert="horz" wrap="square" lIns="38100" tIns="19050" rIns="38100" bIns="19050" anchor="ctr" anchorCtr="1"/>
              <a:lstStyle/>
              <a:p>
                <a:pPr>
                  <a:defRPr lang="ru-RU" sz="12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dLblPos val="bestFit"/>
            <c:showLegendKey val="0"/>
            <c:showVal val="0"/>
            <c:showCatName val="0"/>
            <c:showSerName val="0"/>
            <c:showPercent val="0"/>
            <c:showBubbleSize val="0"/>
            <c:extLst>
              <c:ext xmlns:c15="http://schemas.microsoft.com/office/drawing/2012/chart" uri="{CE6537A1-D6FC-4f65-9D91-7224C49458BB}"/>
            </c:extLst>
          </c:dLbls>
          <c:cat>
            <c:strRef>
              <c:f>'[Общая табл скрининг 22.01.2023.xlsx]Лист19'!$E$15:$E$17</c:f>
              <c:strCache>
                <c:ptCount val="3"/>
                <c:pt idx="0">
                  <c:v>Аденокарцинома</c:v>
                </c:pt>
                <c:pt idx="1">
                  <c:v>Плоскоклеточная карцинома</c:v>
                </c:pt>
                <c:pt idx="2">
                  <c:v>Мелкоклеточная кацинома</c:v>
                </c:pt>
              </c:strCache>
            </c:strRef>
          </c:cat>
          <c:val>
            <c:numRef>
              <c:f>'[Общая табл скрининг 22.01.2023.xlsx]Лист19'!$F$15:$F$17</c:f>
              <c:numCache>
                <c:formatCode>0.0%</c:formatCode>
                <c:ptCount val="3"/>
                <c:pt idx="0">
                  <c:v>0.58099999999999996</c:v>
                </c:pt>
                <c:pt idx="1">
                  <c:v>0.378</c:v>
                </c:pt>
                <c:pt idx="2">
                  <c:v>4.1000000000000002E-2</c:v>
                </c:pt>
              </c:numCache>
            </c:numRef>
          </c:val>
          <c:extLst>
            <c:ext xmlns:c16="http://schemas.microsoft.com/office/drawing/2014/chart" uri="{C3380CC4-5D6E-409C-BE32-E72D297353CC}">
              <c16:uniqueId val="{00000006-87DE-4CE5-8487-6D48D39FFA8D}"/>
            </c:ext>
          </c:extLst>
        </c:ser>
        <c:dLbls>
          <c:showLegendKey val="0"/>
          <c:showVal val="0"/>
          <c:showCatName val="0"/>
          <c:showSerName val="0"/>
          <c:showPercent val="0"/>
          <c:showBubbleSize val="0"/>
          <c:showLeaderLines val="1"/>
        </c:dLbls>
      </c:pie3DChart>
      <c:spPr>
        <a:noFill/>
        <a:ln>
          <a:noFill/>
        </a:ln>
        <a:effectLst/>
      </c:spPr>
    </c:plotArea>
    <c:legend>
      <c:legendPos val="b"/>
      <c:legendEntry>
        <c:idx val="0"/>
        <c:txPr>
          <a:bodyPr rot="0" spcFirstLastPara="0" vertOverflow="ellipsis" vert="horz" wrap="square" anchor="ctr" anchorCtr="1"/>
          <a:lstStyle/>
          <a:p>
            <a:pPr>
              <a:defRPr lang="ru-RU" sz="14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legendEntry>
      <c:legendEntry>
        <c:idx val="1"/>
        <c:txPr>
          <a:bodyPr rot="0" spcFirstLastPara="0" vertOverflow="ellipsis" vert="horz" wrap="square" anchor="ctr" anchorCtr="1"/>
          <a:lstStyle/>
          <a:p>
            <a:pPr>
              <a:defRPr lang="ru-RU" sz="14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legendEntry>
      <c:legendEntry>
        <c:idx val="2"/>
        <c:txPr>
          <a:bodyPr rot="0" spcFirstLastPara="0" vertOverflow="ellipsis" vert="horz" wrap="square" anchor="ctr" anchorCtr="1"/>
          <a:lstStyle/>
          <a:p>
            <a:pPr>
              <a:defRPr lang="ru-RU" sz="14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legendEntry>
      <c:layout>
        <c:manualLayout>
          <c:xMode val="edge"/>
          <c:yMode val="edge"/>
          <c:x val="1.46827402831447E-2"/>
          <c:y val="0.78037319384880299"/>
          <c:w val="0.98283729223727301"/>
          <c:h val="0.21782437745740499"/>
        </c:manualLayout>
      </c:layout>
      <c:overlay val="0"/>
      <c:spPr>
        <a:noFill/>
        <a:ln>
          <a:noFill/>
        </a:ln>
        <a:effectLst/>
      </c:spPr>
      <c:txPr>
        <a:bodyPr rot="0" spcFirstLastPara="0" vertOverflow="ellipsis" vert="horz" wrap="square" anchor="ctr" anchorCtr="1"/>
        <a:lstStyle/>
        <a:p>
          <a:pPr>
            <a:defRPr lang="ru-RU" sz="1100" b="1"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legend>
    <c:plotVisOnly val="1"/>
    <c:dispBlanksAs val="gap"/>
    <c:showDLblsOverMax val="0"/>
    <c:extLst>
      <c:ext uri="{0b15fc19-7d7d-44ad-8c2d-2c3a37ce22c3}">
        <chartProps xmlns="https://web.wps.cn/et/2018/main" chartId="{a72f2c08-683a-4647-9f61-c8f97ec36a4e}"/>
      </c:ext>
    </c:extLst>
  </c:chart>
  <c:spPr>
    <a:solidFill>
      <a:schemeClr val="bg1"/>
    </a:solidFill>
    <a:ln w="9525" cap="flat" cmpd="sng" algn="ctr">
      <a:solidFill>
        <a:schemeClr val="tx1">
          <a:lumMod val="15000"/>
          <a:lumOff val="85000"/>
        </a:schemeClr>
      </a:solidFill>
      <a:prstDash val="solid"/>
      <a:round/>
    </a:ln>
    <a:effectLst/>
  </c:spPr>
  <c:txPr>
    <a:bodyPr/>
    <a:lstStyle/>
    <a:p>
      <a:pPr>
        <a:defRPr lang="ru-RU"/>
      </a:pPr>
      <a:endParaRPr lang="ru-RU"/>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107</Pages>
  <Words>32664</Words>
  <Characters>186191</Characters>
  <Application>Microsoft Office Word</Application>
  <DocSecurity>0</DocSecurity>
  <Lines>1551</Lines>
  <Paragraphs>436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218419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Пользователь Windows</cp:lastModifiedBy>
  <cp:revision>2</cp:revision>
  <cp:lastPrinted>2025-03-07T05:47:00Z</cp:lastPrinted>
  <dcterms:created xsi:type="dcterms:W3CDTF">2025-03-24T16:29:00Z</dcterms:created>
  <dcterms:modified xsi:type="dcterms:W3CDTF">2025-03-24T16:29:00Z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1049-12.2.0.20326</vt:lpwstr>
  </property>
  <property fmtid="{D5CDD505-2E9C-101B-9397-08002B2CF9AE}" pid="3" name="ICV">
    <vt:lpwstr>6E7BE5CCEB1A447688C1B3361FB634E7_13</vt:lpwstr>
  </property>
</Properties>
</file>