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481FC" w14:textId="77777777" w:rsidR="001204D8" w:rsidRPr="00C331BD" w:rsidRDefault="001204D8" w:rsidP="001204D8">
      <w:pPr>
        <w:shd w:val="clear" w:color="auto" w:fill="FFFFFF"/>
        <w:tabs>
          <w:tab w:val="left" w:pos="3946"/>
        </w:tabs>
        <w:spacing w:after="0" w:line="360" w:lineRule="auto"/>
        <w:ind w:right="140"/>
        <w:jc w:val="center"/>
        <w:rPr>
          <w:rFonts w:cs="Times New Roman"/>
          <w:bCs/>
          <w:spacing w:val="-6"/>
          <w:szCs w:val="28"/>
        </w:rPr>
      </w:pPr>
      <w:r w:rsidRPr="00C331BD">
        <w:rPr>
          <w:rFonts w:cs="Times New Roman"/>
          <w:bCs/>
          <w:spacing w:val="-6"/>
          <w:szCs w:val="28"/>
        </w:rPr>
        <w:t>НАО «Казахский национальный медицинский университет имени</w:t>
      </w:r>
    </w:p>
    <w:p w14:paraId="24FB6389" w14:textId="77777777" w:rsidR="001204D8" w:rsidRPr="00C331BD" w:rsidRDefault="001204D8" w:rsidP="001204D8">
      <w:pPr>
        <w:shd w:val="clear" w:color="auto" w:fill="FFFFFF"/>
        <w:tabs>
          <w:tab w:val="left" w:pos="3946"/>
        </w:tabs>
        <w:spacing w:after="0" w:line="360" w:lineRule="auto"/>
        <w:ind w:right="140"/>
        <w:jc w:val="center"/>
        <w:rPr>
          <w:rFonts w:cs="Times New Roman"/>
          <w:spacing w:val="-6"/>
          <w:szCs w:val="28"/>
        </w:rPr>
      </w:pPr>
      <w:r w:rsidRPr="00C331BD">
        <w:rPr>
          <w:rFonts w:cs="Times New Roman"/>
          <w:bCs/>
          <w:spacing w:val="-6"/>
          <w:szCs w:val="28"/>
        </w:rPr>
        <w:t>С.Д. Асфендиярова»</w:t>
      </w:r>
    </w:p>
    <w:p w14:paraId="5B264115" w14:textId="77777777" w:rsidR="001204D8" w:rsidRPr="00814BC8" w:rsidRDefault="001204D8" w:rsidP="001204D8">
      <w:pPr>
        <w:shd w:val="clear" w:color="auto" w:fill="FFFFFF"/>
        <w:tabs>
          <w:tab w:val="left" w:pos="3946"/>
        </w:tabs>
        <w:spacing w:after="0" w:line="360" w:lineRule="auto"/>
        <w:ind w:right="140"/>
        <w:jc w:val="both"/>
        <w:rPr>
          <w:rFonts w:cs="Times New Roman"/>
          <w:spacing w:val="-6"/>
          <w:szCs w:val="28"/>
        </w:rPr>
      </w:pPr>
    </w:p>
    <w:p w14:paraId="2DD77293" w14:textId="77777777" w:rsidR="002B136D" w:rsidRPr="002932C4" w:rsidRDefault="002B136D" w:rsidP="006E7629">
      <w:pPr>
        <w:shd w:val="clear" w:color="auto" w:fill="FFFFFF"/>
        <w:tabs>
          <w:tab w:val="left" w:pos="3946"/>
        </w:tabs>
        <w:spacing w:after="0" w:line="360" w:lineRule="auto"/>
        <w:ind w:right="140"/>
        <w:jc w:val="both"/>
        <w:rPr>
          <w:rFonts w:cs="Times New Roman"/>
          <w:i/>
          <w:spacing w:val="-6"/>
          <w:szCs w:val="28"/>
        </w:rPr>
      </w:pPr>
    </w:p>
    <w:p w14:paraId="2571229E" w14:textId="5CE9D6CC" w:rsidR="008C4136" w:rsidRPr="002B136D" w:rsidRDefault="005B052F" w:rsidP="002B136D">
      <w:pPr>
        <w:shd w:val="clear" w:color="auto" w:fill="FFFFFF"/>
        <w:tabs>
          <w:tab w:val="left" w:pos="3946"/>
        </w:tabs>
        <w:spacing w:after="0" w:line="240" w:lineRule="auto"/>
        <w:ind w:right="-1" w:firstLine="426"/>
        <w:jc w:val="both"/>
        <w:rPr>
          <w:rFonts w:cs="Times New Roman"/>
          <w:szCs w:val="28"/>
        </w:rPr>
      </w:pPr>
      <w:r w:rsidRPr="002B136D">
        <w:rPr>
          <w:rFonts w:cs="Times New Roman"/>
          <w:szCs w:val="28"/>
        </w:rPr>
        <w:t>УДК: 617.7+616.43:575</w:t>
      </w:r>
      <w:proofErr w:type="gramStart"/>
      <w:r w:rsidR="00563B20" w:rsidRPr="002B136D">
        <w:rPr>
          <w:rFonts w:cs="Times New Roman"/>
          <w:szCs w:val="28"/>
        </w:rPr>
        <w:t xml:space="preserve">                      </w:t>
      </w:r>
      <w:r w:rsidR="00092AA4" w:rsidRPr="002B136D">
        <w:rPr>
          <w:rFonts w:cs="Times New Roman"/>
          <w:szCs w:val="28"/>
        </w:rPr>
        <w:t xml:space="preserve">                 </w:t>
      </w:r>
      <w:r w:rsidR="00901068" w:rsidRPr="002B136D">
        <w:rPr>
          <w:rFonts w:cs="Times New Roman"/>
          <w:szCs w:val="28"/>
        </w:rPr>
        <w:t xml:space="preserve"> </w:t>
      </w:r>
      <w:r w:rsidR="00092AA4" w:rsidRPr="002B136D">
        <w:rPr>
          <w:rFonts w:cs="Times New Roman"/>
          <w:szCs w:val="28"/>
        </w:rPr>
        <w:t xml:space="preserve">     </w:t>
      </w:r>
      <w:r w:rsidR="002B136D" w:rsidRPr="002932C4">
        <w:rPr>
          <w:rFonts w:cs="Times New Roman"/>
          <w:szCs w:val="28"/>
        </w:rPr>
        <w:t xml:space="preserve">            </w:t>
      </w:r>
      <w:r w:rsidR="00901068" w:rsidRPr="002B136D">
        <w:rPr>
          <w:rFonts w:cs="Times New Roman"/>
          <w:szCs w:val="28"/>
        </w:rPr>
        <w:t>Н</w:t>
      </w:r>
      <w:proofErr w:type="gramEnd"/>
      <w:r w:rsidR="00901068" w:rsidRPr="002B136D">
        <w:rPr>
          <w:rFonts w:cs="Times New Roman"/>
          <w:szCs w:val="28"/>
        </w:rPr>
        <w:t>а правах рукописи</w:t>
      </w:r>
      <w:r w:rsidR="00092AA4" w:rsidRPr="002B136D">
        <w:rPr>
          <w:rFonts w:cs="Times New Roman"/>
          <w:szCs w:val="28"/>
        </w:rPr>
        <w:t xml:space="preserve">     </w:t>
      </w:r>
      <w:r w:rsidR="00563B20" w:rsidRPr="002B136D">
        <w:rPr>
          <w:rFonts w:cs="Times New Roman"/>
          <w:szCs w:val="28"/>
        </w:rPr>
        <w:t xml:space="preserve">   </w:t>
      </w:r>
    </w:p>
    <w:p w14:paraId="771A95B3" w14:textId="77777777" w:rsidR="008C4136" w:rsidRPr="002B136D" w:rsidRDefault="008C4136" w:rsidP="006E7629">
      <w:pPr>
        <w:shd w:val="clear" w:color="auto" w:fill="FFFFFF"/>
        <w:spacing w:after="0" w:line="360" w:lineRule="auto"/>
        <w:ind w:right="140"/>
        <w:jc w:val="both"/>
        <w:rPr>
          <w:rFonts w:cs="Times New Roman"/>
          <w:b/>
          <w:spacing w:val="7"/>
          <w:szCs w:val="28"/>
        </w:rPr>
      </w:pPr>
    </w:p>
    <w:p w14:paraId="1FDA39CB" w14:textId="77777777" w:rsidR="00901068" w:rsidRPr="002932C4" w:rsidRDefault="00901068" w:rsidP="006E7629">
      <w:pPr>
        <w:shd w:val="clear" w:color="auto" w:fill="FFFFFF"/>
        <w:spacing w:after="0" w:line="360" w:lineRule="auto"/>
        <w:ind w:right="140"/>
        <w:jc w:val="both"/>
        <w:rPr>
          <w:rFonts w:cs="Times New Roman"/>
          <w:b/>
          <w:spacing w:val="7"/>
          <w:szCs w:val="28"/>
        </w:rPr>
      </w:pPr>
    </w:p>
    <w:p w14:paraId="400A14BB" w14:textId="77777777" w:rsidR="002B136D" w:rsidRPr="002932C4" w:rsidRDefault="002B136D" w:rsidP="006E7629">
      <w:pPr>
        <w:shd w:val="clear" w:color="auto" w:fill="FFFFFF"/>
        <w:spacing w:after="0" w:line="360" w:lineRule="auto"/>
        <w:ind w:right="140"/>
        <w:jc w:val="both"/>
        <w:rPr>
          <w:rFonts w:cs="Times New Roman"/>
          <w:b/>
          <w:spacing w:val="7"/>
          <w:szCs w:val="28"/>
        </w:rPr>
      </w:pPr>
    </w:p>
    <w:p w14:paraId="547A30A4" w14:textId="570929CA" w:rsidR="003B3E6E" w:rsidRPr="002B136D" w:rsidRDefault="002B136D" w:rsidP="002B136D">
      <w:pPr>
        <w:shd w:val="clear" w:color="auto" w:fill="FFFFFF"/>
        <w:spacing w:after="0" w:line="240" w:lineRule="auto"/>
        <w:jc w:val="center"/>
        <w:rPr>
          <w:rFonts w:cs="Times New Roman"/>
          <w:b/>
          <w:szCs w:val="28"/>
          <w:lang w:val="kk-KZ"/>
        </w:rPr>
      </w:pPr>
      <w:r w:rsidRPr="002B136D">
        <w:rPr>
          <w:rFonts w:cs="Times New Roman"/>
          <w:b/>
          <w:szCs w:val="28"/>
          <w:lang w:val="kk-KZ"/>
        </w:rPr>
        <w:t>МУСАКУЛОВА АЙНУРА МУРАТБАЕВНА</w:t>
      </w:r>
    </w:p>
    <w:p w14:paraId="30635152" w14:textId="77777777" w:rsidR="008C4136" w:rsidRPr="002932C4" w:rsidRDefault="008C4136" w:rsidP="006E7629">
      <w:pPr>
        <w:shd w:val="clear" w:color="auto" w:fill="FFFFFF"/>
        <w:spacing w:after="0" w:line="360" w:lineRule="auto"/>
        <w:ind w:right="140"/>
        <w:jc w:val="both"/>
        <w:rPr>
          <w:rFonts w:cs="Times New Roman"/>
          <w:b/>
          <w:szCs w:val="28"/>
        </w:rPr>
      </w:pPr>
    </w:p>
    <w:p w14:paraId="5B97A21E" w14:textId="77777777" w:rsidR="002B136D" w:rsidRPr="002932C4" w:rsidRDefault="002B136D" w:rsidP="006E7629">
      <w:pPr>
        <w:shd w:val="clear" w:color="auto" w:fill="FFFFFF"/>
        <w:spacing w:after="0" w:line="360" w:lineRule="auto"/>
        <w:ind w:right="140"/>
        <w:jc w:val="both"/>
        <w:rPr>
          <w:rFonts w:cs="Times New Roman"/>
          <w:b/>
          <w:szCs w:val="28"/>
        </w:rPr>
      </w:pPr>
    </w:p>
    <w:p w14:paraId="4CA4C53E" w14:textId="77777777" w:rsidR="002B136D" w:rsidRPr="002932C4" w:rsidRDefault="002B136D" w:rsidP="006E7629">
      <w:pPr>
        <w:shd w:val="clear" w:color="auto" w:fill="FFFFFF"/>
        <w:spacing w:after="0" w:line="360" w:lineRule="auto"/>
        <w:ind w:right="140"/>
        <w:jc w:val="both"/>
        <w:rPr>
          <w:rFonts w:cs="Times New Roman"/>
          <w:b/>
          <w:szCs w:val="28"/>
        </w:rPr>
      </w:pPr>
    </w:p>
    <w:p w14:paraId="1CEDD457" w14:textId="22703E18" w:rsidR="008C4136" w:rsidRPr="002B136D" w:rsidRDefault="003B3E6E" w:rsidP="00901068">
      <w:pPr>
        <w:shd w:val="clear" w:color="auto" w:fill="FFFFFF"/>
        <w:spacing w:after="0" w:line="240" w:lineRule="auto"/>
        <w:ind w:right="140"/>
        <w:jc w:val="center"/>
        <w:rPr>
          <w:rFonts w:cs="Times New Roman"/>
          <w:b/>
          <w:spacing w:val="1"/>
          <w:szCs w:val="28"/>
        </w:rPr>
      </w:pPr>
      <w:r w:rsidRPr="002B136D">
        <w:rPr>
          <w:rFonts w:cs="Times New Roman"/>
          <w:b/>
          <w:szCs w:val="28"/>
          <w:lang w:val="kk-KZ"/>
        </w:rPr>
        <w:t>Иммунологические и генетические особенности эндокринной офтальмопатии</w:t>
      </w:r>
      <w:r w:rsidR="00B913A2" w:rsidRPr="002B136D">
        <w:rPr>
          <w:rFonts w:cs="Times New Roman"/>
          <w:b/>
          <w:szCs w:val="28"/>
        </w:rPr>
        <w:t xml:space="preserve"> </w:t>
      </w:r>
    </w:p>
    <w:p w14:paraId="3D3E59BC" w14:textId="77777777" w:rsidR="008C4136" w:rsidRPr="002B136D" w:rsidRDefault="008C4136" w:rsidP="00901068">
      <w:pPr>
        <w:shd w:val="clear" w:color="auto" w:fill="FFFFFF"/>
        <w:spacing w:after="0" w:line="240" w:lineRule="auto"/>
        <w:ind w:right="140"/>
        <w:jc w:val="both"/>
        <w:rPr>
          <w:rFonts w:cs="Times New Roman"/>
          <w:spacing w:val="1"/>
          <w:szCs w:val="28"/>
        </w:rPr>
      </w:pPr>
    </w:p>
    <w:p w14:paraId="40C50DC5" w14:textId="77777777" w:rsidR="00CC614E" w:rsidRPr="002B136D" w:rsidRDefault="00CC614E" w:rsidP="00950865">
      <w:pPr>
        <w:shd w:val="clear" w:color="auto" w:fill="FFFFFF"/>
        <w:spacing w:after="0" w:line="360" w:lineRule="auto"/>
        <w:ind w:right="140"/>
        <w:jc w:val="center"/>
        <w:rPr>
          <w:rFonts w:cs="Times New Roman"/>
          <w:spacing w:val="2"/>
          <w:szCs w:val="28"/>
        </w:rPr>
      </w:pPr>
    </w:p>
    <w:p w14:paraId="41E5C386" w14:textId="77777777" w:rsidR="002B136D" w:rsidRPr="002B136D" w:rsidRDefault="002B136D" w:rsidP="00950865">
      <w:pPr>
        <w:shd w:val="clear" w:color="auto" w:fill="FFFFFF"/>
        <w:spacing w:after="0" w:line="360" w:lineRule="auto"/>
        <w:ind w:right="140"/>
        <w:jc w:val="center"/>
        <w:rPr>
          <w:rFonts w:cs="Times New Roman"/>
          <w:spacing w:val="2"/>
          <w:szCs w:val="28"/>
        </w:rPr>
      </w:pPr>
    </w:p>
    <w:p w14:paraId="1C0547F5" w14:textId="1E60E2BC" w:rsidR="008C4136" w:rsidRPr="002B136D" w:rsidRDefault="00A627B1" w:rsidP="00901068">
      <w:pPr>
        <w:shd w:val="clear" w:color="auto" w:fill="FFFFFF"/>
        <w:spacing w:after="0" w:line="240" w:lineRule="auto"/>
        <w:ind w:right="142"/>
        <w:contextualSpacing/>
        <w:jc w:val="center"/>
        <w:rPr>
          <w:rFonts w:cs="Times New Roman"/>
          <w:spacing w:val="2"/>
          <w:szCs w:val="28"/>
        </w:rPr>
      </w:pPr>
      <w:r w:rsidRPr="002B136D">
        <w:rPr>
          <w:rFonts w:cs="Times New Roman"/>
          <w:spacing w:val="2"/>
          <w:szCs w:val="28"/>
        </w:rPr>
        <w:t>8D10103</w:t>
      </w:r>
      <w:r w:rsidR="008C4136" w:rsidRPr="002B136D">
        <w:rPr>
          <w:rFonts w:cs="Times New Roman"/>
          <w:spacing w:val="2"/>
          <w:szCs w:val="28"/>
        </w:rPr>
        <w:t xml:space="preserve"> – Медицина</w:t>
      </w:r>
    </w:p>
    <w:p w14:paraId="42B93CCE" w14:textId="77777777" w:rsidR="00A01171" w:rsidRPr="002B136D" w:rsidRDefault="00A01171" w:rsidP="00901068">
      <w:pPr>
        <w:shd w:val="clear" w:color="auto" w:fill="FFFFFF"/>
        <w:spacing w:after="0" w:line="240" w:lineRule="auto"/>
        <w:ind w:right="142"/>
        <w:contextualSpacing/>
        <w:jc w:val="center"/>
        <w:rPr>
          <w:rFonts w:cs="Times New Roman"/>
          <w:spacing w:val="2"/>
          <w:szCs w:val="28"/>
        </w:rPr>
      </w:pPr>
    </w:p>
    <w:p w14:paraId="575E7E88" w14:textId="77777777" w:rsidR="00A01171" w:rsidRPr="002932C4" w:rsidRDefault="00A01171" w:rsidP="00901068">
      <w:pPr>
        <w:shd w:val="clear" w:color="auto" w:fill="FFFFFF"/>
        <w:spacing w:after="0" w:line="240" w:lineRule="auto"/>
        <w:ind w:right="142"/>
        <w:contextualSpacing/>
        <w:jc w:val="center"/>
        <w:rPr>
          <w:rFonts w:cs="Times New Roman"/>
          <w:spacing w:val="2"/>
          <w:szCs w:val="28"/>
        </w:rPr>
      </w:pPr>
    </w:p>
    <w:p w14:paraId="62B33C02" w14:textId="77777777" w:rsidR="002B136D" w:rsidRPr="002932C4" w:rsidRDefault="002B136D" w:rsidP="00901068">
      <w:pPr>
        <w:shd w:val="clear" w:color="auto" w:fill="FFFFFF"/>
        <w:spacing w:after="0" w:line="240" w:lineRule="auto"/>
        <w:ind w:right="142"/>
        <w:contextualSpacing/>
        <w:jc w:val="center"/>
        <w:rPr>
          <w:rFonts w:cs="Times New Roman"/>
          <w:spacing w:val="2"/>
          <w:szCs w:val="28"/>
        </w:rPr>
      </w:pPr>
    </w:p>
    <w:p w14:paraId="32050E59" w14:textId="77777777" w:rsidR="008C4136" w:rsidRPr="002B136D" w:rsidRDefault="008C4136" w:rsidP="00901068">
      <w:pPr>
        <w:shd w:val="clear" w:color="auto" w:fill="FFFFFF"/>
        <w:spacing w:after="0" w:line="240" w:lineRule="auto"/>
        <w:ind w:right="142"/>
        <w:contextualSpacing/>
        <w:jc w:val="center"/>
        <w:rPr>
          <w:rFonts w:cs="Times New Roman"/>
          <w:szCs w:val="28"/>
        </w:rPr>
      </w:pPr>
      <w:r w:rsidRPr="002B136D">
        <w:rPr>
          <w:rFonts w:cs="Times New Roman"/>
          <w:spacing w:val="2"/>
          <w:szCs w:val="28"/>
        </w:rPr>
        <w:t>Диссертация на соискание степени</w:t>
      </w:r>
      <w:r w:rsidRPr="002B136D">
        <w:rPr>
          <w:rFonts w:cs="Times New Roman"/>
          <w:spacing w:val="2"/>
          <w:szCs w:val="28"/>
        </w:rPr>
        <w:br/>
      </w:r>
      <w:r w:rsidRPr="002B136D">
        <w:rPr>
          <w:rFonts w:cs="Times New Roman"/>
          <w:spacing w:val="4"/>
          <w:szCs w:val="28"/>
        </w:rPr>
        <w:t xml:space="preserve">доктора </w:t>
      </w:r>
      <w:r w:rsidRPr="002B136D">
        <w:rPr>
          <w:rFonts w:cs="Times New Roman"/>
          <w:spacing w:val="-3"/>
          <w:szCs w:val="28"/>
        </w:rPr>
        <w:t xml:space="preserve">философии </w:t>
      </w:r>
      <w:r w:rsidRPr="002B136D">
        <w:rPr>
          <w:rFonts w:cs="Times New Roman"/>
          <w:spacing w:val="-3"/>
          <w:szCs w:val="28"/>
          <w:lang w:val="en-US"/>
        </w:rPr>
        <w:t>PhD</w:t>
      </w:r>
    </w:p>
    <w:p w14:paraId="45676CCF" w14:textId="77777777" w:rsidR="008C4136" w:rsidRPr="002B136D" w:rsidRDefault="008C4136" w:rsidP="00901068">
      <w:pPr>
        <w:shd w:val="clear" w:color="auto" w:fill="FFFFFF"/>
        <w:spacing w:after="0" w:line="240" w:lineRule="auto"/>
        <w:ind w:right="142"/>
        <w:contextualSpacing/>
        <w:jc w:val="center"/>
        <w:rPr>
          <w:rFonts w:cs="Times New Roman"/>
          <w:szCs w:val="28"/>
        </w:rPr>
      </w:pPr>
    </w:p>
    <w:p w14:paraId="324EB479" w14:textId="62897A88" w:rsidR="002B136D" w:rsidRPr="002B136D" w:rsidRDefault="00901068" w:rsidP="002B136D">
      <w:pPr>
        <w:shd w:val="clear" w:color="auto" w:fill="FFFFFF"/>
        <w:tabs>
          <w:tab w:val="left" w:pos="7088"/>
        </w:tabs>
        <w:spacing w:after="0" w:line="360" w:lineRule="auto"/>
        <w:ind w:right="140"/>
        <w:jc w:val="right"/>
        <w:rPr>
          <w:rFonts w:cs="Times New Roman"/>
          <w:b/>
          <w:szCs w:val="28"/>
        </w:rPr>
      </w:pPr>
      <w:r w:rsidRPr="002B136D">
        <w:rPr>
          <w:rFonts w:cs="Times New Roman"/>
          <w:b/>
          <w:szCs w:val="28"/>
        </w:rPr>
        <w:t xml:space="preserve">                               </w:t>
      </w:r>
    </w:p>
    <w:p w14:paraId="25726E6A" w14:textId="39BF36BD" w:rsidR="00B6611E" w:rsidRPr="002B136D" w:rsidRDefault="00B6611E" w:rsidP="002B136D">
      <w:pPr>
        <w:shd w:val="clear" w:color="auto" w:fill="FFFFFF"/>
        <w:spacing w:after="0" w:line="240" w:lineRule="auto"/>
        <w:ind w:left="6237"/>
        <w:rPr>
          <w:rFonts w:cs="Times New Roman"/>
          <w:szCs w:val="28"/>
        </w:rPr>
      </w:pPr>
      <w:r w:rsidRPr="002B136D">
        <w:rPr>
          <w:rFonts w:cs="Times New Roman"/>
          <w:szCs w:val="28"/>
        </w:rPr>
        <w:t xml:space="preserve">                                                        Научные консультанты                 </w:t>
      </w:r>
    </w:p>
    <w:p w14:paraId="3202962D" w14:textId="78AF9EF9" w:rsidR="00B6611E" w:rsidRPr="002B136D" w:rsidRDefault="00B6611E" w:rsidP="002B136D">
      <w:pPr>
        <w:shd w:val="clear" w:color="auto" w:fill="FFFFFF"/>
        <w:spacing w:after="0" w:line="240" w:lineRule="auto"/>
        <w:ind w:left="6237"/>
        <w:rPr>
          <w:rFonts w:cs="Times New Roman"/>
          <w:szCs w:val="28"/>
        </w:rPr>
      </w:pPr>
      <w:r w:rsidRPr="002B136D">
        <w:rPr>
          <w:rFonts w:cs="Times New Roman"/>
          <w:szCs w:val="28"/>
        </w:rPr>
        <w:t>д.м.н., проф</w:t>
      </w:r>
      <w:r w:rsidR="002B136D" w:rsidRPr="002B136D">
        <w:rPr>
          <w:rFonts w:cs="Times New Roman"/>
          <w:szCs w:val="28"/>
        </w:rPr>
        <w:t>.</w:t>
      </w:r>
      <w:r w:rsidRPr="002B136D">
        <w:rPr>
          <w:rFonts w:cs="Times New Roman"/>
          <w:szCs w:val="28"/>
        </w:rPr>
        <w:t>, акад</w:t>
      </w:r>
      <w:r w:rsidR="002B136D" w:rsidRPr="002B136D">
        <w:rPr>
          <w:rFonts w:cs="Times New Roman"/>
          <w:szCs w:val="28"/>
        </w:rPr>
        <w:t>.</w:t>
      </w:r>
      <w:r w:rsidRPr="002B136D">
        <w:rPr>
          <w:rFonts w:cs="Times New Roman"/>
          <w:szCs w:val="28"/>
        </w:rPr>
        <w:t xml:space="preserve"> НАН РК </w:t>
      </w:r>
    </w:p>
    <w:p w14:paraId="284802A2" w14:textId="02DC6CB2" w:rsidR="00B6611E" w:rsidRPr="002B136D" w:rsidRDefault="00B6611E" w:rsidP="002B136D">
      <w:pPr>
        <w:shd w:val="clear" w:color="auto" w:fill="FFFFFF"/>
        <w:spacing w:after="0" w:line="240" w:lineRule="auto"/>
        <w:ind w:left="6237"/>
        <w:rPr>
          <w:rFonts w:cs="Times New Roman"/>
          <w:szCs w:val="28"/>
        </w:rPr>
      </w:pPr>
      <w:r w:rsidRPr="002B136D">
        <w:rPr>
          <w:rFonts w:cs="Times New Roman"/>
          <w:szCs w:val="28"/>
        </w:rPr>
        <w:t>Балмуханова А.В.,</w:t>
      </w:r>
    </w:p>
    <w:p w14:paraId="6D99C2DC" w14:textId="5D42916C" w:rsidR="00B6611E" w:rsidRPr="002B136D" w:rsidRDefault="00B6611E" w:rsidP="002B136D">
      <w:pPr>
        <w:shd w:val="clear" w:color="auto" w:fill="FFFFFF"/>
        <w:spacing w:after="0" w:line="240" w:lineRule="auto"/>
        <w:ind w:left="6237"/>
        <w:rPr>
          <w:rFonts w:cs="Times New Roman"/>
          <w:szCs w:val="28"/>
        </w:rPr>
      </w:pPr>
      <w:r w:rsidRPr="002B136D">
        <w:rPr>
          <w:rFonts w:cs="Times New Roman"/>
          <w:szCs w:val="28"/>
        </w:rPr>
        <w:t>PhD, ассоциир</w:t>
      </w:r>
      <w:r w:rsidR="002B136D" w:rsidRPr="002B136D">
        <w:rPr>
          <w:rFonts w:cs="Times New Roman"/>
          <w:szCs w:val="28"/>
        </w:rPr>
        <w:t>.</w:t>
      </w:r>
      <w:r w:rsidRPr="002B136D">
        <w:rPr>
          <w:rFonts w:cs="Times New Roman"/>
          <w:szCs w:val="28"/>
        </w:rPr>
        <w:t xml:space="preserve"> </w:t>
      </w:r>
      <w:r w:rsidR="002B136D" w:rsidRPr="002B136D">
        <w:rPr>
          <w:rFonts w:cs="Times New Roman"/>
          <w:szCs w:val="28"/>
        </w:rPr>
        <w:t>п</w:t>
      </w:r>
      <w:r w:rsidRPr="002B136D">
        <w:rPr>
          <w:rFonts w:cs="Times New Roman"/>
          <w:szCs w:val="28"/>
        </w:rPr>
        <w:t>роф</w:t>
      </w:r>
      <w:r w:rsidR="002B136D" w:rsidRPr="002B136D">
        <w:rPr>
          <w:rFonts w:cs="Times New Roman"/>
          <w:szCs w:val="28"/>
        </w:rPr>
        <w:t>.</w:t>
      </w:r>
    </w:p>
    <w:p w14:paraId="57F755BF" w14:textId="5DD1D53F" w:rsidR="00D130AF" w:rsidRPr="002B136D" w:rsidRDefault="00B6611E" w:rsidP="002B136D">
      <w:pPr>
        <w:shd w:val="clear" w:color="auto" w:fill="FFFFFF"/>
        <w:tabs>
          <w:tab w:val="center" w:pos="4465"/>
          <w:tab w:val="left" w:pos="6684"/>
        </w:tabs>
        <w:spacing w:after="0" w:line="240" w:lineRule="auto"/>
        <w:ind w:left="6237"/>
        <w:rPr>
          <w:rFonts w:cs="Times New Roman"/>
          <w:szCs w:val="28"/>
        </w:rPr>
      </w:pPr>
      <w:r w:rsidRPr="002B136D">
        <w:rPr>
          <w:rFonts w:cs="Times New Roman"/>
          <w:szCs w:val="28"/>
        </w:rPr>
        <w:t>Жунусова Г.С.</w:t>
      </w:r>
      <w:r w:rsidRPr="002B136D">
        <w:rPr>
          <w:rFonts w:cs="Times New Roman"/>
          <w:szCs w:val="28"/>
        </w:rPr>
        <w:tab/>
        <w:t xml:space="preserve">     </w:t>
      </w:r>
    </w:p>
    <w:p w14:paraId="70C06BEC" w14:textId="0523AD18" w:rsidR="00B6611E" w:rsidRPr="002932C4" w:rsidRDefault="00B6611E" w:rsidP="002B136D">
      <w:pPr>
        <w:shd w:val="clear" w:color="auto" w:fill="FFFFFF"/>
        <w:tabs>
          <w:tab w:val="center" w:pos="4464"/>
        </w:tabs>
        <w:spacing w:after="0" w:line="240" w:lineRule="auto"/>
        <w:ind w:left="6237"/>
        <w:rPr>
          <w:rFonts w:cs="Times New Roman"/>
          <w:szCs w:val="28"/>
        </w:rPr>
      </w:pPr>
      <w:r w:rsidRPr="002B136D">
        <w:rPr>
          <w:rFonts w:cs="Times New Roman"/>
          <w:szCs w:val="28"/>
        </w:rPr>
        <w:t>PhD Мадрахимов С.Б.</w:t>
      </w:r>
    </w:p>
    <w:p w14:paraId="0D881CA2" w14:textId="77777777" w:rsidR="002B136D" w:rsidRPr="002932C4" w:rsidRDefault="002B136D" w:rsidP="002B136D">
      <w:pPr>
        <w:shd w:val="clear" w:color="auto" w:fill="FFFFFF"/>
        <w:spacing w:after="0" w:line="360" w:lineRule="auto"/>
        <w:ind w:right="140"/>
        <w:rPr>
          <w:rFonts w:cs="Times New Roman"/>
          <w:szCs w:val="28"/>
        </w:rPr>
      </w:pPr>
    </w:p>
    <w:p w14:paraId="4C0D41A6" w14:textId="77777777" w:rsidR="002B136D" w:rsidRPr="002932C4" w:rsidRDefault="002B136D" w:rsidP="002B136D">
      <w:pPr>
        <w:shd w:val="clear" w:color="auto" w:fill="FFFFFF"/>
        <w:spacing w:after="0" w:line="360" w:lineRule="auto"/>
        <w:ind w:right="140"/>
        <w:rPr>
          <w:rFonts w:cs="Times New Roman"/>
          <w:szCs w:val="28"/>
        </w:rPr>
      </w:pPr>
    </w:p>
    <w:p w14:paraId="687D000E" w14:textId="77777777" w:rsidR="008C4136" w:rsidRPr="002B136D" w:rsidRDefault="008C4136" w:rsidP="002B136D">
      <w:pPr>
        <w:shd w:val="clear" w:color="auto" w:fill="FFFFFF"/>
        <w:spacing w:after="0" w:line="240" w:lineRule="auto"/>
        <w:jc w:val="center"/>
        <w:rPr>
          <w:rFonts w:cs="Times New Roman"/>
          <w:szCs w:val="28"/>
        </w:rPr>
      </w:pPr>
      <w:r w:rsidRPr="002B136D">
        <w:rPr>
          <w:rFonts w:cs="Times New Roman"/>
          <w:szCs w:val="28"/>
        </w:rPr>
        <w:t>Республика Казахстан</w:t>
      </w:r>
    </w:p>
    <w:p w14:paraId="2D46EF19" w14:textId="40CEC8ED" w:rsidR="00901068" w:rsidRPr="002B136D" w:rsidRDefault="008C4136" w:rsidP="002B136D">
      <w:pPr>
        <w:spacing w:after="0" w:line="240" w:lineRule="auto"/>
        <w:jc w:val="center"/>
        <w:rPr>
          <w:rFonts w:cs="Times New Roman"/>
          <w:szCs w:val="28"/>
        </w:rPr>
      </w:pPr>
      <w:r w:rsidRPr="002B136D">
        <w:rPr>
          <w:rFonts w:cs="Times New Roman"/>
          <w:szCs w:val="28"/>
        </w:rPr>
        <w:t>Алматы, 202</w:t>
      </w:r>
      <w:r w:rsidR="003D43D3" w:rsidRPr="002B136D">
        <w:rPr>
          <w:rFonts w:cs="Times New Roman"/>
          <w:szCs w:val="28"/>
        </w:rPr>
        <w:t>5</w:t>
      </w:r>
    </w:p>
    <w:p w14:paraId="659B9E74" w14:textId="77777777" w:rsidR="001204D8" w:rsidRDefault="001204D8" w:rsidP="001745D7">
      <w:pPr>
        <w:spacing w:after="0" w:line="240" w:lineRule="auto"/>
        <w:ind w:right="140"/>
        <w:jc w:val="center"/>
        <w:rPr>
          <w:rFonts w:cs="Times New Roman"/>
          <w:b/>
          <w:szCs w:val="28"/>
        </w:rPr>
      </w:pPr>
      <w:bookmarkStart w:id="0" w:name="_Hlk150524536"/>
    </w:p>
    <w:p w14:paraId="7C27CED3" w14:textId="26DE1F43" w:rsidR="008C4136" w:rsidRPr="002B136D" w:rsidRDefault="008C4136" w:rsidP="001745D7">
      <w:pPr>
        <w:spacing w:after="0" w:line="240" w:lineRule="auto"/>
        <w:ind w:right="140"/>
        <w:jc w:val="center"/>
        <w:rPr>
          <w:rFonts w:cs="Times New Roman"/>
          <w:b/>
          <w:szCs w:val="28"/>
          <w:lang w:val="en-US"/>
        </w:rPr>
      </w:pPr>
      <w:r w:rsidRPr="002B136D">
        <w:rPr>
          <w:rFonts w:cs="Times New Roman"/>
          <w:b/>
          <w:szCs w:val="28"/>
        </w:rPr>
        <w:lastRenderedPageBreak/>
        <w:t>СОДЕРЖАНИЕ</w:t>
      </w:r>
    </w:p>
    <w:p w14:paraId="0D8ED1B9" w14:textId="77777777" w:rsidR="002B136D" w:rsidRPr="002B136D" w:rsidRDefault="002B136D" w:rsidP="001745D7">
      <w:pPr>
        <w:spacing w:after="0" w:line="240" w:lineRule="auto"/>
        <w:ind w:right="140"/>
        <w:jc w:val="center"/>
        <w:rPr>
          <w:rFonts w:cs="Times New Roman"/>
          <w:b/>
          <w:szCs w:val="28"/>
          <w:lang w:val="en-US"/>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636"/>
      </w:tblGrid>
      <w:tr w:rsidR="002B136D" w:rsidRPr="002B136D" w14:paraId="6536C4BE" w14:textId="77777777" w:rsidTr="009B664D">
        <w:tc>
          <w:tcPr>
            <w:tcW w:w="9072" w:type="dxa"/>
          </w:tcPr>
          <w:p w14:paraId="47A33D23" w14:textId="1E264021" w:rsidR="00D77B6D" w:rsidRPr="002B136D" w:rsidRDefault="00D77B6D" w:rsidP="002C46A8">
            <w:pPr>
              <w:pStyle w:val="ae"/>
              <w:jc w:val="both"/>
              <w:rPr>
                <w:rFonts w:ascii="Times New Roman" w:hAnsi="Times New Roman" w:cs="Times New Roman"/>
                <w:b/>
                <w:sz w:val="28"/>
                <w:szCs w:val="28"/>
                <w:lang w:val="en-US"/>
              </w:rPr>
            </w:pPr>
            <w:bookmarkStart w:id="1" w:name="_Hlk119325748"/>
            <w:r w:rsidRPr="002B136D">
              <w:rPr>
                <w:rFonts w:ascii="Times New Roman" w:hAnsi="Times New Roman" w:cs="Times New Roman"/>
                <w:b/>
                <w:sz w:val="28"/>
                <w:szCs w:val="28"/>
                <w:lang w:val="en-US"/>
              </w:rPr>
              <w:t xml:space="preserve">НОРМАТИВНЫЕ ССЫЛКИ        </w:t>
            </w:r>
          </w:p>
        </w:tc>
        <w:tc>
          <w:tcPr>
            <w:tcW w:w="567" w:type="dxa"/>
          </w:tcPr>
          <w:p w14:paraId="5C6D3929" w14:textId="2CFD0C11" w:rsidR="00D77B6D" w:rsidRPr="002B136D" w:rsidRDefault="006D29FF"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4</w:t>
            </w:r>
          </w:p>
        </w:tc>
      </w:tr>
      <w:tr w:rsidR="002B136D" w:rsidRPr="002B136D" w14:paraId="6D48BC4C" w14:textId="77777777" w:rsidTr="009B664D">
        <w:tc>
          <w:tcPr>
            <w:tcW w:w="9072" w:type="dxa"/>
          </w:tcPr>
          <w:p w14:paraId="0126879E" w14:textId="3C7704EF" w:rsidR="00D77B6D" w:rsidRPr="002B136D" w:rsidRDefault="00D77B6D" w:rsidP="002C46A8">
            <w:pPr>
              <w:pStyle w:val="ae"/>
              <w:jc w:val="both"/>
              <w:rPr>
                <w:rFonts w:ascii="Times New Roman" w:hAnsi="Times New Roman" w:cs="Times New Roman"/>
                <w:b/>
                <w:sz w:val="28"/>
                <w:szCs w:val="28"/>
                <w:lang w:val="en-US"/>
              </w:rPr>
            </w:pPr>
            <w:r w:rsidRPr="002B136D">
              <w:rPr>
                <w:rFonts w:ascii="Times New Roman" w:hAnsi="Times New Roman" w:cs="Times New Roman"/>
                <w:b/>
                <w:sz w:val="28"/>
                <w:szCs w:val="28"/>
              </w:rPr>
              <w:t>ОПРЕДЕЛЕНИЯ</w:t>
            </w:r>
          </w:p>
        </w:tc>
        <w:tc>
          <w:tcPr>
            <w:tcW w:w="567" w:type="dxa"/>
          </w:tcPr>
          <w:p w14:paraId="3E2D5CAA" w14:textId="4D4BF38D" w:rsidR="00D77B6D" w:rsidRPr="002B136D" w:rsidRDefault="006D29FF"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5</w:t>
            </w:r>
          </w:p>
        </w:tc>
      </w:tr>
      <w:tr w:rsidR="002B136D" w:rsidRPr="002B136D" w14:paraId="3C5DE1CF" w14:textId="77777777" w:rsidTr="009B664D">
        <w:tc>
          <w:tcPr>
            <w:tcW w:w="9072" w:type="dxa"/>
          </w:tcPr>
          <w:p w14:paraId="1A6CB369" w14:textId="3D052196" w:rsidR="00D77B6D" w:rsidRPr="002B136D" w:rsidRDefault="00D77B6D" w:rsidP="002C46A8">
            <w:pPr>
              <w:pStyle w:val="ae"/>
              <w:jc w:val="both"/>
              <w:rPr>
                <w:rFonts w:ascii="Times New Roman" w:hAnsi="Times New Roman" w:cs="Times New Roman"/>
                <w:b/>
                <w:sz w:val="28"/>
                <w:szCs w:val="28"/>
                <w:lang w:val="en-US"/>
              </w:rPr>
            </w:pPr>
            <w:r w:rsidRPr="002B136D">
              <w:rPr>
                <w:rFonts w:ascii="Times New Roman" w:hAnsi="Times New Roman" w:cs="Times New Roman"/>
                <w:b/>
                <w:sz w:val="28"/>
                <w:szCs w:val="28"/>
              </w:rPr>
              <w:t xml:space="preserve">ОБОЗНАЧЕНИЯ И СОКРАЩЕНИЯ </w:t>
            </w:r>
          </w:p>
        </w:tc>
        <w:tc>
          <w:tcPr>
            <w:tcW w:w="567" w:type="dxa"/>
          </w:tcPr>
          <w:p w14:paraId="572B8A1A" w14:textId="14DFC3E4" w:rsidR="00D77B6D" w:rsidRPr="002B136D" w:rsidRDefault="006D29FF"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7</w:t>
            </w:r>
          </w:p>
        </w:tc>
      </w:tr>
      <w:tr w:rsidR="002B136D" w:rsidRPr="002B136D" w14:paraId="0E44DB73" w14:textId="77777777" w:rsidTr="009B664D">
        <w:tc>
          <w:tcPr>
            <w:tcW w:w="9072" w:type="dxa"/>
          </w:tcPr>
          <w:p w14:paraId="78AC9E48" w14:textId="1F6FC6B1" w:rsidR="00D77B6D" w:rsidRPr="002B136D" w:rsidRDefault="00413E60" w:rsidP="002C46A8">
            <w:pPr>
              <w:pStyle w:val="ae"/>
              <w:jc w:val="both"/>
              <w:rPr>
                <w:rFonts w:ascii="Times New Roman" w:hAnsi="Times New Roman" w:cs="Times New Roman"/>
                <w:b/>
                <w:sz w:val="28"/>
                <w:szCs w:val="28"/>
                <w:lang w:val="en-US"/>
              </w:rPr>
            </w:pPr>
            <w:r w:rsidRPr="002B136D">
              <w:rPr>
                <w:rFonts w:ascii="Times New Roman" w:hAnsi="Times New Roman" w:cs="Times New Roman"/>
                <w:b/>
                <w:sz w:val="28"/>
                <w:szCs w:val="28"/>
              </w:rPr>
              <w:t>ВВЕДЕНИЕ</w:t>
            </w:r>
          </w:p>
        </w:tc>
        <w:tc>
          <w:tcPr>
            <w:tcW w:w="567" w:type="dxa"/>
          </w:tcPr>
          <w:p w14:paraId="1141396E" w14:textId="21DA1AA0" w:rsidR="00D77B6D" w:rsidRPr="002B136D" w:rsidRDefault="006D29FF"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9</w:t>
            </w:r>
          </w:p>
        </w:tc>
      </w:tr>
      <w:tr w:rsidR="002B136D" w:rsidRPr="002B136D" w14:paraId="6C879975" w14:textId="77777777" w:rsidTr="009B664D">
        <w:tc>
          <w:tcPr>
            <w:tcW w:w="9072" w:type="dxa"/>
          </w:tcPr>
          <w:p w14:paraId="02A37DE2" w14:textId="617D6AEB" w:rsidR="00D77B6D" w:rsidRPr="002B136D" w:rsidRDefault="00D77B6D" w:rsidP="002C46A8">
            <w:pPr>
              <w:pStyle w:val="ae"/>
              <w:jc w:val="both"/>
              <w:rPr>
                <w:rFonts w:ascii="Times New Roman" w:hAnsi="Times New Roman" w:cs="Times New Roman"/>
                <w:b/>
                <w:sz w:val="28"/>
                <w:szCs w:val="28"/>
              </w:rPr>
            </w:pPr>
            <w:r w:rsidRPr="002B136D">
              <w:rPr>
                <w:rFonts w:ascii="Times New Roman" w:hAnsi="Times New Roman" w:cs="Times New Roman"/>
                <w:b/>
                <w:sz w:val="28"/>
                <w:szCs w:val="28"/>
              </w:rPr>
              <w:t xml:space="preserve">1 </w:t>
            </w:r>
            <w:r w:rsidR="00B35A1A" w:rsidRPr="002B136D">
              <w:rPr>
                <w:rFonts w:ascii="Times New Roman" w:hAnsi="Times New Roman" w:cs="Times New Roman"/>
                <w:b/>
                <w:sz w:val="28"/>
                <w:szCs w:val="28"/>
              </w:rPr>
              <w:t xml:space="preserve">КЛИНИЧЕСКИЕ И ИММУНОГЕНЕТИЧЕСКИЕ АСПЕКТЫ ЭНДОКРИННОЙ ОФТАЛЬМОПАТИИ </w:t>
            </w:r>
            <w:r w:rsidR="004B4B2B" w:rsidRPr="002B136D">
              <w:rPr>
                <w:rFonts w:ascii="Times New Roman" w:hAnsi="Times New Roman" w:cs="Times New Roman"/>
                <w:b/>
                <w:sz w:val="28"/>
                <w:szCs w:val="28"/>
              </w:rPr>
              <w:t>(обзор литературы)</w:t>
            </w:r>
          </w:p>
        </w:tc>
        <w:tc>
          <w:tcPr>
            <w:tcW w:w="567" w:type="dxa"/>
          </w:tcPr>
          <w:p w14:paraId="364A8A39" w14:textId="77777777" w:rsidR="009B664D" w:rsidRDefault="009B664D" w:rsidP="002B136D">
            <w:pPr>
              <w:pStyle w:val="ae"/>
              <w:jc w:val="center"/>
              <w:rPr>
                <w:rFonts w:ascii="Times New Roman" w:hAnsi="Times New Roman" w:cs="Times New Roman"/>
                <w:sz w:val="28"/>
                <w:szCs w:val="28"/>
              </w:rPr>
            </w:pPr>
          </w:p>
          <w:p w14:paraId="5520F5EE" w14:textId="3C1386F2" w:rsidR="00D77B6D" w:rsidRPr="002B136D" w:rsidRDefault="0026140B"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rPr>
              <w:t>1</w:t>
            </w:r>
            <w:r w:rsidR="009B664D">
              <w:rPr>
                <w:rFonts w:ascii="Times New Roman" w:hAnsi="Times New Roman" w:cs="Times New Roman"/>
                <w:sz w:val="28"/>
                <w:szCs w:val="28"/>
                <w:lang w:val="kk-KZ"/>
              </w:rPr>
              <w:t>5</w:t>
            </w:r>
          </w:p>
        </w:tc>
      </w:tr>
      <w:tr w:rsidR="002B136D" w:rsidRPr="002B136D" w14:paraId="11CD6E01" w14:textId="77777777" w:rsidTr="009B664D">
        <w:trPr>
          <w:trHeight w:val="70"/>
        </w:trPr>
        <w:tc>
          <w:tcPr>
            <w:tcW w:w="9072" w:type="dxa"/>
          </w:tcPr>
          <w:p w14:paraId="291700DC" w14:textId="5836F74D" w:rsidR="00D77B6D" w:rsidRPr="002B136D" w:rsidRDefault="00D77B6D" w:rsidP="002C46A8">
            <w:pPr>
              <w:pStyle w:val="ae"/>
              <w:jc w:val="both"/>
              <w:rPr>
                <w:rFonts w:ascii="Times New Roman" w:hAnsi="Times New Roman" w:cs="Times New Roman"/>
                <w:sz w:val="28"/>
                <w:szCs w:val="28"/>
              </w:rPr>
            </w:pPr>
            <w:proofErr w:type="gramStart"/>
            <w:r w:rsidRPr="002B136D">
              <w:rPr>
                <w:rFonts w:ascii="Times New Roman" w:hAnsi="Times New Roman" w:cs="Times New Roman"/>
                <w:sz w:val="28"/>
                <w:szCs w:val="28"/>
              </w:rPr>
              <w:t>1.1 Эпидемиологические особенности эндокринной офтальмопатии</w:t>
            </w:r>
            <w:proofErr w:type="gramEnd"/>
          </w:p>
        </w:tc>
        <w:tc>
          <w:tcPr>
            <w:tcW w:w="567" w:type="dxa"/>
          </w:tcPr>
          <w:p w14:paraId="051500D4" w14:textId="574C28DE" w:rsidR="00D77B6D" w:rsidRPr="002B136D" w:rsidRDefault="0026140B"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rPr>
              <w:t>1</w:t>
            </w:r>
            <w:r w:rsidR="009B664D">
              <w:rPr>
                <w:rFonts w:ascii="Times New Roman" w:hAnsi="Times New Roman" w:cs="Times New Roman"/>
                <w:sz w:val="28"/>
                <w:szCs w:val="28"/>
                <w:lang w:val="kk-KZ"/>
              </w:rPr>
              <w:t>5</w:t>
            </w:r>
          </w:p>
        </w:tc>
      </w:tr>
      <w:tr w:rsidR="002B136D" w:rsidRPr="002B136D" w14:paraId="535897E8" w14:textId="77777777" w:rsidTr="009B664D">
        <w:tc>
          <w:tcPr>
            <w:tcW w:w="9072" w:type="dxa"/>
          </w:tcPr>
          <w:p w14:paraId="1101DD8E" w14:textId="0FD852A9" w:rsidR="00D77B6D" w:rsidRPr="002B136D" w:rsidRDefault="00D77B6D" w:rsidP="002C46A8">
            <w:pPr>
              <w:pStyle w:val="ae"/>
              <w:jc w:val="both"/>
              <w:rPr>
                <w:rFonts w:ascii="Times New Roman" w:hAnsi="Times New Roman" w:cs="Times New Roman"/>
                <w:sz w:val="28"/>
                <w:szCs w:val="28"/>
              </w:rPr>
            </w:pPr>
            <w:proofErr w:type="gramStart"/>
            <w:r w:rsidRPr="002B136D">
              <w:rPr>
                <w:rFonts w:ascii="Times New Roman" w:hAnsi="Times New Roman" w:cs="Times New Roman"/>
                <w:sz w:val="28"/>
                <w:szCs w:val="28"/>
              </w:rPr>
              <w:t xml:space="preserve">1.2 Патофизиологические особенности </w:t>
            </w:r>
            <w:r w:rsidR="006B0230" w:rsidRPr="006B0230">
              <w:rPr>
                <w:rFonts w:ascii="Times New Roman" w:hAnsi="Times New Roman" w:cs="Times New Roman"/>
                <w:sz w:val="28"/>
                <w:szCs w:val="28"/>
              </w:rPr>
              <w:t>эндокринной офтальмопатии</w:t>
            </w:r>
            <w:proofErr w:type="gramEnd"/>
          </w:p>
        </w:tc>
        <w:tc>
          <w:tcPr>
            <w:tcW w:w="567" w:type="dxa"/>
          </w:tcPr>
          <w:p w14:paraId="1F7129AD" w14:textId="72373D98" w:rsidR="00D77B6D" w:rsidRPr="009B664D" w:rsidRDefault="00B03946"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1</w:t>
            </w:r>
            <w:r w:rsidR="009B664D">
              <w:rPr>
                <w:rFonts w:ascii="Times New Roman" w:hAnsi="Times New Roman" w:cs="Times New Roman"/>
                <w:sz w:val="28"/>
                <w:szCs w:val="28"/>
              </w:rPr>
              <w:t>6</w:t>
            </w:r>
          </w:p>
        </w:tc>
      </w:tr>
      <w:tr w:rsidR="002B136D" w:rsidRPr="002B136D" w14:paraId="5CB327A4" w14:textId="77777777" w:rsidTr="009B664D">
        <w:tc>
          <w:tcPr>
            <w:tcW w:w="9072" w:type="dxa"/>
          </w:tcPr>
          <w:p w14:paraId="0CE716EE" w14:textId="1ECCDFB1" w:rsidR="00D77B6D" w:rsidRPr="002B136D" w:rsidRDefault="00D77B6D" w:rsidP="002C46A8">
            <w:pPr>
              <w:pStyle w:val="ae"/>
              <w:jc w:val="both"/>
              <w:rPr>
                <w:rFonts w:ascii="Times New Roman" w:hAnsi="Times New Roman" w:cs="Times New Roman"/>
                <w:sz w:val="28"/>
                <w:szCs w:val="28"/>
              </w:rPr>
            </w:pPr>
            <w:r w:rsidRPr="002B136D">
              <w:rPr>
                <w:rFonts w:ascii="Times New Roman" w:hAnsi="Times New Roman" w:cs="Times New Roman"/>
                <w:sz w:val="28"/>
                <w:szCs w:val="28"/>
              </w:rPr>
              <w:t>1.3 Современное состояние диагностики ЭОП</w:t>
            </w:r>
          </w:p>
        </w:tc>
        <w:tc>
          <w:tcPr>
            <w:tcW w:w="567" w:type="dxa"/>
          </w:tcPr>
          <w:p w14:paraId="50EE2FF8" w14:textId="3C289259" w:rsidR="00D77B6D" w:rsidRPr="009B664D" w:rsidRDefault="00A51A9A"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2</w:t>
            </w:r>
            <w:r w:rsidR="009B664D">
              <w:rPr>
                <w:rFonts w:ascii="Times New Roman" w:hAnsi="Times New Roman" w:cs="Times New Roman"/>
                <w:sz w:val="28"/>
                <w:szCs w:val="28"/>
              </w:rPr>
              <w:t>3</w:t>
            </w:r>
          </w:p>
        </w:tc>
      </w:tr>
      <w:tr w:rsidR="002B136D" w:rsidRPr="002B136D" w14:paraId="603FCC1A" w14:textId="77777777" w:rsidTr="009B664D">
        <w:tc>
          <w:tcPr>
            <w:tcW w:w="9072" w:type="dxa"/>
          </w:tcPr>
          <w:p w14:paraId="6004A3A8" w14:textId="3B060E1D" w:rsidR="00D77B6D" w:rsidRPr="002B136D" w:rsidRDefault="00D77B6D" w:rsidP="002C46A8">
            <w:pPr>
              <w:pStyle w:val="ae"/>
              <w:jc w:val="both"/>
              <w:rPr>
                <w:rFonts w:ascii="Times New Roman" w:hAnsi="Times New Roman" w:cs="Times New Roman"/>
                <w:sz w:val="28"/>
                <w:szCs w:val="28"/>
              </w:rPr>
            </w:pPr>
            <w:r w:rsidRPr="002B136D">
              <w:rPr>
                <w:rFonts w:ascii="Times New Roman" w:hAnsi="Times New Roman" w:cs="Times New Roman"/>
                <w:sz w:val="28"/>
                <w:szCs w:val="28"/>
              </w:rPr>
              <w:t xml:space="preserve">1.4 Сигнальный путь IL-38/IL-1R1 и его функции </w:t>
            </w:r>
          </w:p>
        </w:tc>
        <w:tc>
          <w:tcPr>
            <w:tcW w:w="567" w:type="dxa"/>
          </w:tcPr>
          <w:p w14:paraId="0A0E437D" w14:textId="7B07A326" w:rsidR="00D77B6D" w:rsidRPr="009B664D" w:rsidRDefault="009B664D" w:rsidP="002B136D">
            <w:pPr>
              <w:pStyle w:val="ae"/>
              <w:jc w:val="center"/>
              <w:rPr>
                <w:rFonts w:ascii="Times New Roman" w:hAnsi="Times New Roman" w:cs="Times New Roman"/>
                <w:sz w:val="28"/>
                <w:szCs w:val="28"/>
              </w:rPr>
            </w:pPr>
            <w:r>
              <w:rPr>
                <w:rFonts w:ascii="Times New Roman" w:hAnsi="Times New Roman" w:cs="Times New Roman"/>
                <w:sz w:val="28"/>
                <w:szCs w:val="28"/>
              </w:rPr>
              <w:t>32</w:t>
            </w:r>
          </w:p>
        </w:tc>
      </w:tr>
      <w:tr w:rsidR="002B136D" w:rsidRPr="002B136D" w14:paraId="790905A5" w14:textId="77777777" w:rsidTr="009B664D">
        <w:tc>
          <w:tcPr>
            <w:tcW w:w="9072" w:type="dxa"/>
          </w:tcPr>
          <w:p w14:paraId="0A85FC68" w14:textId="4E555761" w:rsidR="00D77B6D" w:rsidRPr="002B136D" w:rsidRDefault="00D77B6D" w:rsidP="002C46A8">
            <w:pPr>
              <w:pStyle w:val="ae"/>
              <w:jc w:val="both"/>
              <w:rPr>
                <w:rFonts w:ascii="Times New Roman" w:hAnsi="Times New Roman" w:cs="Times New Roman"/>
                <w:sz w:val="28"/>
                <w:szCs w:val="28"/>
              </w:rPr>
            </w:pPr>
            <w:r w:rsidRPr="002B136D">
              <w:rPr>
                <w:rFonts w:ascii="Times New Roman" w:hAnsi="Times New Roman" w:cs="Times New Roman"/>
                <w:sz w:val="28"/>
                <w:szCs w:val="28"/>
              </w:rPr>
              <w:t>1.5 Сигнальный путь IL-38/IL-36R и его функции</w:t>
            </w:r>
          </w:p>
        </w:tc>
        <w:tc>
          <w:tcPr>
            <w:tcW w:w="567" w:type="dxa"/>
          </w:tcPr>
          <w:p w14:paraId="59DC71DD" w14:textId="119F57C8" w:rsidR="00D77B6D" w:rsidRPr="002B136D" w:rsidRDefault="00A51A9A"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lang w:val="en-US"/>
              </w:rPr>
              <w:t>3</w:t>
            </w:r>
            <w:r w:rsidR="009B664D">
              <w:rPr>
                <w:rFonts w:ascii="Times New Roman" w:hAnsi="Times New Roman" w:cs="Times New Roman"/>
                <w:sz w:val="28"/>
                <w:szCs w:val="28"/>
                <w:lang w:val="kk-KZ"/>
              </w:rPr>
              <w:t>3</w:t>
            </w:r>
          </w:p>
        </w:tc>
      </w:tr>
      <w:tr w:rsidR="002B136D" w:rsidRPr="002B136D" w14:paraId="2451582E" w14:textId="77777777" w:rsidTr="009B664D">
        <w:tc>
          <w:tcPr>
            <w:tcW w:w="9072" w:type="dxa"/>
          </w:tcPr>
          <w:p w14:paraId="7D7F184E" w14:textId="21D93564" w:rsidR="00D77B6D" w:rsidRPr="002B136D" w:rsidRDefault="00D77B6D" w:rsidP="002C46A8">
            <w:pPr>
              <w:pStyle w:val="ae"/>
              <w:jc w:val="both"/>
              <w:rPr>
                <w:rFonts w:ascii="Times New Roman" w:hAnsi="Times New Roman" w:cs="Times New Roman"/>
                <w:bCs/>
                <w:sz w:val="28"/>
                <w:szCs w:val="28"/>
              </w:rPr>
            </w:pPr>
            <w:r w:rsidRPr="002B136D">
              <w:rPr>
                <w:rFonts w:ascii="Times New Roman" w:hAnsi="Times New Roman" w:cs="Times New Roman"/>
                <w:bCs/>
                <w:sz w:val="28"/>
                <w:szCs w:val="28"/>
              </w:rPr>
              <w:t>1.6 Сигнальный путь IL-38/IL-1RAPL1 и его функции</w:t>
            </w:r>
          </w:p>
        </w:tc>
        <w:tc>
          <w:tcPr>
            <w:tcW w:w="567" w:type="dxa"/>
          </w:tcPr>
          <w:p w14:paraId="626DAB4B" w14:textId="69DBF014" w:rsidR="00D77B6D" w:rsidRPr="009B664D" w:rsidRDefault="000C7DF2"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3</w:t>
            </w:r>
            <w:r w:rsidR="009B664D">
              <w:rPr>
                <w:rFonts w:ascii="Times New Roman" w:hAnsi="Times New Roman" w:cs="Times New Roman"/>
                <w:sz w:val="28"/>
                <w:szCs w:val="28"/>
              </w:rPr>
              <w:t>4</w:t>
            </w:r>
          </w:p>
        </w:tc>
      </w:tr>
      <w:tr w:rsidR="002B136D" w:rsidRPr="002B136D" w14:paraId="76C90649" w14:textId="77777777" w:rsidTr="009B664D">
        <w:trPr>
          <w:trHeight w:val="70"/>
        </w:trPr>
        <w:tc>
          <w:tcPr>
            <w:tcW w:w="9072" w:type="dxa"/>
          </w:tcPr>
          <w:p w14:paraId="5FB0A0D2" w14:textId="6E357F5A" w:rsidR="00D77B6D" w:rsidRPr="002B136D" w:rsidRDefault="00D77B6D" w:rsidP="002C46A8">
            <w:pPr>
              <w:pStyle w:val="ae"/>
              <w:jc w:val="both"/>
              <w:rPr>
                <w:rFonts w:ascii="Times New Roman" w:hAnsi="Times New Roman" w:cs="Times New Roman"/>
                <w:b/>
                <w:sz w:val="28"/>
                <w:szCs w:val="28"/>
              </w:rPr>
            </w:pPr>
            <w:r w:rsidRPr="002B136D">
              <w:rPr>
                <w:rFonts w:ascii="Times New Roman" w:hAnsi="Times New Roman" w:cs="Times New Roman"/>
                <w:b/>
                <w:sz w:val="28"/>
                <w:szCs w:val="28"/>
              </w:rPr>
              <w:t>2 МАТЕРИАЛЫ И МЕТОДЫ ИССЛЕДОВАНИЯ</w:t>
            </w:r>
          </w:p>
        </w:tc>
        <w:tc>
          <w:tcPr>
            <w:tcW w:w="567" w:type="dxa"/>
          </w:tcPr>
          <w:p w14:paraId="16167667" w14:textId="58007383" w:rsidR="00D77B6D" w:rsidRPr="009B664D" w:rsidRDefault="009B664D" w:rsidP="002B136D">
            <w:pPr>
              <w:pStyle w:val="ae"/>
              <w:jc w:val="center"/>
              <w:rPr>
                <w:rFonts w:ascii="Times New Roman" w:hAnsi="Times New Roman" w:cs="Times New Roman"/>
                <w:sz w:val="28"/>
                <w:szCs w:val="28"/>
              </w:rPr>
            </w:pPr>
            <w:r>
              <w:rPr>
                <w:rFonts w:ascii="Times New Roman" w:hAnsi="Times New Roman" w:cs="Times New Roman"/>
                <w:sz w:val="28"/>
                <w:szCs w:val="28"/>
              </w:rPr>
              <w:t>40</w:t>
            </w:r>
          </w:p>
        </w:tc>
      </w:tr>
      <w:tr w:rsidR="002B136D" w:rsidRPr="002B136D" w14:paraId="1708766B" w14:textId="77777777" w:rsidTr="009B664D">
        <w:tc>
          <w:tcPr>
            <w:tcW w:w="9072" w:type="dxa"/>
          </w:tcPr>
          <w:p w14:paraId="1903198E" w14:textId="00C268A6" w:rsidR="00D77B6D" w:rsidRPr="002B136D" w:rsidRDefault="00D77B6D" w:rsidP="004B4B2B">
            <w:pPr>
              <w:jc w:val="both"/>
              <w:rPr>
                <w:rFonts w:cs="Times New Roman"/>
                <w:szCs w:val="28"/>
              </w:rPr>
            </w:pPr>
            <w:r w:rsidRPr="002B136D">
              <w:rPr>
                <w:rFonts w:cs="Times New Roman"/>
                <w:szCs w:val="28"/>
              </w:rPr>
              <w:t xml:space="preserve">2.1 Общая характеристика исследования </w:t>
            </w:r>
          </w:p>
        </w:tc>
        <w:tc>
          <w:tcPr>
            <w:tcW w:w="567" w:type="dxa"/>
          </w:tcPr>
          <w:p w14:paraId="26F819F4" w14:textId="040E14E2" w:rsidR="00D77B6D" w:rsidRPr="002B136D" w:rsidRDefault="00B03946"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lang w:val="en-US"/>
              </w:rPr>
              <w:t>4</w:t>
            </w:r>
            <w:r w:rsidR="009B664D">
              <w:rPr>
                <w:rFonts w:ascii="Times New Roman" w:hAnsi="Times New Roman" w:cs="Times New Roman"/>
                <w:sz w:val="28"/>
                <w:szCs w:val="28"/>
                <w:lang w:val="kk-KZ"/>
              </w:rPr>
              <w:t>0</w:t>
            </w:r>
          </w:p>
        </w:tc>
      </w:tr>
      <w:tr w:rsidR="002B136D" w:rsidRPr="002B136D" w14:paraId="6C691377" w14:textId="77777777" w:rsidTr="009B664D">
        <w:tc>
          <w:tcPr>
            <w:tcW w:w="9072" w:type="dxa"/>
          </w:tcPr>
          <w:p w14:paraId="161B66AE" w14:textId="5201F9AA" w:rsidR="00D77B6D" w:rsidRPr="002B136D" w:rsidRDefault="00D77B6D" w:rsidP="00D7006C">
            <w:pPr>
              <w:jc w:val="both"/>
              <w:rPr>
                <w:rFonts w:cs="Times New Roman"/>
                <w:szCs w:val="28"/>
              </w:rPr>
            </w:pPr>
            <w:r w:rsidRPr="002B136D">
              <w:rPr>
                <w:rFonts w:cs="Times New Roman"/>
                <w:szCs w:val="28"/>
              </w:rPr>
              <w:t xml:space="preserve">2.2 </w:t>
            </w:r>
            <w:r w:rsidR="00837892" w:rsidRPr="002B136D">
              <w:rPr>
                <w:rFonts w:cs="Times New Roman"/>
                <w:szCs w:val="28"/>
              </w:rPr>
              <w:t>Общая характеристика материала</w:t>
            </w:r>
          </w:p>
        </w:tc>
        <w:tc>
          <w:tcPr>
            <w:tcW w:w="567" w:type="dxa"/>
          </w:tcPr>
          <w:p w14:paraId="343EE878" w14:textId="66C3E526" w:rsidR="00D77B6D" w:rsidRPr="002B136D" w:rsidRDefault="000C7DF2"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lang w:val="en-US"/>
              </w:rPr>
              <w:t>4</w:t>
            </w:r>
            <w:r w:rsidR="009B664D">
              <w:rPr>
                <w:rFonts w:ascii="Times New Roman" w:hAnsi="Times New Roman" w:cs="Times New Roman"/>
                <w:sz w:val="28"/>
                <w:szCs w:val="28"/>
                <w:lang w:val="kk-KZ"/>
              </w:rPr>
              <w:t>3</w:t>
            </w:r>
          </w:p>
        </w:tc>
      </w:tr>
      <w:tr w:rsidR="002B136D" w:rsidRPr="002B136D" w14:paraId="37138522" w14:textId="77777777" w:rsidTr="009B664D">
        <w:tc>
          <w:tcPr>
            <w:tcW w:w="9072" w:type="dxa"/>
          </w:tcPr>
          <w:p w14:paraId="655398A4" w14:textId="3710969A" w:rsidR="00D77B6D" w:rsidRPr="002B136D" w:rsidRDefault="00837892" w:rsidP="002C46A8">
            <w:pPr>
              <w:jc w:val="both"/>
              <w:rPr>
                <w:rFonts w:cs="Times New Roman"/>
                <w:szCs w:val="28"/>
              </w:rPr>
            </w:pPr>
            <w:r w:rsidRPr="002B136D">
              <w:rPr>
                <w:rFonts w:cs="Times New Roman"/>
                <w:szCs w:val="28"/>
              </w:rPr>
              <w:t xml:space="preserve">2.3 </w:t>
            </w:r>
            <w:r w:rsidR="00F0159D" w:rsidRPr="002B136D">
              <w:rPr>
                <w:rFonts w:cs="Times New Roman"/>
                <w:szCs w:val="28"/>
              </w:rPr>
              <w:t>Клинические методы исследования</w:t>
            </w:r>
          </w:p>
        </w:tc>
        <w:tc>
          <w:tcPr>
            <w:tcW w:w="567" w:type="dxa"/>
          </w:tcPr>
          <w:p w14:paraId="5313BBAC" w14:textId="5E3E2246" w:rsidR="00D77B6D" w:rsidRPr="002B136D" w:rsidRDefault="000C7DF2"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lang w:val="en-US"/>
              </w:rPr>
              <w:t>4</w:t>
            </w:r>
            <w:r w:rsidR="009B664D">
              <w:rPr>
                <w:rFonts w:ascii="Times New Roman" w:hAnsi="Times New Roman" w:cs="Times New Roman"/>
                <w:sz w:val="28"/>
                <w:szCs w:val="28"/>
                <w:lang w:val="kk-KZ"/>
              </w:rPr>
              <w:t>5</w:t>
            </w:r>
          </w:p>
        </w:tc>
      </w:tr>
      <w:tr w:rsidR="002B136D" w:rsidRPr="002B136D" w14:paraId="766644A5" w14:textId="77777777" w:rsidTr="009B664D">
        <w:tc>
          <w:tcPr>
            <w:tcW w:w="9072" w:type="dxa"/>
          </w:tcPr>
          <w:p w14:paraId="02E7466B" w14:textId="39D27928" w:rsidR="00D77B6D" w:rsidRPr="002B136D" w:rsidRDefault="00D77B6D" w:rsidP="002C46A8">
            <w:pPr>
              <w:jc w:val="both"/>
              <w:rPr>
                <w:rFonts w:cs="Times New Roman"/>
                <w:szCs w:val="28"/>
              </w:rPr>
            </w:pPr>
            <w:r w:rsidRPr="002B136D">
              <w:rPr>
                <w:rFonts w:cs="Times New Roman"/>
                <w:szCs w:val="28"/>
              </w:rPr>
              <w:t>2.4 Статистические методы исследования</w:t>
            </w:r>
          </w:p>
        </w:tc>
        <w:tc>
          <w:tcPr>
            <w:tcW w:w="567" w:type="dxa"/>
          </w:tcPr>
          <w:p w14:paraId="7D851AE8" w14:textId="26E28448" w:rsidR="00D77B6D" w:rsidRPr="009B664D" w:rsidRDefault="000C7DF2"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5</w:t>
            </w:r>
            <w:r w:rsidR="009B664D">
              <w:rPr>
                <w:rFonts w:ascii="Times New Roman" w:hAnsi="Times New Roman" w:cs="Times New Roman"/>
                <w:sz w:val="28"/>
                <w:szCs w:val="28"/>
              </w:rPr>
              <w:t>3</w:t>
            </w:r>
          </w:p>
        </w:tc>
      </w:tr>
      <w:tr w:rsidR="002B136D" w:rsidRPr="002B136D" w14:paraId="5502A88A" w14:textId="77777777" w:rsidTr="009B664D">
        <w:tc>
          <w:tcPr>
            <w:tcW w:w="9072" w:type="dxa"/>
          </w:tcPr>
          <w:p w14:paraId="4C64635B" w14:textId="0B356B33" w:rsidR="00D77B6D" w:rsidRPr="002B136D" w:rsidRDefault="00D77B6D" w:rsidP="002C46A8">
            <w:pPr>
              <w:pStyle w:val="ae"/>
              <w:jc w:val="both"/>
              <w:rPr>
                <w:rFonts w:ascii="Times New Roman" w:hAnsi="Times New Roman" w:cs="Times New Roman"/>
                <w:b/>
                <w:sz w:val="28"/>
                <w:szCs w:val="28"/>
              </w:rPr>
            </w:pPr>
            <w:r w:rsidRPr="002B136D">
              <w:rPr>
                <w:rFonts w:ascii="Times New Roman" w:hAnsi="Times New Roman" w:cs="Times New Roman"/>
                <w:b/>
                <w:sz w:val="28"/>
                <w:szCs w:val="28"/>
              </w:rPr>
              <w:t xml:space="preserve">3 </w:t>
            </w:r>
            <w:r w:rsidR="006B0230" w:rsidRPr="006B0230">
              <w:rPr>
                <w:rFonts w:ascii="Times New Roman" w:hAnsi="Times New Roman" w:cs="Times New Roman"/>
                <w:b/>
                <w:sz w:val="28"/>
                <w:szCs w:val="28"/>
              </w:rPr>
              <w:t>РЕЗУЛЬТАТЫ СОБСТВЕННЫХ ИССЛЕДОВАНИЙ</w:t>
            </w:r>
          </w:p>
        </w:tc>
        <w:tc>
          <w:tcPr>
            <w:tcW w:w="567" w:type="dxa"/>
          </w:tcPr>
          <w:p w14:paraId="424465D0" w14:textId="3154E553" w:rsidR="00D77B6D" w:rsidRPr="009B664D" w:rsidRDefault="00B03946"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5</w:t>
            </w:r>
            <w:r w:rsidR="009B664D">
              <w:rPr>
                <w:rFonts w:ascii="Times New Roman" w:hAnsi="Times New Roman" w:cs="Times New Roman"/>
                <w:sz w:val="28"/>
                <w:szCs w:val="28"/>
              </w:rPr>
              <w:t>4</w:t>
            </w:r>
          </w:p>
        </w:tc>
      </w:tr>
      <w:tr w:rsidR="002B136D" w:rsidRPr="002B136D" w14:paraId="7D130698" w14:textId="77777777" w:rsidTr="009B664D">
        <w:tc>
          <w:tcPr>
            <w:tcW w:w="9072" w:type="dxa"/>
          </w:tcPr>
          <w:p w14:paraId="7E9648F8" w14:textId="0523EFA8" w:rsidR="00D77B6D" w:rsidRPr="002B136D" w:rsidRDefault="00D77B6D" w:rsidP="002C46A8">
            <w:pPr>
              <w:jc w:val="both"/>
              <w:rPr>
                <w:rFonts w:cs="Times New Roman"/>
                <w:szCs w:val="28"/>
              </w:rPr>
            </w:pPr>
            <w:r w:rsidRPr="002B136D">
              <w:rPr>
                <w:rFonts w:cs="Times New Roman"/>
                <w:szCs w:val="28"/>
              </w:rPr>
              <w:t xml:space="preserve">3.1 </w:t>
            </w:r>
            <w:r w:rsidR="004101E7" w:rsidRPr="002B136D">
              <w:rPr>
                <w:rFonts w:cs="Times New Roman"/>
                <w:szCs w:val="28"/>
              </w:rPr>
              <w:t>Клинические проявления эндокринной офтальмопатии с учетом половых и возрастных особенностей, активности и тяжести заболевания</w:t>
            </w:r>
          </w:p>
        </w:tc>
        <w:tc>
          <w:tcPr>
            <w:tcW w:w="567" w:type="dxa"/>
          </w:tcPr>
          <w:p w14:paraId="7CE95186" w14:textId="77777777" w:rsidR="002B136D" w:rsidRPr="002B136D" w:rsidRDefault="002B136D" w:rsidP="002B136D">
            <w:pPr>
              <w:pStyle w:val="ae"/>
              <w:jc w:val="center"/>
              <w:rPr>
                <w:rFonts w:ascii="Times New Roman" w:hAnsi="Times New Roman" w:cs="Times New Roman"/>
                <w:sz w:val="28"/>
                <w:szCs w:val="28"/>
              </w:rPr>
            </w:pPr>
          </w:p>
          <w:p w14:paraId="667A4E19" w14:textId="6A63BCD5" w:rsidR="00D77B6D" w:rsidRPr="009B664D" w:rsidRDefault="009B664D" w:rsidP="002B136D">
            <w:pPr>
              <w:pStyle w:val="ae"/>
              <w:jc w:val="center"/>
              <w:rPr>
                <w:rFonts w:ascii="Times New Roman" w:hAnsi="Times New Roman" w:cs="Times New Roman"/>
                <w:sz w:val="28"/>
                <w:szCs w:val="28"/>
              </w:rPr>
            </w:pPr>
            <w:r>
              <w:rPr>
                <w:rFonts w:ascii="Times New Roman" w:hAnsi="Times New Roman" w:cs="Times New Roman"/>
                <w:sz w:val="28"/>
                <w:szCs w:val="28"/>
              </w:rPr>
              <w:t>54</w:t>
            </w:r>
          </w:p>
        </w:tc>
      </w:tr>
      <w:tr w:rsidR="002B136D" w:rsidRPr="002B136D" w14:paraId="5980FDC1" w14:textId="77777777" w:rsidTr="009B664D">
        <w:tc>
          <w:tcPr>
            <w:tcW w:w="9072" w:type="dxa"/>
          </w:tcPr>
          <w:p w14:paraId="011515C6" w14:textId="3E933CD7" w:rsidR="00D77B6D" w:rsidRPr="002B136D" w:rsidRDefault="00BB5158" w:rsidP="002C46A8">
            <w:pPr>
              <w:contextualSpacing/>
              <w:jc w:val="both"/>
              <w:rPr>
                <w:szCs w:val="28"/>
                <w:highlight w:val="yellow"/>
                <w:lang w:val="kk-KZ"/>
              </w:rPr>
            </w:pPr>
            <w:r w:rsidRPr="002B136D">
              <w:rPr>
                <w:rFonts w:cs="Times New Roman"/>
                <w:szCs w:val="28"/>
              </w:rPr>
              <w:t>3.2</w:t>
            </w:r>
            <w:r w:rsidR="00D1745B" w:rsidRPr="002B136D">
              <w:rPr>
                <w:rFonts w:cs="Times New Roman"/>
                <w:szCs w:val="28"/>
              </w:rPr>
              <w:t xml:space="preserve"> </w:t>
            </w:r>
            <w:r w:rsidR="00D61D2F" w:rsidRPr="002B136D">
              <w:rPr>
                <w:szCs w:val="28"/>
              </w:rPr>
              <w:t>Уровни IL-17 и IL-38 в сыворотке, слезе и ретробульбарной клетчатке в зависимости от активности и тяжести эндокринной офтальмопатии</w:t>
            </w:r>
          </w:p>
        </w:tc>
        <w:tc>
          <w:tcPr>
            <w:tcW w:w="567" w:type="dxa"/>
          </w:tcPr>
          <w:p w14:paraId="1F03B110" w14:textId="77777777" w:rsidR="002B136D" w:rsidRPr="002B136D" w:rsidRDefault="002B136D" w:rsidP="002B136D">
            <w:pPr>
              <w:pStyle w:val="ae"/>
              <w:jc w:val="center"/>
              <w:rPr>
                <w:rFonts w:ascii="Times New Roman" w:hAnsi="Times New Roman" w:cs="Times New Roman"/>
                <w:sz w:val="28"/>
                <w:szCs w:val="28"/>
              </w:rPr>
            </w:pPr>
          </w:p>
          <w:p w14:paraId="20F10607" w14:textId="12DBA787" w:rsidR="00D77B6D" w:rsidRPr="002B136D" w:rsidRDefault="00B03946" w:rsidP="002B136D">
            <w:pPr>
              <w:pStyle w:val="ae"/>
              <w:jc w:val="center"/>
              <w:rPr>
                <w:rFonts w:ascii="Times New Roman" w:hAnsi="Times New Roman" w:cs="Times New Roman"/>
                <w:sz w:val="28"/>
                <w:szCs w:val="28"/>
                <w:lang w:val="kk-KZ"/>
              </w:rPr>
            </w:pPr>
            <w:r w:rsidRPr="002B136D">
              <w:rPr>
                <w:rFonts w:ascii="Times New Roman" w:hAnsi="Times New Roman" w:cs="Times New Roman"/>
                <w:sz w:val="28"/>
                <w:szCs w:val="28"/>
                <w:lang w:val="kk-KZ"/>
              </w:rPr>
              <w:t>6</w:t>
            </w:r>
            <w:r w:rsidR="009B664D">
              <w:rPr>
                <w:rFonts w:ascii="Times New Roman" w:hAnsi="Times New Roman" w:cs="Times New Roman"/>
                <w:sz w:val="28"/>
                <w:szCs w:val="28"/>
                <w:lang w:val="kk-KZ"/>
              </w:rPr>
              <w:t>4</w:t>
            </w:r>
          </w:p>
        </w:tc>
      </w:tr>
      <w:tr w:rsidR="002B136D" w:rsidRPr="002B136D" w14:paraId="408A3186" w14:textId="77777777" w:rsidTr="009B664D">
        <w:tc>
          <w:tcPr>
            <w:tcW w:w="9072" w:type="dxa"/>
          </w:tcPr>
          <w:p w14:paraId="720038F2" w14:textId="22E48486" w:rsidR="00D77B6D" w:rsidRPr="002B136D" w:rsidRDefault="00AD483F" w:rsidP="002C46A8">
            <w:pPr>
              <w:jc w:val="both"/>
              <w:rPr>
                <w:rFonts w:cs="Times New Roman"/>
                <w:szCs w:val="28"/>
              </w:rPr>
            </w:pPr>
            <w:r w:rsidRPr="002B136D">
              <w:rPr>
                <w:rFonts w:cs="Times New Roman"/>
                <w:szCs w:val="28"/>
              </w:rPr>
              <w:t>3.3</w:t>
            </w:r>
            <w:r w:rsidR="00CA2B93" w:rsidRPr="002B136D">
              <w:rPr>
                <w:rFonts w:cs="Times New Roman"/>
                <w:szCs w:val="28"/>
              </w:rPr>
              <w:t xml:space="preserve"> Гистологическая и иммуногистохимическая оценк</w:t>
            </w:r>
            <w:proofErr w:type="gramStart"/>
            <w:r w:rsidR="00CA2B93" w:rsidRPr="002B136D">
              <w:rPr>
                <w:rFonts w:cs="Times New Roman"/>
                <w:szCs w:val="28"/>
              </w:rPr>
              <w:t>a</w:t>
            </w:r>
            <w:proofErr w:type="gramEnd"/>
            <w:r w:rsidR="00CA2B93" w:rsidRPr="002B136D">
              <w:rPr>
                <w:rFonts w:cs="Times New Roman"/>
                <w:szCs w:val="28"/>
              </w:rPr>
              <w:t xml:space="preserve"> в исследуемых группах</w:t>
            </w:r>
          </w:p>
        </w:tc>
        <w:tc>
          <w:tcPr>
            <w:tcW w:w="567" w:type="dxa"/>
          </w:tcPr>
          <w:p w14:paraId="6E796EF7" w14:textId="77777777" w:rsidR="009B664D" w:rsidRDefault="009B664D" w:rsidP="002B136D">
            <w:pPr>
              <w:pStyle w:val="ae"/>
              <w:jc w:val="center"/>
              <w:rPr>
                <w:rFonts w:ascii="Times New Roman" w:hAnsi="Times New Roman" w:cs="Times New Roman"/>
                <w:sz w:val="28"/>
                <w:szCs w:val="28"/>
              </w:rPr>
            </w:pPr>
          </w:p>
          <w:p w14:paraId="0D95A290" w14:textId="5AF13EE2" w:rsidR="00D77B6D" w:rsidRPr="009B664D" w:rsidRDefault="00B03946"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7</w:t>
            </w:r>
            <w:r w:rsidR="009B664D">
              <w:rPr>
                <w:rFonts w:ascii="Times New Roman" w:hAnsi="Times New Roman" w:cs="Times New Roman"/>
                <w:sz w:val="28"/>
                <w:szCs w:val="28"/>
              </w:rPr>
              <w:t>2</w:t>
            </w:r>
          </w:p>
        </w:tc>
      </w:tr>
      <w:tr w:rsidR="002B136D" w:rsidRPr="002B136D" w14:paraId="62E2D619" w14:textId="77777777" w:rsidTr="009B664D">
        <w:tc>
          <w:tcPr>
            <w:tcW w:w="9072" w:type="dxa"/>
          </w:tcPr>
          <w:p w14:paraId="1AB41384" w14:textId="4EADB947" w:rsidR="00D77B6D" w:rsidRPr="002B136D" w:rsidRDefault="00AD483F" w:rsidP="002C46A8">
            <w:pPr>
              <w:jc w:val="both"/>
              <w:rPr>
                <w:rFonts w:cs="Times New Roman"/>
                <w:szCs w:val="28"/>
              </w:rPr>
            </w:pPr>
            <w:r w:rsidRPr="002B136D">
              <w:rPr>
                <w:rFonts w:cs="Times New Roman"/>
                <w:szCs w:val="28"/>
              </w:rPr>
              <w:t>3.4</w:t>
            </w:r>
            <w:r w:rsidR="00CA2B93" w:rsidRPr="002B136D">
              <w:rPr>
                <w:rFonts w:cs="Times New Roman"/>
                <w:szCs w:val="28"/>
              </w:rPr>
              <w:t xml:space="preserve"> </w:t>
            </w:r>
            <w:r w:rsidR="004101E7" w:rsidRPr="002B136D">
              <w:rPr>
                <w:rFonts w:cs="Times New Roman"/>
                <w:szCs w:val="28"/>
              </w:rPr>
              <w:t>Влияние полиморфизмов генов IL-17 и IL-38 на развитие эндокринной офтальмопатии и их связь с активностью и тяжестью заболевания</w:t>
            </w:r>
          </w:p>
        </w:tc>
        <w:tc>
          <w:tcPr>
            <w:tcW w:w="567" w:type="dxa"/>
          </w:tcPr>
          <w:p w14:paraId="33430185" w14:textId="77777777" w:rsidR="009B664D" w:rsidRDefault="009B664D" w:rsidP="002B136D">
            <w:pPr>
              <w:pStyle w:val="ae"/>
              <w:jc w:val="center"/>
              <w:rPr>
                <w:rFonts w:ascii="Times New Roman" w:hAnsi="Times New Roman" w:cs="Times New Roman"/>
                <w:sz w:val="28"/>
                <w:szCs w:val="28"/>
              </w:rPr>
            </w:pPr>
          </w:p>
          <w:p w14:paraId="476F1EF3" w14:textId="77777777" w:rsidR="009B664D" w:rsidRDefault="009B664D" w:rsidP="002B136D">
            <w:pPr>
              <w:pStyle w:val="ae"/>
              <w:jc w:val="center"/>
              <w:rPr>
                <w:rFonts w:ascii="Times New Roman" w:hAnsi="Times New Roman" w:cs="Times New Roman"/>
                <w:sz w:val="28"/>
                <w:szCs w:val="28"/>
              </w:rPr>
            </w:pPr>
          </w:p>
          <w:p w14:paraId="095D7F21" w14:textId="2C5D9E8E" w:rsidR="00D77B6D" w:rsidRPr="009B664D" w:rsidRDefault="009B664D" w:rsidP="002B136D">
            <w:pPr>
              <w:pStyle w:val="ae"/>
              <w:jc w:val="center"/>
              <w:rPr>
                <w:rFonts w:ascii="Times New Roman" w:hAnsi="Times New Roman" w:cs="Times New Roman"/>
                <w:sz w:val="28"/>
                <w:szCs w:val="28"/>
              </w:rPr>
            </w:pPr>
            <w:r>
              <w:rPr>
                <w:rFonts w:ascii="Times New Roman" w:hAnsi="Times New Roman" w:cs="Times New Roman"/>
                <w:sz w:val="28"/>
                <w:szCs w:val="28"/>
              </w:rPr>
              <w:t>78</w:t>
            </w:r>
          </w:p>
        </w:tc>
      </w:tr>
      <w:tr w:rsidR="002B136D" w:rsidRPr="002B136D" w14:paraId="64399E78" w14:textId="77777777" w:rsidTr="009B664D">
        <w:tc>
          <w:tcPr>
            <w:tcW w:w="9072" w:type="dxa"/>
          </w:tcPr>
          <w:p w14:paraId="116CE7FB" w14:textId="3152BE93" w:rsidR="00D77B6D" w:rsidRPr="002B136D" w:rsidRDefault="009E2BCB" w:rsidP="002C46A8">
            <w:pPr>
              <w:jc w:val="both"/>
              <w:rPr>
                <w:rFonts w:cs="Times New Roman"/>
                <w:szCs w:val="28"/>
              </w:rPr>
            </w:pPr>
            <w:r w:rsidRPr="002B136D">
              <w:rPr>
                <w:rFonts w:cs="Times New Roman"/>
                <w:szCs w:val="28"/>
              </w:rPr>
              <w:t>3.</w:t>
            </w:r>
            <w:r w:rsidR="00AD483F" w:rsidRPr="002B136D">
              <w:rPr>
                <w:rFonts w:cs="Times New Roman"/>
                <w:szCs w:val="28"/>
              </w:rPr>
              <w:t>5</w:t>
            </w:r>
            <w:r w:rsidR="00CA2B93" w:rsidRPr="002B136D">
              <w:rPr>
                <w:rFonts w:cs="Times New Roman"/>
                <w:szCs w:val="28"/>
              </w:rPr>
              <w:t xml:space="preserve"> </w:t>
            </w:r>
            <w:r w:rsidR="006B0230" w:rsidRPr="006B0230">
              <w:rPr>
                <w:rFonts w:cs="Times New Roman"/>
                <w:szCs w:val="28"/>
              </w:rPr>
              <w:t>Разработка прогностической модели клинического течения эндокринной офтальмопатии на основе её генетических и иммунологических особенностей.</w:t>
            </w:r>
          </w:p>
        </w:tc>
        <w:tc>
          <w:tcPr>
            <w:tcW w:w="567" w:type="dxa"/>
          </w:tcPr>
          <w:p w14:paraId="5C4B355F" w14:textId="77777777" w:rsidR="009B664D" w:rsidRDefault="009B664D" w:rsidP="002B136D">
            <w:pPr>
              <w:pStyle w:val="ae"/>
              <w:jc w:val="center"/>
              <w:rPr>
                <w:rFonts w:ascii="Times New Roman" w:hAnsi="Times New Roman" w:cs="Times New Roman"/>
                <w:sz w:val="28"/>
                <w:szCs w:val="28"/>
              </w:rPr>
            </w:pPr>
          </w:p>
          <w:p w14:paraId="04A483DE" w14:textId="77777777" w:rsidR="009B664D" w:rsidRDefault="009B664D" w:rsidP="002B136D">
            <w:pPr>
              <w:pStyle w:val="ae"/>
              <w:jc w:val="center"/>
              <w:rPr>
                <w:rFonts w:ascii="Times New Roman" w:hAnsi="Times New Roman" w:cs="Times New Roman"/>
                <w:sz w:val="28"/>
                <w:szCs w:val="28"/>
              </w:rPr>
            </w:pPr>
          </w:p>
          <w:p w14:paraId="1A0C482D" w14:textId="1045B632" w:rsidR="00D77B6D" w:rsidRPr="009B664D" w:rsidRDefault="009B664D" w:rsidP="002B136D">
            <w:pPr>
              <w:pStyle w:val="ae"/>
              <w:jc w:val="center"/>
              <w:rPr>
                <w:rFonts w:ascii="Times New Roman" w:hAnsi="Times New Roman" w:cs="Times New Roman"/>
                <w:sz w:val="28"/>
                <w:szCs w:val="28"/>
              </w:rPr>
            </w:pPr>
            <w:r>
              <w:rPr>
                <w:rFonts w:ascii="Times New Roman" w:hAnsi="Times New Roman" w:cs="Times New Roman"/>
                <w:sz w:val="28"/>
                <w:szCs w:val="28"/>
              </w:rPr>
              <w:t>86</w:t>
            </w:r>
          </w:p>
        </w:tc>
      </w:tr>
      <w:tr w:rsidR="002B136D" w:rsidRPr="002B136D" w14:paraId="2014076E" w14:textId="77777777" w:rsidTr="009B664D">
        <w:tc>
          <w:tcPr>
            <w:tcW w:w="9072" w:type="dxa"/>
          </w:tcPr>
          <w:p w14:paraId="2712F1D7" w14:textId="15637F88" w:rsidR="00D77B6D" w:rsidRPr="002B136D" w:rsidRDefault="00D77B6D" w:rsidP="002C46A8">
            <w:pPr>
              <w:pStyle w:val="ae"/>
              <w:jc w:val="both"/>
              <w:rPr>
                <w:rFonts w:ascii="Times New Roman" w:hAnsi="Times New Roman" w:cs="Times New Roman"/>
                <w:b/>
                <w:sz w:val="28"/>
                <w:szCs w:val="28"/>
              </w:rPr>
            </w:pPr>
            <w:r w:rsidRPr="002B136D">
              <w:rPr>
                <w:rFonts w:ascii="Times New Roman" w:hAnsi="Times New Roman" w:cs="Times New Roman"/>
                <w:b/>
                <w:sz w:val="28"/>
                <w:szCs w:val="28"/>
              </w:rPr>
              <w:t>ЗАКЛЮЧЕНИЕ</w:t>
            </w:r>
          </w:p>
        </w:tc>
        <w:tc>
          <w:tcPr>
            <w:tcW w:w="567" w:type="dxa"/>
          </w:tcPr>
          <w:p w14:paraId="1CD4858C" w14:textId="47124067" w:rsidR="00D77B6D" w:rsidRPr="002B136D" w:rsidRDefault="009B664D" w:rsidP="002B136D">
            <w:pPr>
              <w:pStyle w:val="ae"/>
              <w:jc w:val="center"/>
              <w:rPr>
                <w:rFonts w:ascii="Times New Roman" w:hAnsi="Times New Roman" w:cs="Times New Roman"/>
                <w:sz w:val="28"/>
                <w:szCs w:val="28"/>
                <w:lang w:val="kk-KZ"/>
              </w:rPr>
            </w:pPr>
            <w:r>
              <w:rPr>
                <w:rFonts w:ascii="Times New Roman" w:hAnsi="Times New Roman" w:cs="Times New Roman"/>
                <w:sz w:val="28"/>
                <w:szCs w:val="28"/>
                <w:lang w:val="kk-KZ"/>
              </w:rPr>
              <w:t>94</w:t>
            </w:r>
          </w:p>
        </w:tc>
      </w:tr>
      <w:tr w:rsidR="002B136D" w:rsidRPr="002B136D" w14:paraId="76203E2D" w14:textId="77777777" w:rsidTr="009B664D">
        <w:tc>
          <w:tcPr>
            <w:tcW w:w="9072" w:type="dxa"/>
          </w:tcPr>
          <w:p w14:paraId="3B6DC9F3" w14:textId="715B79C2" w:rsidR="00D77B6D" w:rsidRPr="002B136D" w:rsidRDefault="00D77B6D" w:rsidP="002C46A8">
            <w:pPr>
              <w:pStyle w:val="ae"/>
              <w:jc w:val="both"/>
              <w:rPr>
                <w:rFonts w:ascii="Times New Roman" w:hAnsi="Times New Roman" w:cs="Times New Roman"/>
                <w:b/>
                <w:sz w:val="28"/>
                <w:szCs w:val="28"/>
              </w:rPr>
            </w:pPr>
            <w:r w:rsidRPr="002B136D">
              <w:rPr>
                <w:rFonts w:ascii="Times New Roman" w:hAnsi="Times New Roman" w:cs="Times New Roman"/>
                <w:b/>
                <w:sz w:val="28"/>
                <w:szCs w:val="28"/>
              </w:rPr>
              <w:t xml:space="preserve">СПИСОК ИСПОЛЬЗОВАННЫХ ИСТОЧНИКОВ </w:t>
            </w:r>
          </w:p>
        </w:tc>
        <w:tc>
          <w:tcPr>
            <w:tcW w:w="567" w:type="dxa"/>
          </w:tcPr>
          <w:p w14:paraId="7DE93196" w14:textId="58B90BB1" w:rsidR="00D77B6D" w:rsidRPr="009B664D" w:rsidRDefault="009B664D" w:rsidP="002B136D">
            <w:pPr>
              <w:pStyle w:val="ae"/>
              <w:jc w:val="center"/>
              <w:rPr>
                <w:rFonts w:ascii="Times New Roman" w:hAnsi="Times New Roman" w:cs="Times New Roman"/>
                <w:sz w:val="28"/>
                <w:szCs w:val="28"/>
              </w:rPr>
            </w:pPr>
            <w:r>
              <w:rPr>
                <w:rFonts w:ascii="Times New Roman" w:hAnsi="Times New Roman" w:cs="Times New Roman"/>
                <w:sz w:val="28"/>
                <w:szCs w:val="28"/>
              </w:rPr>
              <w:t>99</w:t>
            </w:r>
          </w:p>
        </w:tc>
      </w:tr>
      <w:tr w:rsidR="002B136D" w:rsidRPr="002B136D" w14:paraId="29AEC833" w14:textId="77777777" w:rsidTr="009B664D">
        <w:tc>
          <w:tcPr>
            <w:tcW w:w="9072" w:type="dxa"/>
          </w:tcPr>
          <w:p w14:paraId="4DFE39C3" w14:textId="7B8CD8DD" w:rsidR="00D77B6D" w:rsidRPr="002B136D" w:rsidRDefault="006B0B4D" w:rsidP="006B0B4D">
            <w:pPr>
              <w:pStyle w:val="ae"/>
              <w:jc w:val="both"/>
              <w:rPr>
                <w:rFonts w:ascii="Times New Roman" w:hAnsi="Times New Roman" w:cs="Times New Roman"/>
                <w:b/>
                <w:sz w:val="28"/>
                <w:szCs w:val="28"/>
              </w:rPr>
            </w:pPr>
            <w:r w:rsidRPr="002B136D">
              <w:rPr>
                <w:rFonts w:ascii="Times New Roman" w:hAnsi="Times New Roman" w:cs="Times New Roman"/>
                <w:b/>
                <w:sz w:val="28"/>
                <w:szCs w:val="28"/>
              </w:rPr>
              <w:t xml:space="preserve">ПРИЛОЖЕНИЕ А </w:t>
            </w:r>
            <w:r w:rsidRPr="002B136D">
              <w:rPr>
                <w:rFonts w:ascii="Times New Roman" w:hAnsi="Times New Roman" w:cs="Times New Roman"/>
                <w:sz w:val="28"/>
                <w:szCs w:val="28"/>
              </w:rPr>
              <w:t>-</w:t>
            </w:r>
            <w:r w:rsidR="002B136D" w:rsidRPr="002B136D">
              <w:rPr>
                <w:rFonts w:ascii="Times New Roman" w:hAnsi="Times New Roman" w:cs="Times New Roman"/>
                <w:sz w:val="28"/>
                <w:szCs w:val="28"/>
              </w:rPr>
              <w:t xml:space="preserve"> </w:t>
            </w:r>
            <w:r w:rsidRPr="002B136D">
              <w:rPr>
                <w:rFonts w:ascii="Times New Roman" w:hAnsi="Times New Roman" w:cs="Times New Roman"/>
                <w:sz w:val="28"/>
                <w:szCs w:val="28"/>
              </w:rPr>
              <w:t>Авторское свидетельство о внесении сведений в государственный реестр прав на объекты, охраняемые авторским правом: «Метод дифференциальной диагностики эутиреоидной формы эндокринной офтальмопатии</w:t>
            </w:r>
            <w:r w:rsidRPr="00736A51">
              <w:rPr>
                <w:rFonts w:ascii="Times New Roman" w:hAnsi="Times New Roman" w:cs="Times New Roman"/>
                <w:sz w:val="28"/>
                <w:szCs w:val="28"/>
              </w:rPr>
              <w:t>»  №</w:t>
            </w:r>
            <w:r w:rsidRPr="002B136D">
              <w:rPr>
                <w:rFonts w:ascii="Times New Roman" w:hAnsi="Times New Roman" w:cs="Times New Roman"/>
                <w:sz w:val="28"/>
                <w:szCs w:val="28"/>
              </w:rPr>
              <w:t>43185 от 16.02.2024 г.</w:t>
            </w:r>
          </w:p>
        </w:tc>
        <w:tc>
          <w:tcPr>
            <w:tcW w:w="567" w:type="dxa"/>
          </w:tcPr>
          <w:p w14:paraId="500AEB94" w14:textId="77777777" w:rsidR="009B664D" w:rsidRDefault="009B664D" w:rsidP="002B136D">
            <w:pPr>
              <w:pStyle w:val="ae"/>
              <w:jc w:val="center"/>
              <w:rPr>
                <w:rFonts w:ascii="Times New Roman" w:hAnsi="Times New Roman" w:cs="Times New Roman"/>
                <w:sz w:val="28"/>
                <w:szCs w:val="28"/>
              </w:rPr>
            </w:pPr>
          </w:p>
          <w:p w14:paraId="6AA50FB0" w14:textId="77777777" w:rsidR="009B664D" w:rsidRDefault="009B664D" w:rsidP="002B136D">
            <w:pPr>
              <w:pStyle w:val="ae"/>
              <w:jc w:val="center"/>
              <w:rPr>
                <w:rFonts w:ascii="Times New Roman" w:hAnsi="Times New Roman" w:cs="Times New Roman"/>
                <w:sz w:val="28"/>
                <w:szCs w:val="28"/>
              </w:rPr>
            </w:pPr>
          </w:p>
          <w:p w14:paraId="187FC6EF" w14:textId="77777777" w:rsidR="009B664D" w:rsidRDefault="009B664D" w:rsidP="002B136D">
            <w:pPr>
              <w:pStyle w:val="ae"/>
              <w:jc w:val="center"/>
              <w:rPr>
                <w:rFonts w:ascii="Times New Roman" w:hAnsi="Times New Roman" w:cs="Times New Roman"/>
                <w:sz w:val="28"/>
                <w:szCs w:val="28"/>
              </w:rPr>
            </w:pPr>
          </w:p>
          <w:p w14:paraId="2CFAB998" w14:textId="14F0DA1B" w:rsidR="00D77B6D" w:rsidRPr="00C179AF" w:rsidRDefault="006B0B4D"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1</w:t>
            </w:r>
            <w:r w:rsidR="00573FD1">
              <w:rPr>
                <w:rFonts w:ascii="Times New Roman" w:hAnsi="Times New Roman" w:cs="Times New Roman"/>
                <w:sz w:val="28"/>
                <w:szCs w:val="28"/>
              </w:rPr>
              <w:t>16</w:t>
            </w:r>
          </w:p>
        </w:tc>
      </w:tr>
      <w:tr w:rsidR="002B136D" w:rsidRPr="002B136D" w14:paraId="7E0A2C61" w14:textId="77777777" w:rsidTr="009B664D">
        <w:tc>
          <w:tcPr>
            <w:tcW w:w="9072" w:type="dxa"/>
          </w:tcPr>
          <w:p w14:paraId="3143070C" w14:textId="656880D5" w:rsidR="00D77B6D" w:rsidRPr="002B136D" w:rsidRDefault="006B0B4D" w:rsidP="006B0B4D">
            <w:pPr>
              <w:pStyle w:val="ae"/>
              <w:jc w:val="both"/>
              <w:rPr>
                <w:rFonts w:ascii="Times New Roman" w:hAnsi="Times New Roman" w:cs="Times New Roman"/>
                <w:b/>
                <w:sz w:val="28"/>
                <w:szCs w:val="28"/>
              </w:rPr>
            </w:pPr>
            <w:r w:rsidRPr="002B136D">
              <w:rPr>
                <w:rFonts w:ascii="Times New Roman" w:hAnsi="Times New Roman" w:cs="Times New Roman"/>
                <w:b/>
                <w:sz w:val="28"/>
                <w:szCs w:val="28"/>
              </w:rPr>
              <w:t>ПРИЛОЖЕНИЕ Б -</w:t>
            </w:r>
            <w:r w:rsidR="002B136D" w:rsidRPr="002B136D">
              <w:rPr>
                <w:rFonts w:ascii="Times New Roman" w:hAnsi="Times New Roman" w:cs="Times New Roman"/>
                <w:b/>
                <w:sz w:val="28"/>
                <w:szCs w:val="28"/>
              </w:rPr>
              <w:t xml:space="preserve"> </w:t>
            </w:r>
            <w:r w:rsidRPr="002B136D">
              <w:rPr>
                <w:rFonts w:ascii="Times New Roman" w:hAnsi="Times New Roman" w:cs="Times New Roman"/>
                <w:sz w:val="28"/>
                <w:szCs w:val="28"/>
              </w:rPr>
              <w:t>Авторское свидетельство о внесении сведений в государственный реестр прав на объекты, охраняемые авторским правом: «Прогностическая модель развития ЭОП» №44256 от 01.04.2024 г.</w:t>
            </w:r>
          </w:p>
        </w:tc>
        <w:tc>
          <w:tcPr>
            <w:tcW w:w="567" w:type="dxa"/>
          </w:tcPr>
          <w:p w14:paraId="24D72EEC" w14:textId="77777777" w:rsidR="009B664D" w:rsidRDefault="009B664D" w:rsidP="002B136D">
            <w:pPr>
              <w:pStyle w:val="ae"/>
              <w:jc w:val="center"/>
              <w:rPr>
                <w:rFonts w:ascii="Times New Roman" w:hAnsi="Times New Roman" w:cs="Times New Roman"/>
                <w:sz w:val="28"/>
                <w:szCs w:val="28"/>
              </w:rPr>
            </w:pPr>
          </w:p>
          <w:p w14:paraId="3E865FEA" w14:textId="77777777" w:rsidR="009B664D" w:rsidRDefault="009B664D" w:rsidP="002B136D">
            <w:pPr>
              <w:pStyle w:val="ae"/>
              <w:jc w:val="center"/>
              <w:rPr>
                <w:rFonts w:ascii="Times New Roman" w:hAnsi="Times New Roman" w:cs="Times New Roman"/>
                <w:sz w:val="28"/>
                <w:szCs w:val="28"/>
              </w:rPr>
            </w:pPr>
          </w:p>
          <w:p w14:paraId="73722BE0" w14:textId="30681F60" w:rsidR="00D77B6D" w:rsidRPr="00F04568" w:rsidRDefault="006B0B4D"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t>1</w:t>
            </w:r>
            <w:r w:rsidR="00573FD1">
              <w:rPr>
                <w:rFonts w:ascii="Times New Roman" w:hAnsi="Times New Roman" w:cs="Times New Roman"/>
                <w:sz w:val="28"/>
                <w:szCs w:val="28"/>
                <w:lang w:val="kk-KZ"/>
              </w:rPr>
              <w:t>17</w:t>
            </w:r>
          </w:p>
        </w:tc>
      </w:tr>
      <w:tr w:rsidR="002B136D" w:rsidRPr="002B136D" w14:paraId="71E78CE5" w14:textId="77777777" w:rsidTr="009B664D">
        <w:tc>
          <w:tcPr>
            <w:tcW w:w="9072" w:type="dxa"/>
          </w:tcPr>
          <w:p w14:paraId="675576C1" w14:textId="0A51B4AC" w:rsidR="00D77B6D" w:rsidRPr="002B136D" w:rsidRDefault="006B0B4D" w:rsidP="006B0B4D">
            <w:pPr>
              <w:pStyle w:val="ae"/>
              <w:jc w:val="both"/>
              <w:rPr>
                <w:rFonts w:ascii="Times New Roman" w:hAnsi="Times New Roman" w:cs="Times New Roman"/>
                <w:sz w:val="28"/>
                <w:szCs w:val="28"/>
              </w:rPr>
            </w:pPr>
            <w:r w:rsidRPr="002B136D">
              <w:rPr>
                <w:rFonts w:ascii="Times New Roman" w:hAnsi="Times New Roman" w:cs="Times New Roman"/>
                <w:b/>
                <w:sz w:val="28"/>
                <w:szCs w:val="28"/>
              </w:rPr>
              <w:t>ПРИЛОЖЕНИЕ В -</w:t>
            </w:r>
            <w:r w:rsidR="002B136D" w:rsidRPr="002B136D">
              <w:rPr>
                <w:rFonts w:ascii="Times New Roman" w:hAnsi="Times New Roman" w:cs="Times New Roman"/>
                <w:b/>
                <w:sz w:val="28"/>
                <w:szCs w:val="28"/>
              </w:rPr>
              <w:t xml:space="preserve"> </w:t>
            </w:r>
            <w:r w:rsidRPr="002B136D">
              <w:rPr>
                <w:rFonts w:ascii="Times New Roman" w:hAnsi="Times New Roman" w:cs="Times New Roman"/>
                <w:sz w:val="28"/>
                <w:szCs w:val="28"/>
              </w:rPr>
              <w:t xml:space="preserve">Авторское свидетельство о внесении сведений в государственный реестр прав на объекты, охраняемые авторским правом: </w:t>
            </w:r>
            <w:proofErr w:type="gramStart"/>
            <w:r w:rsidRPr="002B136D">
              <w:rPr>
                <w:rFonts w:ascii="Times New Roman" w:hAnsi="Times New Roman" w:cs="Times New Roman"/>
                <w:sz w:val="28"/>
                <w:szCs w:val="28"/>
              </w:rPr>
              <w:t xml:space="preserve">«Способ определения активности аутоиммунного процесса при </w:t>
            </w:r>
            <w:r w:rsidRPr="002B136D">
              <w:rPr>
                <w:rFonts w:ascii="Times New Roman" w:hAnsi="Times New Roman" w:cs="Times New Roman"/>
                <w:sz w:val="28"/>
                <w:szCs w:val="28"/>
              </w:rPr>
              <w:lastRenderedPageBreak/>
              <w:t>эндокринной офтальмопатии» № 43609 от 06.03.2024 г.</w:t>
            </w:r>
            <w:proofErr w:type="gramEnd"/>
          </w:p>
        </w:tc>
        <w:tc>
          <w:tcPr>
            <w:tcW w:w="567" w:type="dxa"/>
          </w:tcPr>
          <w:p w14:paraId="1FAB334F" w14:textId="77777777" w:rsidR="009B664D" w:rsidRDefault="009B664D" w:rsidP="002B136D">
            <w:pPr>
              <w:pStyle w:val="ae"/>
              <w:jc w:val="center"/>
              <w:rPr>
                <w:rFonts w:ascii="Times New Roman" w:hAnsi="Times New Roman" w:cs="Times New Roman"/>
                <w:sz w:val="28"/>
                <w:szCs w:val="28"/>
              </w:rPr>
            </w:pPr>
          </w:p>
          <w:p w14:paraId="5D56D395" w14:textId="77777777" w:rsidR="009B664D" w:rsidRDefault="009B664D" w:rsidP="002B136D">
            <w:pPr>
              <w:pStyle w:val="ae"/>
              <w:jc w:val="center"/>
              <w:rPr>
                <w:rFonts w:ascii="Times New Roman" w:hAnsi="Times New Roman" w:cs="Times New Roman"/>
                <w:sz w:val="28"/>
                <w:szCs w:val="28"/>
              </w:rPr>
            </w:pPr>
          </w:p>
          <w:p w14:paraId="7FED5C03" w14:textId="77777777" w:rsidR="009B664D" w:rsidRDefault="009B664D" w:rsidP="002B136D">
            <w:pPr>
              <w:pStyle w:val="ae"/>
              <w:jc w:val="center"/>
              <w:rPr>
                <w:rFonts w:ascii="Times New Roman" w:hAnsi="Times New Roman" w:cs="Times New Roman"/>
                <w:sz w:val="28"/>
                <w:szCs w:val="28"/>
              </w:rPr>
            </w:pPr>
          </w:p>
          <w:p w14:paraId="54B9AB25" w14:textId="1F7F68C0" w:rsidR="00D77B6D" w:rsidRPr="008D1554" w:rsidRDefault="006B0B4D"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lang w:val="en-US"/>
              </w:rPr>
              <w:lastRenderedPageBreak/>
              <w:t>1</w:t>
            </w:r>
            <w:r w:rsidR="00573FD1">
              <w:rPr>
                <w:rFonts w:ascii="Times New Roman" w:hAnsi="Times New Roman" w:cs="Times New Roman"/>
                <w:sz w:val="28"/>
                <w:szCs w:val="28"/>
              </w:rPr>
              <w:t>18</w:t>
            </w:r>
          </w:p>
        </w:tc>
      </w:tr>
      <w:tr w:rsidR="002B136D" w:rsidRPr="002B136D" w14:paraId="48D2A8F7" w14:textId="77777777" w:rsidTr="009B664D">
        <w:tc>
          <w:tcPr>
            <w:tcW w:w="9072" w:type="dxa"/>
          </w:tcPr>
          <w:p w14:paraId="0A9CA649" w14:textId="58A4FC74" w:rsidR="006B0B4D" w:rsidRPr="002B136D" w:rsidRDefault="006B0B4D" w:rsidP="00A53DB4">
            <w:pPr>
              <w:jc w:val="both"/>
              <w:rPr>
                <w:rFonts w:cs="Times New Roman"/>
                <w:szCs w:val="28"/>
              </w:rPr>
            </w:pPr>
            <w:r w:rsidRPr="002B136D">
              <w:rPr>
                <w:rFonts w:cs="Times New Roman"/>
                <w:b/>
                <w:szCs w:val="28"/>
              </w:rPr>
              <w:lastRenderedPageBreak/>
              <w:t>ПРИЛОЖЕНИЕ Г</w:t>
            </w:r>
            <w:r w:rsidR="00153CBD" w:rsidRPr="002B136D">
              <w:rPr>
                <w:rFonts w:cs="Times New Roman"/>
                <w:b/>
                <w:szCs w:val="28"/>
              </w:rPr>
              <w:t xml:space="preserve"> </w:t>
            </w:r>
            <w:r w:rsidR="00153CBD" w:rsidRPr="002B136D">
              <w:rPr>
                <w:rFonts w:cs="Times New Roman"/>
                <w:szCs w:val="28"/>
              </w:rPr>
              <w:t xml:space="preserve">- Акт внедрения </w:t>
            </w:r>
            <w:r w:rsidR="00153CBD" w:rsidRPr="002B136D">
              <w:rPr>
                <w:rFonts w:cs="Times New Roman"/>
                <w:szCs w:val="28"/>
                <w:lang w:val="kk-KZ"/>
              </w:rPr>
              <w:t>№135 от 18</w:t>
            </w:r>
            <w:r w:rsidR="00BB1C36" w:rsidRPr="002B136D">
              <w:rPr>
                <w:rFonts w:cs="Times New Roman"/>
                <w:szCs w:val="28"/>
                <w:lang w:val="kk-KZ"/>
              </w:rPr>
              <w:t>.03.</w:t>
            </w:r>
            <w:r w:rsidR="00153CBD" w:rsidRPr="002B136D">
              <w:rPr>
                <w:rFonts w:cs="Times New Roman"/>
                <w:szCs w:val="28"/>
                <w:lang w:val="kk-KZ"/>
              </w:rPr>
              <w:t xml:space="preserve"> 2025г. в ТОО «Казахский научно-исследовательский институт глазных болезней», «</w:t>
            </w:r>
            <w:r w:rsidR="00153CBD" w:rsidRPr="002B136D">
              <w:rPr>
                <w:rFonts w:cs="Times New Roman"/>
                <w:szCs w:val="28"/>
              </w:rPr>
              <w:t>Разработка прогностической модели развития эндокринной офтальмопатии</w:t>
            </w:r>
            <w:r w:rsidR="00153CBD" w:rsidRPr="002B136D">
              <w:rPr>
                <w:rFonts w:cs="Times New Roman"/>
                <w:szCs w:val="28"/>
                <w:lang w:val="kk-KZ"/>
              </w:rPr>
              <w:t>»</w:t>
            </w:r>
          </w:p>
        </w:tc>
        <w:tc>
          <w:tcPr>
            <w:tcW w:w="567" w:type="dxa"/>
          </w:tcPr>
          <w:p w14:paraId="3F9B3A79" w14:textId="77777777" w:rsidR="009B664D" w:rsidRDefault="009B664D" w:rsidP="002B136D">
            <w:pPr>
              <w:pStyle w:val="ae"/>
              <w:jc w:val="center"/>
              <w:rPr>
                <w:rFonts w:ascii="Times New Roman" w:hAnsi="Times New Roman" w:cs="Times New Roman"/>
                <w:sz w:val="28"/>
                <w:szCs w:val="28"/>
              </w:rPr>
            </w:pPr>
          </w:p>
          <w:p w14:paraId="614CA6AA" w14:textId="77777777" w:rsidR="009B664D" w:rsidRDefault="009B664D" w:rsidP="002B136D">
            <w:pPr>
              <w:pStyle w:val="ae"/>
              <w:jc w:val="center"/>
              <w:rPr>
                <w:rFonts w:ascii="Times New Roman" w:hAnsi="Times New Roman" w:cs="Times New Roman"/>
                <w:sz w:val="28"/>
                <w:szCs w:val="28"/>
              </w:rPr>
            </w:pPr>
          </w:p>
          <w:p w14:paraId="01AD7343" w14:textId="77777777" w:rsidR="009B664D" w:rsidRDefault="009B664D" w:rsidP="002B136D">
            <w:pPr>
              <w:pStyle w:val="ae"/>
              <w:jc w:val="center"/>
              <w:rPr>
                <w:rFonts w:ascii="Times New Roman" w:hAnsi="Times New Roman" w:cs="Times New Roman"/>
                <w:sz w:val="28"/>
                <w:szCs w:val="28"/>
              </w:rPr>
            </w:pPr>
          </w:p>
          <w:p w14:paraId="36A3E69B" w14:textId="6AED30E2" w:rsidR="006B0B4D" w:rsidRPr="007325E7" w:rsidRDefault="00616111"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1</w:t>
            </w:r>
            <w:r w:rsidR="00573FD1">
              <w:rPr>
                <w:rFonts w:ascii="Times New Roman" w:hAnsi="Times New Roman" w:cs="Times New Roman"/>
                <w:sz w:val="28"/>
                <w:szCs w:val="28"/>
              </w:rPr>
              <w:t>19</w:t>
            </w:r>
          </w:p>
        </w:tc>
      </w:tr>
      <w:tr w:rsidR="002B136D" w:rsidRPr="002B136D" w14:paraId="0FA0A28B" w14:textId="77777777" w:rsidTr="009B664D">
        <w:tc>
          <w:tcPr>
            <w:tcW w:w="9072" w:type="dxa"/>
          </w:tcPr>
          <w:p w14:paraId="6A6A98CB" w14:textId="6CB1B9D4" w:rsidR="006B0B4D" w:rsidRPr="002B136D" w:rsidRDefault="006B0B4D" w:rsidP="007325E7">
            <w:pPr>
              <w:jc w:val="both"/>
              <w:rPr>
                <w:rFonts w:cs="Times New Roman"/>
                <w:szCs w:val="28"/>
                <w:lang w:val="kk-KZ"/>
              </w:rPr>
            </w:pPr>
            <w:r w:rsidRPr="002B136D">
              <w:rPr>
                <w:rFonts w:cs="Times New Roman"/>
                <w:b/>
                <w:szCs w:val="28"/>
              </w:rPr>
              <w:t>ПРИЛОЖЕНИЕ Д</w:t>
            </w:r>
            <w:r w:rsidR="00153CBD" w:rsidRPr="002B136D">
              <w:rPr>
                <w:rFonts w:cs="Times New Roman"/>
                <w:b/>
                <w:szCs w:val="28"/>
              </w:rPr>
              <w:t xml:space="preserve"> - </w:t>
            </w:r>
            <w:r w:rsidR="00153CBD" w:rsidRPr="002B136D">
              <w:rPr>
                <w:rFonts w:cs="Times New Roman"/>
                <w:szCs w:val="28"/>
              </w:rPr>
              <w:t xml:space="preserve">Акт внедрения </w:t>
            </w:r>
            <w:r w:rsidR="00CA2EE9" w:rsidRPr="002B136D">
              <w:rPr>
                <w:rFonts w:cs="Times New Roman"/>
                <w:szCs w:val="28"/>
              </w:rPr>
              <w:t>№2 от 03.03.</w:t>
            </w:r>
            <w:r w:rsidR="00153CBD" w:rsidRPr="007325E7">
              <w:rPr>
                <w:rFonts w:cs="Times New Roman"/>
                <w:szCs w:val="28"/>
              </w:rPr>
              <w:t>2025г.</w:t>
            </w:r>
            <w:r w:rsidR="007325E7">
              <w:rPr>
                <w:rFonts w:cs="Times New Roman"/>
                <w:szCs w:val="28"/>
              </w:rPr>
              <w:t xml:space="preserve"> </w:t>
            </w:r>
            <w:r w:rsidR="007325E7" w:rsidRPr="007325E7">
              <w:rPr>
                <w:rFonts w:cs="Times New Roman"/>
                <w:szCs w:val="28"/>
              </w:rPr>
              <w:t>в</w:t>
            </w:r>
            <w:r w:rsidR="007325E7">
              <w:rPr>
                <w:rFonts w:cs="Times New Roman"/>
                <w:szCs w:val="28"/>
              </w:rPr>
              <w:t xml:space="preserve"> </w:t>
            </w:r>
            <w:r w:rsidR="00153CBD" w:rsidRPr="007325E7">
              <w:rPr>
                <w:rFonts w:cs="Times New Roman"/>
                <w:szCs w:val="28"/>
                <w:lang w:val="kk-KZ"/>
              </w:rPr>
              <w:t xml:space="preserve">ТОО </w:t>
            </w:r>
            <w:r w:rsidR="00153CBD" w:rsidRPr="002B136D">
              <w:rPr>
                <w:rFonts w:cs="Times New Roman"/>
                <w:szCs w:val="28"/>
                <w:lang w:val="kk-KZ"/>
              </w:rPr>
              <w:t>“Институт эндокринологии” г. Алматы, «</w:t>
            </w:r>
            <w:r w:rsidR="00153CBD" w:rsidRPr="002B136D">
              <w:rPr>
                <w:rFonts w:cs="Times New Roman"/>
                <w:szCs w:val="28"/>
              </w:rPr>
              <w:t xml:space="preserve">Прогностическая модель развития </w:t>
            </w:r>
            <w:r w:rsidR="00153CBD" w:rsidRPr="002B136D">
              <w:rPr>
                <w:rFonts w:cs="Times New Roman"/>
                <w:szCs w:val="28"/>
                <w:lang w:val="kk-KZ"/>
              </w:rPr>
              <w:t>эндокринной офтальмопатии»</w:t>
            </w:r>
          </w:p>
        </w:tc>
        <w:tc>
          <w:tcPr>
            <w:tcW w:w="567" w:type="dxa"/>
          </w:tcPr>
          <w:p w14:paraId="7FA93D5C" w14:textId="77777777" w:rsidR="009B664D" w:rsidRDefault="009B664D" w:rsidP="002B136D">
            <w:pPr>
              <w:pStyle w:val="ae"/>
              <w:jc w:val="center"/>
              <w:rPr>
                <w:rFonts w:ascii="Times New Roman" w:hAnsi="Times New Roman" w:cs="Times New Roman"/>
                <w:sz w:val="28"/>
                <w:szCs w:val="28"/>
              </w:rPr>
            </w:pPr>
          </w:p>
          <w:p w14:paraId="1DD95EDF" w14:textId="77777777" w:rsidR="009B664D" w:rsidRDefault="009B664D" w:rsidP="002B136D">
            <w:pPr>
              <w:pStyle w:val="ae"/>
              <w:jc w:val="center"/>
              <w:rPr>
                <w:rFonts w:ascii="Times New Roman" w:hAnsi="Times New Roman" w:cs="Times New Roman"/>
                <w:sz w:val="28"/>
                <w:szCs w:val="28"/>
              </w:rPr>
            </w:pPr>
          </w:p>
          <w:p w14:paraId="16748861" w14:textId="1A3E36E6" w:rsidR="006B0B4D" w:rsidRPr="009B664D" w:rsidRDefault="00616111"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1</w:t>
            </w:r>
            <w:r w:rsidR="00573FD1">
              <w:rPr>
                <w:rFonts w:ascii="Times New Roman" w:hAnsi="Times New Roman" w:cs="Times New Roman"/>
                <w:sz w:val="28"/>
                <w:szCs w:val="28"/>
              </w:rPr>
              <w:t>20</w:t>
            </w:r>
          </w:p>
        </w:tc>
      </w:tr>
      <w:tr w:rsidR="002B136D" w:rsidRPr="002B136D" w14:paraId="05D74224" w14:textId="77777777" w:rsidTr="009B664D">
        <w:tc>
          <w:tcPr>
            <w:tcW w:w="9072" w:type="dxa"/>
          </w:tcPr>
          <w:p w14:paraId="1C2F554C" w14:textId="264FA621" w:rsidR="006B0B4D" w:rsidRPr="002B136D" w:rsidRDefault="006B0B4D" w:rsidP="00A53DB4">
            <w:pPr>
              <w:tabs>
                <w:tab w:val="left" w:pos="2748"/>
              </w:tabs>
              <w:jc w:val="both"/>
              <w:rPr>
                <w:rFonts w:cs="Times New Roman"/>
                <w:b/>
                <w:szCs w:val="28"/>
                <w:lang w:val="kk-KZ"/>
              </w:rPr>
            </w:pPr>
            <w:r w:rsidRPr="002B136D">
              <w:rPr>
                <w:rFonts w:cs="Times New Roman"/>
                <w:b/>
                <w:szCs w:val="28"/>
              </w:rPr>
              <w:t>ПРИЛОЖЕНИЕ Е</w:t>
            </w:r>
            <w:r w:rsidR="00153CBD" w:rsidRPr="002B136D">
              <w:rPr>
                <w:rFonts w:cs="Times New Roman"/>
                <w:b/>
                <w:szCs w:val="28"/>
              </w:rPr>
              <w:t xml:space="preserve"> </w:t>
            </w:r>
            <w:r w:rsidR="00153CBD" w:rsidRPr="002B136D">
              <w:rPr>
                <w:rFonts w:cs="Times New Roman"/>
                <w:szCs w:val="28"/>
              </w:rPr>
              <w:t>- Акт внедрения</w:t>
            </w:r>
            <w:r w:rsidR="00153CBD" w:rsidRPr="002B136D">
              <w:rPr>
                <w:rFonts w:cs="Times New Roman"/>
                <w:szCs w:val="28"/>
                <w:lang w:val="kk-KZ"/>
              </w:rPr>
              <w:t xml:space="preserve"> в </w:t>
            </w:r>
            <w:r w:rsidR="00153CBD" w:rsidRPr="002B136D">
              <w:rPr>
                <w:rFonts w:cs="Times New Roman"/>
                <w:bCs/>
                <w:szCs w:val="28"/>
              </w:rPr>
              <w:t>ГКП на ПХВ «Алматинская Многопрофильная Клиническая Больница»,</w:t>
            </w:r>
            <w:r w:rsidR="00153CBD" w:rsidRPr="002B136D">
              <w:rPr>
                <w:rFonts w:cs="Times New Roman"/>
                <w:szCs w:val="28"/>
                <w:lang w:val="kk-KZ"/>
              </w:rPr>
              <w:t xml:space="preserve"> </w:t>
            </w:r>
            <w:r w:rsidR="00153CBD" w:rsidRPr="002B136D">
              <w:rPr>
                <w:rFonts w:cs="Times New Roman"/>
                <w:bCs/>
                <w:szCs w:val="28"/>
                <w:lang w:val="kk-KZ"/>
              </w:rPr>
              <w:t>«</w:t>
            </w:r>
            <w:r w:rsidR="00153CBD" w:rsidRPr="002B136D">
              <w:rPr>
                <w:rFonts w:cs="Times New Roman"/>
                <w:bCs/>
                <w:szCs w:val="28"/>
              </w:rPr>
              <w:t xml:space="preserve">Прогностическая модель развития </w:t>
            </w:r>
            <w:proofErr w:type="gramStart"/>
            <w:r w:rsidR="00153CBD" w:rsidRPr="002B136D">
              <w:rPr>
                <w:rFonts w:cs="Times New Roman"/>
                <w:bCs/>
                <w:szCs w:val="28"/>
                <w:lang w:val="kk-KZ"/>
              </w:rPr>
              <w:t>эндокринной</w:t>
            </w:r>
            <w:proofErr w:type="gramEnd"/>
            <w:r w:rsidR="00153CBD" w:rsidRPr="002B136D">
              <w:rPr>
                <w:rFonts w:cs="Times New Roman"/>
                <w:bCs/>
                <w:szCs w:val="28"/>
                <w:lang w:val="kk-KZ"/>
              </w:rPr>
              <w:t xml:space="preserve"> офтальмопатии</w:t>
            </w:r>
            <w:r w:rsidR="00153CBD" w:rsidRPr="002B136D">
              <w:rPr>
                <w:rFonts w:cs="Times New Roman"/>
                <w:b/>
                <w:bCs/>
                <w:szCs w:val="28"/>
                <w:lang w:val="kk-KZ"/>
              </w:rPr>
              <w:t>»</w:t>
            </w:r>
          </w:p>
        </w:tc>
        <w:tc>
          <w:tcPr>
            <w:tcW w:w="567" w:type="dxa"/>
          </w:tcPr>
          <w:p w14:paraId="6C4C7506" w14:textId="77777777" w:rsidR="009B664D" w:rsidRDefault="009B664D" w:rsidP="002B136D">
            <w:pPr>
              <w:pStyle w:val="ae"/>
              <w:jc w:val="center"/>
              <w:rPr>
                <w:rFonts w:ascii="Times New Roman" w:hAnsi="Times New Roman" w:cs="Times New Roman"/>
                <w:sz w:val="28"/>
                <w:szCs w:val="28"/>
              </w:rPr>
            </w:pPr>
          </w:p>
          <w:p w14:paraId="429884A9" w14:textId="77777777" w:rsidR="009B664D" w:rsidRDefault="009B664D" w:rsidP="002B136D">
            <w:pPr>
              <w:pStyle w:val="ae"/>
              <w:jc w:val="center"/>
              <w:rPr>
                <w:rFonts w:ascii="Times New Roman" w:hAnsi="Times New Roman" w:cs="Times New Roman"/>
                <w:sz w:val="28"/>
                <w:szCs w:val="28"/>
              </w:rPr>
            </w:pPr>
          </w:p>
          <w:p w14:paraId="5EE80366" w14:textId="4DB6702C" w:rsidR="006B0B4D" w:rsidRPr="009B664D" w:rsidRDefault="00616111"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1</w:t>
            </w:r>
            <w:r w:rsidR="007325E7">
              <w:rPr>
                <w:rFonts w:ascii="Times New Roman" w:hAnsi="Times New Roman" w:cs="Times New Roman"/>
                <w:sz w:val="28"/>
                <w:szCs w:val="28"/>
              </w:rPr>
              <w:t>2</w:t>
            </w:r>
            <w:r w:rsidR="00573FD1">
              <w:rPr>
                <w:rFonts w:ascii="Times New Roman" w:hAnsi="Times New Roman" w:cs="Times New Roman"/>
                <w:sz w:val="28"/>
                <w:szCs w:val="28"/>
              </w:rPr>
              <w:t>1</w:t>
            </w:r>
          </w:p>
        </w:tc>
      </w:tr>
      <w:tr w:rsidR="002B136D" w:rsidRPr="002B136D" w14:paraId="6EB779CA" w14:textId="77777777" w:rsidTr="009B664D">
        <w:tc>
          <w:tcPr>
            <w:tcW w:w="9072" w:type="dxa"/>
          </w:tcPr>
          <w:p w14:paraId="7725BB60" w14:textId="16E68234" w:rsidR="006B0B4D" w:rsidRPr="002B136D" w:rsidRDefault="006B0B4D" w:rsidP="00D7006C">
            <w:pPr>
              <w:jc w:val="both"/>
              <w:rPr>
                <w:rFonts w:cs="Times New Roman"/>
                <w:szCs w:val="28"/>
              </w:rPr>
            </w:pPr>
            <w:r w:rsidRPr="002B136D">
              <w:rPr>
                <w:rFonts w:cs="Times New Roman"/>
                <w:b/>
                <w:szCs w:val="28"/>
              </w:rPr>
              <w:t>ПРИЛОЖЕНИЕ Ж</w:t>
            </w:r>
            <w:r w:rsidR="00153CBD" w:rsidRPr="002B136D">
              <w:rPr>
                <w:rFonts w:cs="Times New Roman"/>
                <w:b/>
                <w:szCs w:val="28"/>
              </w:rPr>
              <w:t xml:space="preserve"> </w:t>
            </w:r>
            <w:r w:rsidR="00D7006C">
              <w:rPr>
                <w:rFonts w:cs="Times New Roman"/>
                <w:szCs w:val="28"/>
              </w:rPr>
              <w:t xml:space="preserve">- Акт внедрения </w:t>
            </w:r>
            <w:r w:rsidR="00153CBD" w:rsidRPr="002B136D">
              <w:rPr>
                <w:rFonts w:cs="Times New Roman"/>
                <w:szCs w:val="28"/>
              </w:rPr>
              <w:t xml:space="preserve">в </w:t>
            </w:r>
            <w:r w:rsidR="00D7006C">
              <w:rPr>
                <w:rFonts w:cs="Times New Roman"/>
                <w:szCs w:val="28"/>
              </w:rPr>
              <w:t>К</w:t>
            </w:r>
            <w:r w:rsidR="00153CBD" w:rsidRPr="002B136D">
              <w:rPr>
                <w:rFonts w:cs="Times New Roman"/>
                <w:szCs w:val="28"/>
              </w:rPr>
              <w:t>азахский национальный университет имени Аль-Фараби, «Разработка прогностической модели развития эндокринной офтальмопатии»</w:t>
            </w:r>
          </w:p>
        </w:tc>
        <w:tc>
          <w:tcPr>
            <w:tcW w:w="567" w:type="dxa"/>
          </w:tcPr>
          <w:p w14:paraId="32185094" w14:textId="77777777" w:rsidR="009B664D" w:rsidRDefault="009B664D" w:rsidP="002B136D">
            <w:pPr>
              <w:pStyle w:val="ae"/>
              <w:jc w:val="center"/>
              <w:rPr>
                <w:rFonts w:ascii="Times New Roman" w:hAnsi="Times New Roman" w:cs="Times New Roman"/>
                <w:sz w:val="28"/>
                <w:szCs w:val="28"/>
              </w:rPr>
            </w:pPr>
          </w:p>
          <w:p w14:paraId="1D851B3B" w14:textId="77777777" w:rsidR="009B664D" w:rsidRDefault="009B664D" w:rsidP="002B136D">
            <w:pPr>
              <w:pStyle w:val="ae"/>
              <w:jc w:val="center"/>
              <w:rPr>
                <w:rFonts w:ascii="Times New Roman" w:hAnsi="Times New Roman" w:cs="Times New Roman"/>
                <w:sz w:val="28"/>
                <w:szCs w:val="28"/>
              </w:rPr>
            </w:pPr>
          </w:p>
          <w:p w14:paraId="7D92403E" w14:textId="1B9F6E6B" w:rsidR="006B0B4D" w:rsidRPr="00E44CEF" w:rsidRDefault="00616111" w:rsidP="002B136D">
            <w:pPr>
              <w:pStyle w:val="ae"/>
              <w:jc w:val="center"/>
              <w:rPr>
                <w:rFonts w:ascii="Times New Roman" w:hAnsi="Times New Roman" w:cs="Times New Roman"/>
                <w:sz w:val="28"/>
                <w:szCs w:val="28"/>
              </w:rPr>
            </w:pPr>
            <w:r w:rsidRPr="002B136D">
              <w:rPr>
                <w:rFonts w:ascii="Times New Roman" w:hAnsi="Times New Roman" w:cs="Times New Roman"/>
                <w:sz w:val="28"/>
                <w:szCs w:val="28"/>
              </w:rPr>
              <w:t>1</w:t>
            </w:r>
            <w:r w:rsidR="009B664D">
              <w:rPr>
                <w:rFonts w:ascii="Times New Roman" w:hAnsi="Times New Roman" w:cs="Times New Roman"/>
                <w:sz w:val="28"/>
                <w:szCs w:val="28"/>
              </w:rPr>
              <w:t>2</w:t>
            </w:r>
            <w:r w:rsidR="00573FD1">
              <w:rPr>
                <w:rFonts w:ascii="Times New Roman" w:hAnsi="Times New Roman" w:cs="Times New Roman"/>
                <w:sz w:val="28"/>
                <w:szCs w:val="28"/>
              </w:rPr>
              <w:t>2</w:t>
            </w:r>
          </w:p>
        </w:tc>
      </w:tr>
      <w:bookmarkEnd w:id="1"/>
    </w:tbl>
    <w:p w14:paraId="3F59C0F8" w14:textId="77777777" w:rsidR="008C4136" w:rsidRPr="002B136D" w:rsidRDefault="008C4136" w:rsidP="002C46A8">
      <w:pPr>
        <w:pStyle w:val="ae"/>
        <w:ind w:firstLine="567"/>
        <w:jc w:val="both"/>
        <w:rPr>
          <w:rFonts w:ascii="Times New Roman" w:hAnsi="Times New Roman" w:cs="Times New Roman"/>
          <w:b/>
          <w:sz w:val="28"/>
          <w:szCs w:val="28"/>
        </w:rPr>
      </w:pPr>
      <w:r w:rsidRPr="002B136D">
        <w:rPr>
          <w:rFonts w:ascii="Times New Roman" w:hAnsi="Times New Roman" w:cs="Times New Roman"/>
          <w:b/>
          <w:sz w:val="28"/>
          <w:szCs w:val="28"/>
        </w:rPr>
        <w:br w:type="page"/>
      </w:r>
    </w:p>
    <w:bookmarkEnd w:id="0"/>
    <w:p w14:paraId="714CC760" w14:textId="77777777" w:rsidR="008C4136" w:rsidRPr="002B136D" w:rsidRDefault="008C4136" w:rsidP="002B136D">
      <w:pPr>
        <w:pStyle w:val="ae"/>
        <w:contextualSpacing/>
        <w:jc w:val="center"/>
        <w:rPr>
          <w:rFonts w:ascii="Times New Roman" w:hAnsi="Times New Roman" w:cs="Times New Roman"/>
          <w:b/>
          <w:sz w:val="28"/>
          <w:szCs w:val="28"/>
          <w:lang w:val="en-US"/>
        </w:rPr>
      </w:pPr>
      <w:r w:rsidRPr="002B136D">
        <w:rPr>
          <w:rFonts w:ascii="Times New Roman" w:hAnsi="Times New Roman" w:cs="Times New Roman"/>
          <w:b/>
          <w:sz w:val="28"/>
          <w:szCs w:val="28"/>
        </w:rPr>
        <w:lastRenderedPageBreak/>
        <w:t>НОРМАТИВНЫЕ ССЫЛКИ</w:t>
      </w:r>
    </w:p>
    <w:p w14:paraId="0F371D60" w14:textId="77777777" w:rsidR="002B136D" w:rsidRPr="002B136D" w:rsidRDefault="002B136D" w:rsidP="002B136D">
      <w:pPr>
        <w:pStyle w:val="ae"/>
        <w:contextualSpacing/>
        <w:jc w:val="center"/>
        <w:rPr>
          <w:rFonts w:ascii="Times New Roman" w:hAnsi="Times New Roman" w:cs="Times New Roman"/>
          <w:b/>
          <w:sz w:val="28"/>
          <w:szCs w:val="28"/>
          <w:lang w:val="en-US"/>
        </w:rPr>
      </w:pPr>
    </w:p>
    <w:p w14:paraId="22B9DD80"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В настоящей диссертации использованы ссылки на следующие стандарты:</w:t>
      </w:r>
    </w:p>
    <w:p w14:paraId="4F733098"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Конституция Республики Казахстан от 30 августа 1995 года.</w:t>
      </w:r>
    </w:p>
    <w:p w14:paraId="111C20CC"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Кодекс Республики Казахстан. О здоровье народа и системы здравоохранения: 7 июля 2020 года № 360-VI ЗРК.</w:t>
      </w:r>
    </w:p>
    <w:p w14:paraId="7F22E2F6"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 xml:space="preserve">Государственный стандарт Республики Казахстан «Надлежащая клиническая практика» (Good Clinical Practice, GCP): </w:t>
      </w:r>
      <w:proofErr w:type="gramStart"/>
      <w:r w:rsidRPr="002B136D">
        <w:rPr>
          <w:rFonts w:ascii="Times New Roman" w:hAnsi="Times New Roman" w:cs="Times New Roman"/>
          <w:sz w:val="28"/>
          <w:szCs w:val="28"/>
        </w:rPr>
        <w:t>СТ</w:t>
      </w:r>
      <w:proofErr w:type="gramEnd"/>
      <w:r w:rsidRPr="002B136D">
        <w:rPr>
          <w:rFonts w:ascii="Times New Roman" w:hAnsi="Times New Roman" w:cs="Times New Roman"/>
          <w:sz w:val="28"/>
          <w:szCs w:val="28"/>
        </w:rPr>
        <w:t xml:space="preserve"> РК 1616-2006</w:t>
      </w:r>
    </w:p>
    <w:p w14:paraId="7869E1B0"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 xml:space="preserve">Государственный стандарт Республики Казахстан «Надлежащая клиническая практика» (Good </w:t>
      </w:r>
      <w:r w:rsidRPr="002B136D">
        <w:rPr>
          <w:rFonts w:ascii="Times New Roman" w:hAnsi="Times New Roman" w:cs="Times New Roman"/>
          <w:sz w:val="28"/>
          <w:szCs w:val="28"/>
          <w:lang w:val="en-US"/>
        </w:rPr>
        <w:t>Laboratory</w:t>
      </w:r>
      <w:r w:rsidRPr="002B136D">
        <w:rPr>
          <w:rFonts w:ascii="Times New Roman" w:hAnsi="Times New Roman" w:cs="Times New Roman"/>
          <w:sz w:val="28"/>
          <w:szCs w:val="28"/>
        </w:rPr>
        <w:t xml:space="preserve"> Practice, GCP): </w:t>
      </w:r>
      <w:proofErr w:type="gramStart"/>
      <w:r w:rsidRPr="002B136D">
        <w:rPr>
          <w:rFonts w:ascii="Times New Roman" w:hAnsi="Times New Roman" w:cs="Times New Roman"/>
          <w:sz w:val="28"/>
          <w:szCs w:val="28"/>
        </w:rPr>
        <w:t>СТ</w:t>
      </w:r>
      <w:proofErr w:type="gramEnd"/>
      <w:r w:rsidRPr="002B136D">
        <w:rPr>
          <w:rFonts w:ascii="Times New Roman" w:hAnsi="Times New Roman" w:cs="Times New Roman"/>
          <w:sz w:val="28"/>
          <w:szCs w:val="28"/>
        </w:rPr>
        <w:t xml:space="preserve"> РК 1616-2006</w:t>
      </w:r>
    </w:p>
    <w:p w14:paraId="1104138D"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 г.</w:t>
      </w:r>
    </w:p>
    <w:p w14:paraId="646ED060"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0A3CF002"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ГОСТ 15.101-98. Межгосударственный стандарт. Система разработки и постановки продукции на производство. Порядок выполнения научно-исследовательских работ.</w:t>
      </w:r>
    </w:p>
    <w:p w14:paraId="5ED03D3D"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14:paraId="75CA360F" w14:textId="7777777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ГОСТ 7.9-95. (ИСО 214-76) Система стандартов по информации, библиотечному и издательскому делу. Реферат и аннотация. Общие требования.</w:t>
      </w:r>
    </w:p>
    <w:p w14:paraId="3EA14FF9" w14:textId="6E039D97" w:rsidR="008C4136" w:rsidRPr="002B136D" w:rsidRDefault="008C4136" w:rsidP="006E4017">
      <w:pPr>
        <w:pStyle w:val="ae"/>
        <w:ind w:firstLine="567"/>
        <w:contextualSpacing/>
        <w:jc w:val="both"/>
        <w:rPr>
          <w:rFonts w:ascii="Times New Roman" w:hAnsi="Times New Roman" w:cs="Times New Roman"/>
          <w:sz w:val="28"/>
          <w:szCs w:val="28"/>
        </w:rPr>
      </w:pPr>
      <w:r w:rsidRPr="002B136D">
        <w:rPr>
          <w:rFonts w:ascii="Times New Roman" w:hAnsi="Times New Roman" w:cs="Times New Roman"/>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r w:rsidRPr="002B136D">
        <w:rPr>
          <w:rFonts w:cs="Times New Roman"/>
          <w:b/>
          <w:szCs w:val="28"/>
        </w:rPr>
        <w:br w:type="page"/>
      </w:r>
    </w:p>
    <w:p w14:paraId="4D85D73A" w14:textId="77777777" w:rsidR="008C4136" w:rsidRPr="002932C4" w:rsidRDefault="008C4136" w:rsidP="002B136D">
      <w:pPr>
        <w:spacing w:after="0" w:line="240" w:lineRule="auto"/>
        <w:contextualSpacing/>
        <w:jc w:val="center"/>
        <w:rPr>
          <w:rFonts w:cs="Times New Roman"/>
          <w:b/>
          <w:szCs w:val="28"/>
        </w:rPr>
      </w:pPr>
      <w:r w:rsidRPr="002B136D">
        <w:rPr>
          <w:rFonts w:cs="Times New Roman"/>
          <w:b/>
          <w:szCs w:val="28"/>
        </w:rPr>
        <w:lastRenderedPageBreak/>
        <w:t>ОПРЕДЕЛЕНИЯ</w:t>
      </w:r>
    </w:p>
    <w:p w14:paraId="66199503" w14:textId="77777777" w:rsidR="003579F1" w:rsidRPr="002932C4" w:rsidRDefault="003579F1" w:rsidP="002B136D">
      <w:pPr>
        <w:spacing w:after="0" w:line="240" w:lineRule="auto"/>
        <w:contextualSpacing/>
        <w:jc w:val="center"/>
        <w:rPr>
          <w:rFonts w:cs="Times New Roman"/>
          <w:b/>
          <w:szCs w:val="28"/>
        </w:rPr>
      </w:pPr>
    </w:p>
    <w:p w14:paraId="38D1B84D" w14:textId="234E68F6"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Активная форма ЭОП</w:t>
      </w:r>
      <w:r w:rsidRPr="002B136D">
        <w:rPr>
          <w:rFonts w:cs="Times New Roman"/>
          <w:szCs w:val="28"/>
        </w:rPr>
        <w:t xml:space="preserve"> – стадия заболевания, при которой наблюдается прогрессирование симптомов и активное воспаление глазных тканей.</w:t>
      </w:r>
    </w:p>
    <w:p w14:paraId="60982389" w14:textId="45126C88"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Аутоиммунный процесс</w:t>
      </w:r>
      <w:r w:rsidR="002D649E">
        <w:rPr>
          <w:rFonts w:cs="Times New Roman"/>
          <w:szCs w:val="28"/>
        </w:rPr>
        <w:t xml:space="preserve"> – </w:t>
      </w:r>
      <w:r w:rsidRPr="002B136D">
        <w:rPr>
          <w:rFonts w:cs="Times New Roman"/>
          <w:szCs w:val="28"/>
        </w:rPr>
        <w:t xml:space="preserve">патологическое состояние, при котором иммунная система ошибочно нападает на собственные ткани организма, принимая их </w:t>
      </w:r>
      <w:proofErr w:type="gramStart"/>
      <w:r w:rsidRPr="002B136D">
        <w:rPr>
          <w:rFonts w:cs="Times New Roman"/>
          <w:szCs w:val="28"/>
        </w:rPr>
        <w:t>за</w:t>
      </w:r>
      <w:proofErr w:type="gramEnd"/>
      <w:r w:rsidRPr="002B136D">
        <w:rPr>
          <w:rFonts w:cs="Times New Roman"/>
          <w:szCs w:val="28"/>
        </w:rPr>
        <w:t xml:space="preserve"> чужеродные, что может привести к различным заболеваниям.</w:t>
      </w:r>
    </w:p>
    <w:p w14:paraId="47981623"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szCs w:val="28"/>
        </w:rPr>
        <w:t>В настоящей диссертации применяются следующие термины с соответствующими определениями:</w:t>
      </w:r>
    </w:p>
    <w:p w14:paraId="30960E9D"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Иммунногистохимический метод</w:t>
      </w:r>
      <w:r w:rsidRPr="002B136D">
        <w:rPr>
          <w:rFonts w:cs="Times New Roman"/>
          <w:szCs w:val="28"/>
        </w:rPr>
        <w:t xml:space="preserve"> – лабораторная техника, используемая для выявления специфических антител или антигенов в тканях, при помощи маркированных антител, что позволяет локализовать иммунные реакции на клеточном уровне.</w:t>
      </w:r>
    </w:p>
    <w:p w14:paraId="07BB64F8" w14:textId="2B07B63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Иммунный ответ</w:t>
      </w:r>
      <w:r w:rsidR="002D649E">
        <w:rPr>
          <w:rFonts w:cs="Times New Roman"/>
          <w:szCs w:val="28"/>
        </w:rPr>
        <w:t xml:space="preserve"> –</w:t>
      </w:r>
      <w:r w:rsidRPr="002B136D">
        <w:rPr>
          <w:rFonts w:cs="Times New Roman"/>
          <w:szCs w:val="28"/>
        </w:rPr>
        <w:t xml:space="preserve"> реакция иммунной системы на чужеродные агенты, такие как микроорганизмы или трансплантаты, включая выработку антител и активацию иммунных клеток.</w:t>
      </w:r>
    </w:p>
    <w:p w14:paraId="3B1D3FF5" w14:textId="32428884"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Иммуноферментный анализ</w:t>
      </w:r>
      <w:r w:rsidR="002D649E">
        <w:rPr>
          <w:rFonts w:cs="Times New Roman"/>
          <w:b/>
          <w:szCs w:val="28"/>
          <w:lang w:val="kk-KZ"/>
        </w:rPr>
        <w:t xml:space="preserve"> –</w:t>
      </w:r>
      <w:r w:rsidRPr="002B136D">
        <w:rPr>
          <w:rFonts w:cs="Times New Roman"/>
          <w:b/>
          <w:szCs w:val="28"/>
          <w:lang w:val="kk-KZ"/>
        </w:rPr>
        <w:t xml:space="preserve"> </w:t>
      </w:r>
      <w:r w:rsidRPr="002B136D">
        <w:rPr>
          <w:rFonts w:cs="Times New Roman"/>
          <w:szCs w:val="28"/>
        </w:rPr>
        <w:t>лабораторный иммунологический метод качественного или количественного определения различных низкомолекулярных соединений, макромолекул, вирусов и пр., в основе которого лежит специфическая реакция антиген-антитело.</w:t>
      </w:r>
    </w:p>
    <w:p w14:paraId="6C2B66E1"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Интерлейкин-17 (IL-17)</w:t>
      </w:r>
      <w:r w:rsidRPr="002B136D">
        <w:rPr>
          <w:rFonts w:cs="Times New Roman"/>
          <w:szCs w:val="28"/>
        </w:rPr>
        <w:t xml:space="preserve"> – провоспалительный цитокин, </w:t>
      </w:r>
      <w:proofErr w:type="gramStart"/>
      <w:r w:rsidRPr="002B136D">
        <w:rPr>
          <w:rFonts w:cs="Times New Roman"/>
          <w:szCs w:val="28"/>
        </w:rPr>
        <w:t>вырабатываемый</w:t>
      </w:r>
      <w:proofErr w:type="gramEnd"/>
      <w:r w:rsidRPr="002B136D">
        <w:rPr>
          <w:rFonts w:cs="Times New Roman"/>
          <w:szCs w:val="28"/>
        </w:rPr>
        <w:t xml:space="preserve"> Т-лимфоцитами, который играет важную роль в иммунном ответе, особенно в защите организма от патогенов на слизистых оболочках.</w:t>
      </w:r>
    </w:p>
    <w:p w14:paraId="5816AD83"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Интерлейкин-38 (IL-38)</w:t>
      </w:r>
      <w:r w:rsidRPr="002B136D">
        <w:rPr>
          <w:rFonts w:cs="Times New Roman"/>
          <w:szCs w:val="28"/>
        </w:rPr>
        <w:t xml:space="preserve"> – цитокин из семейства интерлейкинов, который подавляет хроническое воспаление и модулирует иммунный ответ, потенциально обеспечивая защиту от аутоиммунных заболеваний.</w:t>
      </w:r>
    </w:p>
    <w:p w14:paraId="790B6A74" w14:textId="402CFA70"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Клинические особенности</w:t>
      </w:r>
      <w:r w:rsidR="002D649E">
        <w:rPr>
          <w:rFonts w:cs="Times New Roman"/>
          <w:szCs w:val="28"/>
        </w:rPr>
        <w:t xml:space="preserve"> – </w:t>
      </w:r>
      <w:r w:rsidRPr="002B136D">
        <w:rPr>
          <w:rFonts w:cs="Times New Roman"/>
          <w:szCs w:val="28"/>
        </w:rPr>
        <w:t>характеристики заболевания, проявляющиеся в симптомах и признаках, которые могут быть обнаружены во время медицинского обследования.</w:t>
      </w:r>
    </w:p>
    <w:p w14:paraId="45FFEB9C"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Неактивная форма ЭОП</w:t>
      </w:r>
      <w:r w:rsidRPr="002B136D">
        <w:rPr>
          <w:rFonts w:cs="Times New Roman"/>
          <w:szCs w:val="28"/>
        </w:rPr>
        <w:t xml:space="preserve"> – стадия заболевания, характеризующаяся стабилизацией или отсутствием прогрессирования симптомов, </w:t>
      </w:r>
      <w:proofErr w:type="gramStart"/>
      <w:r w:rsidRPr="002B136D">
        <w:rPr>
          <w:rFonts w:cs="Times New Roman"/>
          <w:szCs w:val="28"/>
        </w:rPr>
        <w:t>при</w:t>
      </w:r>
      <w:proofErr w:type="gramEnd"/>
      <w:r w:rsidRPr="002B136D">
        <w:rPr>
          <w:rFonts w:cs="Times New Roman"/>
          <w:szCs w:val="28"/>
        </w:rPr>
        <w:t xml:space="preserve"> которой воспалительный процесс либо минимален, либо отсутствует.</w:t>
      </w:r>
    </w:p>
    <w:p w14:paraId="05FEA91A" w14:textId="593EF015"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Орбитальные ткани</w:t>
      </w:r>
      <w:r w:rsidR="002D649E">
        <w:rPr>
          <w:rFonts w:cs="Times New Roman"/>
          <w:szCs w:val="28"/>
        </w:rPr>
        <w:t xml:space="preserve"> –</w:t>
      </w:r>
      <w:r w:rsidRPr="002B136D">
        <w:rPr>
          <w:rFonts w:cs="Times New Roman"/>
          <w:szCs w:val="28"/>
        </w:rPr>
        <w:t xml:space="preserve"> анатомические структуры, расположенные в глазной орбите, включая глазные мышцы, жировую ткань и другие компоненты, поддерживающие нормальное функционирование и положение глаза.</w:t>
      </w:r>
    </w:p>
    <w:p w14:paraId="15A9ED5D"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Полиморфизм</w:t>
      </w:r>
      <w:r w:rsidRPr="002B136D">
        <w:rPr>
          <w:rFonts w:cs="Times New Roman"/>
          <w:szCs w:val="28"/>
        </w:rPr>
        <w:t xml:space="preserve"> – вариативность в последовательности ДНК среди индивидуумов, которая может влиять на риск развития определённых заболеваний, включая аутоиммунные.</w:t>
      </w:r>
    </w:p>
    <w:p w14:paraId="3303D4FD" w14:textId="55C56A0A"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Сывороточное содержание</w:t>
      </w:r>
      <w:r w:rsidR="002D649E">
        <w:rPr>
          <w:rFonts w:cs="Times New Roman"/>
          <w:szCs w:val="28"/>
        </w:rPr>
        <w:t xml:space="preserve"> –</w:t>
      </w:r>
      <w:r w:rsidRPr="002B136D">
        <w:rPr>
          <w:rFonts w:cs="Times New Roman"/>
          <w:szCs w:val="28"/>
        </w:rPr>
        <w:t xml:space="preserve"> концентрация определенного вещества, например, цитокинов, в крови пациента, которая может быть измерена для оценки иммунного ответа или воспаления.</w:t>
      </w:r>
    </w:p>
    <w:p w14:paraId="350EBD56" w14:textId="76A4F06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Цитокины</w:t>
      </w:r>
      <w:r w:rsidR="002D649E">
        <w:rPr>
          <w:rFonts w:cs="Times New Roman"/>
          <w:szCs w:val="28"/>
        </w:rPr>
        <w:t xml:space="preserve"> –</w:t>
      </w:r>
      <w:bookmarkStart w:id="2" w:name="_GoBack"/>
      <w:bookmarkEnd w:id="2"/>
      <w:r w:rsidRPr="002B136D">
        <w:rPr>
          <w:rFonts w:cs="Times New Roman"/>
          <w:szCs w:val="28"/>
        </w:rPr>
        <w:t xml:space="preserve"> это молекулы-посредники, которые вырабатываются клетками иммунной системы для регулирования воспалительных и иммунных </w:t>
      </w:r>
      <w:r w:rsidRPr="002B136D">
        <w:rPr>
          <w:rFonts w:cs="Times New Roman"/>
          <w:szCs w:val="28"/>
        </w:rPr>
        <w:lastRenderedPageBreak/>
        <w:t>реакций организма. Они могут стимулировать или подавлять функцию различных клеток иммунной системы.</w:t>
      </w:r>
    </w:p>
    <w:p w14:paraId="11825467" w14:textId="77777777" w:rsidR="003579F1" w:rsidRPr="002B136D" w:rsidRDefault="003579F1" w:rsidP="002B136D">
      <w:pPr>
        <w:spacing w:after="0" w:line="240" w:lineRule="auto"/>
        <w:ind w:firstLine="567"/>
        <w:contextualSpacing/>
        <w:jc w:val="both"/>
        <w:rPr>
          <w:rFonts w:cs="Times New Roman"/>
          <w:szCs w:val="28"/>
        </w:rPr>
      </w:pPr>
      <w:r w:rsidRPr="002B136D">
        <w:rPr>
          <w:rFonts w:cs="Times New Roman"/>
          <w:b/>
          <w:szCs w:val="28"/>
        </w:rPr>
        <w:t xml:space="preserve">Эндокринная офтальмопатия (ЭОП) </w:t>
      </w:r>
      <w:r w:rsidRPr="002B136D">
        <w:rPr>
          <w:rFonts w:cs="Times New Roman"/>
          <w:szCs w:val="28"/>
        </w:rPr>
        <w:t>– аутоиммунное заболевание, при котором иммунная система организма атакует ткани вокруг глаз, приводя к их воспалению и отечности, что часто связано с заболеваниями щитовидной железы.</w:t>
      </w:r>
    </w:p>
    <w:p w14:paraId="6AD31DB0" w14:textId="77777777" w:rsidR="006E4017" w:rsidRPr="002B136D" w:rsidRDefault="006E4017" w:rsidP="00FD3E61">
      <w:pPr>
        <w:spacing w:after="0" w:line="360" w:lineRule="auto"/>
        <w:ind w:firstLine="720"/>
        <w:jc w:val="both"/>
        <w:rPr>
          <w:rFonts w:cs="Times New Roman"/>
          <w:szCs w:val="28"/>
        </w:rPr>
      </w:pPr>
    </w:p>
    <w:p w14:paraId="4026C88C" w14:textId="77777777" w:rsidR="006E4017" w:rsidRPr="002B136D" w:rsidRDefault="006E4017" w:rsidP="00FD3E61">
      <w:pPr>
        <w:spacing w:after="0" w:line="360" w:lineRule="auto"/>
        <w:ind w:firstLine="720"/>
        <w:jc w:val="both"/>
        <w:rPr>
          <w:rFonts w:cs="Times New Roman"/>
          <w:szCs w:val="28"/>
        </w:rPr>
      </w:pPr>
    </w:p>
    <w:p w14:paraId="2AE87402" w14:textId="77777777" w:rsidR="006E4017" w:rsidRPr="002B136D" w:rsidRDefault="006E4017" w:rsidP="00FD3E61">
      <w:pPr>
        <w:spacing w:after="0" w:line="360" w:lineRule="auto"/>
        <w:ind w:firstLine="720"/>
        <w:jc w:val="both"/>
        <w:rPr>
          <w:rFonts w:cs="Times New Roman"/>
          <w:szCs w:val="28"/>
        </w:rPr>
      </w:pPr>
    </w:p>
    <w:p w14:paraId="32B73FB4" w14:textId="77777777" w:rsidR="006E4017" w:rsidRPr="002B136D" w:rsidRDefault="006E4017" w:rsidP="00FD3E61">
      <w:pPr>
        <w:spacing w:after="0" w:line="360" w:lineRule="auto"/>
        <w:ind w:firstLine="720"/>
        <w:jc w:val="both"/>
        <w:rPr>
          <w:rFonts w:cs="Times New Roman"/>
          <w:szCs w:val="28"/>
        </w:rPr>
      </w:pPr>
    </w:p>
    <w:p w14:paraId="3B13A11A" w14:textId="77777777" w:rsidR="006E4017" w:rsidRPr="002B136D" w:rsidRDefault="006E4017" w:rsidP="00FD3E61">
      <w:pPr>
        <w:spacing w:after="0" w:line="360" w:lineRule="auto"/>
        <w:ind w:firstLine="720"/>
        <w:jc w:val="both"/>
        <w:rPr>
          <w:rFonts w:cs="Times New Roman"/>
          <w:szCs w:val="28"/>
        </w:rPr>
      </w:pPr>
    </w:p>
    <w:p w14:paraId="1CF16F9A" w14:textId="77777777" w:rsidR="006C4DE7" w:rsidRPr="002B136D" w:rsidRDefault="006C4DE7" w:rsidP="00FD3E61">
      <w:pPr>
        <w:spacing w:after="0" w:line="360" w:lineRule="auto"/>
        <w:ind w:firstLine="720"/>
        <w:jc w:val="both"/>
        <w:rPr>
          <w:rFonts w:cs="Times New Roman"/>
          <w:szCs w:val="28"/>
        </w:rPr>
      </w:pPr>
    </w:p>
    <w:p w14:paraId="1AD40D3F" w14:textId="77777777" w:rsidR="002B136D" w:rsidRPr="002B136D" w:rsidRDefault="002B136D" w:rsidP="006E4017">
      <w:pPr>
        <w:spacing w:after="0" w:line="240" w:lineRule="auto"/>
        <w:ind w:firstLine="709"/>
        <w:contextualSpacing/>
        <w:jc w:val="both"/>
        <w:rPr>
          <w:rFonts w:cs="Times New Roman"/>
          <w:b/>
          <w:szCs w:val="28"/>
        </w:rPr>
      </w:pPr>
      <w:r w:rsidRPr="002B136D">
        <w:rPr>
          <w:rFonts w:cs="Times New Roman"/>
          <w:b/>
          <w:szCs w:val="28"/>
        </w:rPr>
        <w:br w:type="page"/>
      </w:r>
    </w:p>
    <w:p w14:paraId="174011DF" w14:textId="41029327" w:rsidR="008C4136" w:rsidRPr="002B136D" w:rsidRDefault="008C4136" w:rsidP="002B136D">
      <w:pPr>
        <w:spacing w:after="0" w:line="240" w:lineRule="auto"/>
        <w:contextualSpacing/>
        <w:jc w:val="center"/>
        <w:rPr>
          <w:rFonts w:cs="Times New Roman"/>
          <w:b/>
          <w:szCs w:val="28"/>
          <w:lang w:val="en-US"/>
        </w:rPr>
      </w:pPr>
      <w:r w:rsidRPr="002B136D">
        <w:rPr>
          <w:rFonts w:cs="Times New Roman"/>
          <w:b/>
          <w:szCs w:val="28"/>
        </w:rPr>
        <w:lastRenderedPageBreak/>
        <w:t>ОБОЗНАЧЕНИЯ И СОКРАЩЕНИЯ</w:t>
      </w:r>
    </w:p>
    <w:p w14:paraId="0E21B89D" w14:textId="77777777" w:rsidR="002B136D" w:rsidRPr="002B136D" w:rsidRDefault="002B136D" w:rsidP="006E4017">
      <w:pPr>
        <w:spacing w:after="0" w:line="240" w:lineRule="auto"/>
        <w:ind w:firstLine="709"/>
        <w:contextualSpacing/>
        <w:jc w:val="both"/>
        <w:rPr>
          <w:rFonts w:cs="Times New Roman"/>
          <w:b/>
          <w:szCs w:val="28"/>
          <w:lang w:val="en-US"/>
        </w:rPr>
      </w:pPr>
    </w:p>
    <w:tbl>
      <w:tblPr>
        <w:tblW w:w="8931" w:type="dxa"/>
        <w:tblLook w:val="04A0" w:firstRow="1" w:lastRow="0" w:firstColumn="1" w:lastColumn="0" w:noHBand="0" w:noVBand="1"/>
      </w:tblPr>
      <w:tblGrid>
        <w:gridCol w:w="2440"/>
        <w:gridCol w:w="6491"/>
      </w:tblGrid>
      <w:tr w:rsidR="001204D8" w:rsidRPr="002B136D" w14:paraId="06CCA1D6" w14:textId="77777777" w:rsidTr="00DF4A3D">
        <w:trPr>
          <w:trHeight w:val="300"/>
        </w:trPr>
        <w:tc>
          <w:tcPr>
            <w:tcW w:w="2440" w:type="dxa"/>
            <w:shd w:val="clear" w:color="auto" w:fill="auto"/>
            <w:noWrap/>
            <w:vAlign w:val="bottom"/>
            <w:hideMark/>
          </w:tcPr>
          <w:p w14:paraId="3ED82429"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АИТ</w:t>
            </w:r>
          </w:p>
        </w:tc>
        <w:tc>
          <w:tcPr>
            <w:tcW w:w="6491" w:type="dxa"/>
            <w:shd w:val="clear" w:color="auto" w:fill="auto"/>
            <w:noWrap/>
            <w:vAlign w:val="bottom"/>
            <w:hideMark/>
          </w:tcPr>
          <w:p w14:paraId="04F003C0"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Аутоиммунный тиреоидит</w:t>
            </w:r>
          </w:p>
        </w:tc>
      </w:tr>
      <w:tr w:rsidR="001204D8" w:rsidRPr="002B136D" w14:paraId="67B4FC62" w14:textId="77777777" w:rsidTr="00DF4A3D">
        <w:trPr>
          <w:trHeight w:val="300"/>
        </w:trPr>
        <w:tc>
          <w:tcPr>
            <w:tcW w:w="2440" w:type="dxa"/>
            <w:shd w:val="clear" w:color="auto" w:fill="auto"/>
            <w:noWrap/>
            <w:vAlign w:val="bottom"/>
          </w:tcPr>
          <w:p w14:paraId="73695459"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Анти-IL-17</w:t>
            </w:r>
          </w:p>
        </w:tc>
        <w:tc>
          <w:tcPr>
            <w:tcW w:w="6491" w:type="dxa"/>
            <w:shd w:val="clear" w:color="auto" w:fill="auto"/>
            <w:noWrap/>
            <w:vAlign w:val="bottom"/>
          </w:tcPr>
          <w:p w14:paraId="2AD5D0B8"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Антитела против IL-17</w:t>
            </w:r>
          </w:p>
        </w:tc>
      </w:tr>
      <w:tr w:rsidR="001204D8" w:rsidRPr="002B136D" w14:paraId="2D2AA235" w14:textId="77777777" w:rsidTr="00DF4A3D">
        <w:trPr>
          <w:trHeight w:val="300"/>
        </w:trPr>
        <w:tc>
          <w:tcPr>
            <w:tcW w:w="2440" w:type="dxa"/>
            <w:shd w:val="clear" w:color="auto" w:fill="auto"/>
            <w:noWrap/>
            <w:vAlign w:val="bottom"/>
          </w:tcPr>
          <w:p w14:paraId="254317C4"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Анти-IL-38</w:t>
            </w:r>
          </w:p>
        </w:tc>
        <w:tc>
          <w:tcPr>
            <w:tcW w:w="6491" w:type="dxa"/>
            <w:shd w:val="clear" w:color="auto" w:fill="auto"/>
            <w:noWrap/>
            <w:vAlign w:val="bottom"/>
          </w:tcPr>
          <w:p w14:paraId="19F37DB7"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Антитела против IL-38</w:t>
            </w:r>
          </w:p>
        </w:tc>
      </w:tr>
      <w:tr w:rsidR="001204D8" w:rsidRPr="002B136D" w14:paraId="2865E4B8" w14:textId="77777777" w:rsidTr="00DF4A3D">
        <w:trPr>
          <w:trHeight w:val="300"/>
        </w:trPr>
        <w:tc>
          <w:tcPr>
            <w:tcW w:w="2440" w:type="dxa"/>
            <w:shd w:val="clear" w:color="auto" w:fill="auto"/>
            <w:noWrap/>
            <w:vAlign w:val="bottom"/>
          </w:tcPr>
          <w:p w14:paraId="579DA518"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Анти-рТТГ</w:t>
            </w:r>
          </w:p>
        </w:tc>
        <w:tc>
          <w:tcPr>
            <w:tcW w:w="6491" w:type="dxa"/>
            <w:shd w:val="clear" w:color="auto" w:fill="auto"/>
            <w:noWrap/>
            <w:vAlign w:val="bottom"/>
          </w:tcPr>
          <w:p w14:paraId="55D35B64"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Антитела к рецептору ТТГ</w:t>
            </w:r>
          </w:p>
        </w:tc>
      </w:tr>
      <w:tr w:rsidR="001204D8" w:rsidRPr="002B136D" w14:paraId="0DDB6C3A" w14:textId="77777777" w:rsidTr="00DF4A3D">
        <w:trPr>
          <w:trHeight w:val="300"/>
        </w:trPr>
        <w:tc>
          <w:tcPr>
            <w:tcW w:w="2440" w:type="dxa"/>
            <w:shd w:val="clear" w:color="auto" w:fill="auto"/>
            <w:noWrap/>
            <w:vAlign w:val="bottom"/>
          </w:tcPr>
          <w:p w14:paraId="68043511" w14:textId="77777777" w:rsidR="001204D8" w:rsidRPr="002B136D" w:rsidRDefault="001204D8" w:rsidP="00D1745B">
            <w:pPr>
              <w:spacing w:after="0" w:line="240" w:lineRule="auto"/>
              <w:contextualSpacing/>
              <w:jc w:val="both"/>
              <w:rPr>
                <w:rFonts w:eastAsia="Times New Roman" w:cs="Times New Roman"/>
                <w:szCs w:val="28"/>
                <w:lang w:val="kk-KZ"/>
              </w:rPr>
            </w:pPr>
            <w:r w:rsidRPr="002B136D">
              <w:rPr>
                <w:rFonts w:eastAsia="Times New Roman" w:cs="Times New Roman"/>
                <w:szCs w:val="28"/>
                <w:lang w:val="kk-KZ"/>
              </w:rPr>
              <w:t>Анти-ТПО</w:t>
            </w:r>
          </w:p>
        </w:tc>
        <w:tc>
          <w:tcPr>
            <w:tcW w:w="6491" w:type="dxa"/>
            <w:shd w:val="clear" w:color="auto" w:fill="auto"/>
            <w:noWrap/>
            <w:vAlign w:val="bottom"/>
          </w:tcPr>
          <w:p w14:paraId="0474BF4C"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lang w:val="kk-KZ"/>
              </w:rPr>
              <w:t>А</w:t>
            </w:r>
            <w:r w:rsidRPr="002B136D">
              <w:rPr>
                <w:rFonts w:eastAsia="Times New Roman" w:cs="Times New Roman"/>
                <w:szCs w:val="28"/>
              </w:rPr>
              <w:t>нтитела к тиреотропной периоксидазе</w:t>
            </w:r>
          </w:p>
        </w:tc>
      </w:tr>
      <w:tr w:rsidR="001204D8" w:rsidRPr="002B136D" w14:paraId="58D3D884" w14:textId="77777777" w:rsidTr="00DF4A3D">
        <w:trPr>
          <w:trHeight w:val="300"/>
        </w:trPr>
        <w:tc>
          <w:tcPr>
            <w:tcW w:w="2440" w:type="dxa"/>
            <w:shd w:val="clear" w:color="auto" w:fill="auto"/>
            <w:noWrap/>
            <w:vAlign w:val="bottom"/>
            <w:hideMark/>
          </w:tcPr>
          <w:p w14:paraId="35D3A797" w14:textId="77777777" w:rsidR="001204D8" w:rsidRPr="002B136D" w:rsidRDefault="001204D8" w:rsidP="00D1745B">
            <w:pPr>
              <w:spacing w:after="0" w:line="240" w:lineRule="auto"/>
              <w:contextualSpacing/>
              <w:jc w:val="both"/>
              <w:rPr>
                <w:rFonts w:eastAsia="Times New Roman" w:cs="Times New Roman"/>
                <w:szCs w:val="28"/>
                <w:lang w:val="kk-KZ"/>
              </w:rPr>
            </w:pPr>
            <w:r w:rsidRPr="002B136D">
              <w:rPr>
                <w:rFonts w:eastAsia="Times New Roman" w:cs="Times New Roman"/>
                <w:szCs w:val="28"/>
                <w:lang w:val="kk-KZ"/>
              </w:rPr>
              <w:t>БГ</w:t>
            </w:r>
          </w:p>
        </w:tc>
        <w:tc>
          <w:tcPr>
            <w:tcW w:w="6491" w:type="dxa"/>
            <w:shd w:val="clear" w:color="auto" w:fill="auto"/>
            <w:noWrap/>
            <w:vAlign w:val="bottom"/>
            <w:hideMark/>
          </w:tcPr>
          <w:p w14:paraId="13D12061"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Болезн</w:t>
            </w:r>
            <w:r w:rsidRPr="002B136D">
              <w:rPr>
                <w:rFonts w:eastAsia="Times New Roman" w:cs="Times New Roman"/>
                <w:szCs w:val="28"/>
                <w:lang w:val="kk-KZ"/>
              </w:rPr>
              <w:t>ь</w:t>
            </w:r>
            <w:r w:rsidRPr="002B136D">
              <w:rPr>
                <w:rFonts w:eastAsia="Times New Roman" w:cs="Times New Roman"/>
                <w:szCs w:val="28"/>
              </w:rPr>
              <w:t xml:space="preserve"> Грэйвса</w:t>
            </w:r>
          </w:p>
        </w:tc>
      </w:tr>
      <w:tr w:rsidR="001204D8" w:rsidRPr="002B136D" w14:paraId="5CE2F7D1" w14:textId="77777777" w:rsidTr="00DF4A3D">
        <w:trPr>
          <w:trHeight w:val="300"/>
        </w:trPr>
        <w:tc>
          <w:tcPr>
            <w:tcW w:w="2440" w:type="dxa"/>
            <w:shd w:val="clear" w:color="auto" w:fill="auto"/>
            <w:noWrap/>
            <w:vAlign w:val="bottom"/>
            <w:hideMark/>
          </w:tcPr>
          <w:p w14:paraId="52263165"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ВОЗ</w:t>
            </w:r>
          </w:p>
        </w:tc>
        <w:tc>
          <w:tcPr>
            <w:tcW w:w="6491" w:type="dxa"/>
            <w:shd w:val="clear" w:color="auto" w:fill="auto"/>
            <w:noWrap/>
            <w:vAlign w:val="bottom"/>
            <w:hideMark/>
          </w:tcPr>
          <w:p w14:paraId="1E41C9AF"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Всемирная организация здравоохранения</w:t>
            </w:r>
          </w:p>
        </w:tc>
      </w:tr>
      <w:tr w:rsidR="001204D8" w:rsidRPr="002B136D" w14:paraId="0E613D78" w14:textId="77777777" w:rsidTr="00DF4A3D">
        <w:trPr>
          <w:trHeight w:val="300"/>
        </w:trPr>
        <w:tc>
          <w:tcPr>
            <w:tcW w:w="2440" w:type="dxa"/>
            <w:shd w:val="clear" w:color="auto" w:fill="auto"/>
            <w:noWrap/>
            <w:vAlign w:val="bottom"/>
            <w:hideMark/>
          </w:tcPr>
          <w:p w14:paraId="0A4A0471"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ДНК</w:t>
            </w:r>
          </w:p>
        </w:tc>
        <w:tc>
          <w:tcPr>
            <w:tcW w:w="6491" w:type="dxa"/>
            <w:shd w:val="clear" w:color="auto" w:fill="auto"/>
            <w:noWrap/>
            <w:vAlign w:val="bottom"/>
            <w:hideMark/>
          </w:tcPr>
          <w:p w14:paraId="54990BA9"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Дезоксирибонуклеиновая кислота</w:t>
            </w:r>
          </w:p>
        </w:tc>
      </w:tr>
      <w:tr w:rsidR="001204D8" w:rsidRPr="002B136D" w14:paraId="44A60769" w14:textId="77777777" w:rsidTr="00DF4A3D">
        <w:trPr>
          <w:trHeight w:val="300"/>
        </w:trPr>
        <w:tc>
          <w:tcPr>
            <w:tcW w:w="2440" w:type="dxa"/>
            <w:shd w:val="clear" w:color="auto" w:fill="auto"/>
            <w:noWrap/>
            <w:vAlign w:val="bottom"/>
          </w:tcPr>
          <w:p w14:paraId="437FEDB9"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ДОН</w:t>
            </w:r>
          </w:p>
        </w:tc>
        <w:tc>
          <w:tcPr>
            <w:tcW w:w="6491" w:type="dxa"/>
            <w:shd w:val="clear" w:color="auto" w:fill="auto"/>
            <w:noWrap/>
            <w:vAlign w:val="bottom"/>
          </w:tcPr>
          <w:p w14:paraId="1DCFB6D7"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Дистиреоидная оптическая нейропатия</w:t>
            </w:r>
          </w:p>
        </w:tc>
      </w:tr>
      <w:tr w:rsidR="001204D8" w:rsidRPr="002B136D" w14:paraId="0CE24352" w14:textId="77777777" w:rsidTr="00DF4A3D">
        <w:trPr>
          <w:trHeight w:val="300"/>
        </w:trPr>
        <w:tc>
          <w:tcPr>
            <w:tcW w:w="2440" w:type="dxa"/>
            <w:shd w:val="clear" w:color="auto" w:fill="auto"/>
            <w:noWrap/>
            <w:vAlign w:val="bottom"/>
            <w:hideMark/>
          </w:tcPr>
          <w:p w14:paraId="2EA4AEA5"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ИГХ</w:t>
            </w:r>
          </w:p>
        </w:tc>
        <w:tc>
          <w:tcPr>
            <w:tcW w:w="6491" w:type="dxa"/>
            <w:shd w:val="clear" w:color="auto" w:fill="auto"/>
            <w:noWrap/>
            <w:vAlign w:val="bottom"/>
            <w:hideMark/>
          </w:tcPr>
          <w:p w14:paraId="7ECCABA8"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Иммуногистохимический метод</w:t>
            </w:r>
          </w:p>
        </w:tc>
      </w:tr>
      <w:tr w:rsidR="001204D8" w:rsidRPr="002B136D" w14:paraId="7F2250A4" w14:textId="77777777" w:rsidTr="00DF4A3D">
        <w:trPr>
          <w:trHeight w:val="300"/>
        </w:trPr>
        <w:tc>
          <w:tcPr>
            <w:tcW w:w="2440" w:type="dxa"/>
            <w:shd w:val="clear" w:color="auto" w:fill="auto"/>
            <w:noWrap/>
            <w:vAlign w:val="bottom"/>
            <w:hideMark/>
          </w:tcPr>
          <w:p w14:paraId="5F3D5ADB"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ИФА</w:t>
            </w:r>
          </w:p>
        </w:tc>
        <w:tc>
          <w:tcPr>
            <w:tcW w:w="6491" w:type="dxa"/>
            <w:shd w:val="clear" w:color="auto" w:fill="auto"/>
            <w:noWrap/>
            <w:vAlign w:val="bottom"/>
            <w:hideMark/>
          </w:tcPr>
          <w:p w14:paraId="4FD37AFE"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Иммуноферментный анализ</w:t>
            </w:r>
          </w:p>
        </w:tc>
      </w:tr>
      <w:tr w:rsidR="001204D8" w:rsidRPr="002B136D" w14:paraId="0063E7BB" w14:textId="77777777" w:rsidTr="00DF4A3D">
        <w:trPr>
          <w:trHeight w:val="300"/>
        </w:trPr>
        <w:tc>
          <w:tcPr>
            <w:tcW w:w="2440" w:type="dxa"/>
            <w:shd w:val="clear" w:color="auto" w:fill="auto"/>
            <w:noWrap/>
            <w:vAlign w:val="bottom"/>
          </w:tcPr>
          <w:p w14:paraId="627C92C5" w14:textId="77777777" w:rsidR="001204D8" w:rsidRPr="002B136D" w:rsidRDefault="001204D8" w:rsidP="00D1745B">
            <w:pPr>
              <w:spacing w:after="0" w:line="240" w:lineRule="auto"/>
              <w:contextualSpacing/>
              <w:jc w:val="both"/>
              <w:rPr>
                <w:rFonts w:eastAsia="Times New Roman" w:cs="Times New Roman"/>
                <w:szCs w:val="28"/>
                <w:lang w:val="en-US"/>
              </w:rPr>
            </w:pPr>
            <w:r w:rsidRPr="002B136D">
              <w:rPr>
                <w:rFonts w:eastAsia="Times New Roman" w:cs="Times New Roman"/>
                <w:szCs w:val="28"/>
              </w:rPr>
              <w:t>ИФР-</w:t>
            </w:r>
            <w:r w:rsidRPr="002B136D">
              <w:rPr>
                <w:rFonts w:eastAsia="Times New Roman" w:cs="Times New Roman"/>
                <w:szCs w:val="28"/>
                <w:lang w:val="en-US"/>
              </w:rPr>
              <w:t>(IGF-1R)</w:t>
            </w:r>
          </w:p>
        </w:tc>
        <w:tc>
          <w:tcPr>
            <w:tcW w:w="6491" w:type="dxa"/>
            <w:shd w:val="clear" w:color="auto" w:fill="auto"/>
            <w:noWrap/>
            <w:vAlign w:val="bottom"/>
          </w:tcPr>
          <w:p w14:paraId="60177EAF"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инсулиноподобный фактор роста-1</w:t>
            </w:r>
          </w:p>
        </w:tc>
      </w:tr>
      <w:tr w:rsidR="001204D8" w:rsidRPr="002B136D" w14:paraId="7A492FC3" w14:textId="77777777" w:rsidTr="00DF4A3D">
        <w:trPr>
          <w:trHeight w:val="300"/>
        </w:trPr>
        <w:tc>
          <w:tcPr>
            <w:tcW w:w="2440" w:type="dxa"/>
            <w:shd w:val="clear" w:color="auto" w:fill="auto"/>
            <w:noWrap/>
            <w:vAlign w:val="bottom"/>
          </w:tcPr>
          <w:p w14:paraId="13BD907B"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ИФР-1R-Ат</w:t>
            </w:r>
          </w:p>
        </w:tc>
        <w:tc>
          <w:tcPr>
            <w:tcW w:w="6491" w:type="dxa"/>
            <w:shd w:val="clear" w:color="auto" w:fill="auto"/>
            <w:noWrap/>
            <w:vAlign w:val="bottom"/>
          </w:tcPr>
          <w:p w14:paraId="6A5C8437"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Антитела к рецептору IGF-1</w:t>
            </w:r>
          </w:p>
        </w:tc>
      </w:tr>
      <w:tr w:rsidR="001204D8" w:rsidRPr="002B136D" w14:paraId="738751F2" w14:textId="77777777" w:rsidTr="00DF4A3D">
        <w:trPr>
          <w:trHeight w:val="300"/>
        </w:trPr>
        <w:tc>
          <w:tcPr>
            <w:tcW w:w="2440" w:type="dxa"/>
            <w:shd w:val="clear" w:color="auto" w:fill="auto"/>
            <w:noWrap/>
            <w:vAlign w:val="bottom"/>
          </w:tcPr>
          <w:p w14:paraId="27FD8C5D"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lang w:val="kk-KZ"/>
              </w:rPr>
              <w:t>мРНК</w:t>
            </w:r>
          </w:p>
        </w:tc>
        <w:tc>
          <w:tcPr>
            <w:tcW w:w="6491" w:type="dxa"/>
            <w:shd w:val="clear" w:color="auto" w:fill="auto"/>
            <w:noWrap/>
            <w:vAlign w:val="bottom"/>
          </w:tcPr>
          <w:p w14:paraId="44FE86D4"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lang w:val="kk-KZ"/>
              </w:rPr>
              <w:t>М</w:t>
            </w:r>
            <w:r w:rsidRPr="002B136D">
              <w:rPr>
                <w:rFonts w:eastAsia="Times New Roman" w:cs="Times New Roman"/>
                <w:szCs w:val="28"/>
              </w:rPr>
              <w:t>атеринская рибонуклеиновая кислота</w:t>
            </w:r>
          </w:p>
        </w:tc>
      </w:tr>
      <w:tr w:rsidR="001204D8" w:rsidRPr="002B136D" w14:paraId="48A321AA" w14:textId="77777777" w:rsidTr="00DF4A3D">
        <w:trPr>
          <w:trHeight w:val="300"/>
        </w:trPr>
        <w:tc>
          <w:tcPr>
            <w:tcW w:w="2440" w:type="dxa"/>
            <w:shd w:val="clear" w:color="auto" w:fill="auto"/>
            <w:noWrap/>
            <w:vAlign w:val="bottom"/>
            <w:hideMark/>
          </w:tcPr>
          <w:p w14:paraId="295FB670"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МРТ</w:t>
            </w:r>
          </w:p>
        </w:tc>
        <w:tc>
          <w:tcPr>
            <w:tcW w:w="6491" w:type="dxa"/>
            <w:shd w:val="clear" w:color="auto" w:fill="auto"/>
            <w:noWrap/>
            <w:vAlign w:val="bottom"/>
            <w:hideMark/>
          </w:tcPr>
          <w:p w14:paraId="57E6B463"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Магнитно-резонансная томография</w:t>
            </w:r>
          </w:p>
        </w:tc>
      </w:tr>
      <w:tr w:rsidR="001204D8" w:rsidRPr="002B136D" w14:paraId="05C58424" w14:textId="77777777" w:rsidTr="00DF4A3D">
        <w:trPr>
          <w:trHeight w:val="300"/>
        </w:trPr>
        <w:tc>
          <w:tcPr>
            <w:tcW w:w="2440" w:type="dxa"/>
            <w:shd w:val="clear" w:color="auto" w:fill="auto"/>
            <w:noWrap/>
            <w:vAlign w:val="bottom"/>
          </w:tcPr>
          <w:p w14:paraId="354F5F95" w14:textId="77777777" w:rsidR="001204D8" w:rsidRPr="002B136D" w:rsidRDefault="001204D8" w:rsidP="00D1745B">
            <w:pPr>
              <w:spacing w:after="0" w:line="240" w:lineRule="auto"/>
              <w:contextualSpacing/>
              <w:jc w:val="both"/>
              <w:rPr>
                <w:rFonts w:eastAsia="Times New Roman" w:cs="Times New Roman"/>
                <w:szCs w:val="28"/>
                <w:lang w:val="kk-KZ"/>
              </w:rPr>
            </w:pPr>
            <w:r w:rsidRPr="002B136D">
              <w:rPr>
                <w:rFonts w:eastAsia="Times New Roman" w:cs="Times New Roman"/>
                <w:szCs w:val="28"/>
                <w:lang w:val="kk-KZ"/>
              </w:rPr>
              <w:t>МСКТ</w:t>
            </w:r>
          </w:p>
        </w:tc>
        <w:tc>
          <w:tcPr>
            <w:tcW w:w="6491" w:type="dxa"/>
            <w:shd w:val="clear" w:color="auto" w:fill="auto"/>
            <w:noWrap/>
            <w:vAlign w:val="bottom"/>
          </w:tcPr>
          <w:p w14:paraId="4112B564"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lang w:val="kk-KZ"/>
              </w:rPr>
              <w:t>М</w:t>
            </w:r>
            <w:r w:rsidRPr="002B136D">
              <w:rPr>
                <w:rFonts w:eastAsia="Times New Roman" w:cs="Times New Roman"/>
                <w:szCs w:val="28"/>
              </w:rPr>
              <w:t>ультиспиральная компьютерная томография</w:t>
            </w:r>
          </w:p>
        </w:tc>
      </w:tr>
      <w:tr w:rsidR="001204D8" w:rsidRPr="002B136D" w14:paraId="27DC33F0" w14:textId="77777777" w:rsidTr="00DF4A3D">
        <w:trPr>
          <w:trHeight w:val="300"/>
        </w:trPr>
        <w:tc>
          <w:tcPr>
            <w:tcW w:w="2440" w:type="dxa"/>
            <w:shd w:val="clear" w:color="auto" w:fill="auto"/>
            <w:noWrap/>
            <w:vAlign w:val="bottom"/>
            <w:hideMark/>
          </w:tcPr>
          <w:p w14:paraId="056AFF25"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НК-клетки</w:t>
            </w:r>
          </w:p>
        </w:tc>
        <w:tc>
          <w:tcPr>
            <w:tcW w:w="6491" w:type="dxa"/>
            <w:shd w:val="clear" w:color="auto" w:fill="auto"/>
            <w:noWrap/>
            <w:vAlign w:val="bottom"/>
            <w:hideMark/>
          </w:tcPr>
          <w:p w14:paraId="74CAEC67"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Натуральные киллерные клетки</w:t>
            </w:r>
          </w:p>
        </w:tc>
      </w:tr>
      <w:tr w:rsidR="001204D8" w:rsidRPr="002B136D" w14:paraId="75B21436" w14:textId="77777777" w:rsidTr="00DF4A3D">
        <w:trPr>
          <w:trHeight w:val="300"/>
        </w:trPr>
        <w:tc>
          <w:tcPr>
            <w:tcW w:w="2440" w:type="dxa"/>
            <w:shd w:val="clear" w:color="auto" w:fill="auto"/>
            <w:noWrap/>
            <w:vAlign w:val="bottom"/>
          </w:tcPr>
          <w:p w14:paraId="45C15614"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РА</w:t>
            </w:r>
          </w:p>
        </w:tc>
        <w:tc>
          <w:tcPr>
            <w:tcW w:w="6491" w:type="dxa"/>
            <w:shd w:val="clear" w:color="auto" w:fill="auto"/>
            <w:noWrap/>
            <w:vAlign w:val="bottom"/>
          </w:tcPr>
          <w:p w14:paraId="25101994"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 xml:space="preserve">Ревмотойдный артрит </w:t>
            </w:r>
          </w:p>
        </w:tc>
      </w:tr>
      <w:tr w:rsidR="001204D8" w:rsidRPr="002B136D" w14:paraId="2F5ECBEB" w14:textId="77777777" w:rsidTr="00DF4A3D">
        <w:trPr>
          <w:trHeight w:val="300"/>
        </w:trPr>
        <w:tc>
          <w:tcPr>
            <w:tcW w:w="2440" w:type="dxa"/>
            <w:shd w:val="clear" w:color="auto" w:fill="auto"/>
            <w:noWrap/>
            <w:vAlign w:val="bottom"/>
          </w:tcPr>
          <w:p w14:paraId="4BBE4677"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РАИ</w:t>
            </w:r>
          </w:p>
        </w:tc>
        <w:tc>
          <w:tcPr>
            <w:tcW w:w="6491" w:type="dxa"/>
            <w:shd w:val="clear" w:color="auto" w:fill="auto"/>
            <w:noWrap/>
            <w:vAlign w:val="bottom"/>
          </w:tcPr>
          <w:p w14:paraId="5DA21DD1"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Радиоактивный йод</w:t>
            </w:r>
          </w:p>
        </w:tc>
      </w:tr>
      <w:tr w:rsidR="001204D8" w:rsidRPr="002B136D" w14:paraId="68E8B215" w14:textId="77777777" w:rsidTr="00DF4A3D">
        <w:trPr>
          <w:trHeight w:val="300"/>
        </w:trPr>
        <w:tc>
          <w:tcPr>
            <w:tcW w:w="2440" w:type="dxa"/>
            <w:shd w:val="clear" w:color="auto" w:fill="auto"/>
            <w:noWrap/>
            <w:vAlign w:val="bottom"/>
          </w:tcPr>
          <w:p w14:paraId="62C1CCE9"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р-ТТГ</w:t>
            </w:r>
          </w:p>
        </w:tc>
        <w:tc>
          <w:tcPr>
            <w:tcW w:w="6491" w:type="dxa"/>
            <w:shd w:val="clear" w:color="auto" w:fill="auto"/>
            <w:noWrap/>
            <w:vAlign w:val="bottom"/>
          </w:tcPr>
          <w:p w14:paraId="3FDEFEFB"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Рецептор к тиреотропному гормону</w:t>
            </w:r>
          </w:p>
        </w:tc>
      </w:tr>
      <w:tr w:rsidR="001204D8" w:rsidRPr="002B136D" w14:paraId="68D1DF1C" w14:textId="77777777" w:rsidTr="00DF4A3D">
        <w:trPr>
          <w:trHeight w:val="300"/>
        </w:trPr>
        <w:tc>
          <w:tcPr>
            <w:tcW w:w="2440" w:type="dxa"/>
            <w:shd w:val="clear" w:color="auto" w:fill="auto"/>
            <w:noWrap/>
            <w:vAlign w:val="bottom"/>
          </w:tcPr>
          <w:p w14:paraId="4204B3BC"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СКВ</w:t>
            </w:r>
          </w:p>
        </w:tc>
        <w:tc>
          <w:tcPr>
            <w:tcW w:w="6491" w:type="dxa"/>
            <w:shd w:val="clear" w:color="auto" w:fill="auto"/>
            <w:noWrap/>
            <w:vAlign w:val="bottom"/>
          </w:tcPr>
          <w:p w14:paraId="4970008C"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Системная красная волчанка</w:t>
            </w:r>
          </w:p>
        </w:tc>
      </w:tr>
      <w:tr w:rsidR="001204D8" w:rsidRPr="002B136D" w14:paraId="4E6AC748" w14:textId="77777777" w:rsidTr="00DF4A3D">
        <w:trPr>
          <w:trHeight w:val="300"/>
        </w:trPr>
        <w:tc>
          <w:tcPr>
            <w:tcW w:w="2440" w:type="dxa"/>
            <w:shd w:val="clear" w:color="auto" w:fill="auto"/>
            <w:noWrap/>
            <w:vAlign w:val="bottom"/>
          </w:tcPr>
          <w:p w14:paraId="566936B9" w14:textId="77777777" w:rsidR="001204D8" w:rsidRPr="002B136D" w:rsidRDefault="001204D8" w:rsidP="00D1745B">
            <w:pPr>
              <w:spacing w:after="0" w:line="240" w:lineRule="auto"/>
              <w:contextualSpacing/>
              <w:jc w:val="both"/>
              <w:rPr>
                <w:rFonts w:eastAsia="Times New Roman" w:cs="Times New Roman"/>
                <w:szCs w:val="28"/>
                <w:lang w:val="en-US"/>
              </w:rPr>
            </w:pPr>
            <w:r w:rsidRPr="002B136D">
              <w:rPr>
                <w:rFonts w:eastAsia="Times New Roman" w:cs="Times New Roman"/>
                <w:szCs w:val="28"/>
              </w:rPr>
              <w:t>Т</w:t>
            </w:r>
            <w:proofErr w:type="gramStart"/>
            <w:r w:rsidRPr="002B136D">
              <w:rPr>
                <w:rFonts w:eastAsia="Times New Roman" w:cs="Times New Roman"/>
                <w:szCs w:val="28"/>
                <w:lang w:val="en-US"/>
              </w:rPr>
              <w:t>h</w:t>
            </w:r>
            <w:proofErr w:type="gramEnd"/>
            <w:r w:rsidRPr="002B136D">
              <w:rPr>
                <w:rFonts w:eastAsia="Times New Roman" w:cs="Times New Roman"/>
                <w:szCs w:val="28"/>
                <w:lang w:val="en-US"/>
              </w:rPr>
              <w:t xml:space="preserve"> 17</w:t>
            </w:r>
          </w:p>
        </w:tc>
        <w:tc>
          <w:tcPr>
            <w:tcW w:w="6491" w:type="dxa"/>
            <w:shd w:val="clear" w:color="auto" w:fill="auto"/>
            <w:noWrap/>
            <w:vAlign w:val="bottom"/>
          </w:tcPr>
          <w:p w14:paraId="1D653339" w14:textId="77777777" w:rsidR="001204D8" w:rsidRPr="002B136D" w:rsidRDefault="001204D8" w:rsidP="00D1745B">
            <w:pPr>
              <w:spacing w:after="0" w:line="240" w:lineRule="auto"/>
              <w:ind w:left="254"/>
              <w:contextualSpacing/>
              <w:jc w:val="both"/>
              <w:rPr>
                <w:rFonts w:eastAsia="Times New Roman" w:cs="Times New Roman"/>
                <w:szCs w:val="28"/>
              </w:rPr>
            </w:pPr>
            <w:proofErr w:type="gramStart"/>
            <w:r w:rsidRPr="002B136D">
              <w:rPr>
                <w:rFonts w:eastAsia="Times New Roman" w:cs="Times New Roman"/>
                <w:szCs w:val="28"/>
              </w:rPr>
              <w:t>Т-</w:t>
            </w:r>
            <w:proofErr w:type="gramEnd"/>
            <w:r w:rsidRPr="002B136D">
              <w:rPr>
                <w:rFonts w:eastAsia="Times New Roman" w:cs="Times New Roman"/>
                <w:szCs w:val="28"/>
              </w:rPr>
              <w:t xml:space="preserve"> хелпер 17</w:t>
            </w:r>
          </w:p>
        </w:tc>
      </w:tr>
      <w:tr w:rsidR="001204D8" w:rsidRPr="002B136D" w14:paraId="5E659345" w14:textId="77777777" w:rsidTr="00DF4A3D">
        <w:trPr>
          <w:trHeight w:val="300"/>
        </w:trPr>
        <w:tc>
          <w:tcPr>
            <w:tcW w:w="2440" w:type="dxa"/>
            <w:shd w:val="clear" w:color="auto" w:fill="auto"/>
            <w:noWrap/>
            <w:vAlign w:val="bottom"/>
            <w:hideMark/>
          </w:tcPr>
          <w:p w14:paraId="716BEA1F"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Т-лимф</w:t>
            </w:r>
          </w:p>
        </w:tc>
        <w:tc>
          <w:tcPr>
            <w:tcW w:w="6491" w:type="dxa"/>
            <w:shd w:val="clear" w:color="auto" w:fill="auto"/>
            <w:noWrap/>
            <w:vAlign w:val="bottom"/>
            <w:hideMark/>
          </w:tcPr>
          <w:p w14:paraId="5401A6B7"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Т-лимфоциты</w:t>
            </w:r>
          </w:p>
        </w:tc>
      </w:tr>
      <w:tr w:rsidR="001204D8" w:rsidRPr="002B136D" w14:paraId="7372CE6F" w14:textId="77777777" w:rsidTr="00DF4A3D">
        <w:trPr>
          <w:trHeight w:val="300"/>
        </w:trPr>
        <w:tc>
          <w:tcPr>
            <w:tcW w:w="2440" w:type="dxa"/>
            <w:shd w:val="clear" w:color="auto" w:fill="auto"/>
            <w:noWrap/>
            <w:vAlign w:val="bottom"/>
          </w:tcPr>
          <w:p w14:paraId="79CFA145"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ТТГ</w:t>
            </w:r>
          </w:p>
        </w:tc>
        <w:tc>
          <w:tcPr>
            <w:tcW w:w="6491" w:type="dxa"/>
            <w:shd w:val="clear" w:color="auto" w:fill="auto"/>
            <w:noWrap/>
            <w:vAlign w:val="bottom"/>
          </w:tcPr>
          <w:p w14:paraId="2D6AC0CA"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Тиреотропный гормон</w:t>
            </w:r>
          </w:p>
        </w:tc>
      </w:tr>
      <w:tr w:rsidR="001204D8" w:rsidRPr="002B136D" w14:paraId="1B04F24C" w14:textId="77777777" w:rsidTr="00DF4A3D">
        <w:trPr>
          <w:trHeight w:val="300"/>
        </w:trPr>
        <w:tc>
          <w:tcPr>
            <w:tcW w:w="2440" w:type="dxa"/>
            <w:shd w:val="clear" w:color="auto" w:fill="auto"/>
            <w:noWrap/>
            <w:vAlign w:val="bottom"/>
          </w:tcPr>
          <w:p w14:paraId="16667C5A"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ФБ</w:t>
            </w:r>
          </w:p>
        </w:tc>
        <w:tc>
          <w:tcPr>
            <w:tcW w:w="6491" w:type="dxa"/>
            <w:shd w:val="clear" w:color="auto" w:fill="auto"/>
            <w:noWrap/>
            <w:vAlign w:val="bottom"/>
          </w:tcPr>
          <w:p w14:paraId="74BD3E1E"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 xml:space="preserve">Фибробласты </w:t>
            </w:r>
          </w:p>
        </w:tc>
      </w:tr>
      <w:tr w:rsidR="001204D8" w:rsidRPr="002B136D" w14:paraId="79DE0236" w14:textId="77777777" w:rsidTr="00DF4A3D">
        <w:trPr>
          <w:trHeight w:val="300"/>
        </w:trPr>
        <w:tc>
          <w:tcPr>
            <w:tcW w:w="2440" w:type="dxa"/>
            <w:shd w:val="clear" w:color="auto" w:fill="auto"/>
            <w:noWrap/>
            <w:vAlign w:val="bottom"/>
            <w:hideMark/>
          </w:tcPr>
          <w:p w14:paraId="27D00894" w14:textId="77777777" w:rsidR="001204D8" w:rsidRPr="002B136D" w:rsidRDefault="001204D8" w:rsidP="00D1745B">
            <w:pPr>
              <w:spacing w:after="0" w:line="240" w:lineRule="auto"/>
              <w:contextualSpacing/>
              <w:jc w:val="both"/>
              <w:rPr>
                <w:rFonts w:eastAsia="Times New Roman" w:cs="Times New Roman"/>
                <w:szCs w:val="28"/>
              </w:rPr>
            </w:pPr>
            <w:r w:rsidRPr="002B136D">
              <w:rPr>
                <w:rFonts w:eastAsia="Times New Roman" w:cs="Times New Roman"/>
                <w:szCs w:val="28"/>
              </w:rPr>
              <w:t>ЭОП</w:t>
            </w:r>
          </w:p>
        </w:tc>
        <w:tc>
          <w:tcPr>
            <w:tcW w:w="6491" w:type="dxa"/>
            <w:shd w:val="clear" w:color="auto" w:fill="auto"/>
            <w:noWrap/>
            <w:vAlign w:val="bottom"/>
            <w:hideMark/>
          </w:tcPr>
          <w:p w14:paraId="72E5EDBB" w14:textId="77777777" w:rsidR="001204D8" w:rsidRPr="002B136D" w:rsidRDefault="001204D8"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Эндокринная офтальмопатия</w:t>
            </w:r>
          </w:p>
        </w:tc>
      </w:tr>
      <w:tr w:rsidR="003579F1" w:rsidRPr="002B136D" w14:paraId="501A6151" w14:textId="77777777" w:rsidTr="00DF4A3D">
        <w:trPr>
          <w:trHeight w:val="300"/>
        </w:trPr>
        <w:tc>
          <w:tcPr>
            <w:tcW w:w="2440" w:type="dxa"/>
            <w:shd w:val="clear" w:color="auto" w:fill="auto"/>
            <w:noWrap/>
            <w:vAlign w:val="bottom"/>
          </w:tcPr>
          <w:p w14:paraId="03D34A23" w14:textId="6E4F133F" w:rsidR="003579F1" w:rsidRPr="002B136D" w:rsidRDefault="003579F1" w:rsidP="00D1745B">
            <w:pPr>
              <w:spacing w:after="0" w:line="240" w:lineRule="auto"/>
              <w:contextualSpacing/>
              <w:jc w:val="both"/>
              <w:rPr>
                <w:rFonts w:eastAsia="Times New Roman" w:cs="Times New Roman"/>
                <w:szCs w:val="28"/>
              </w:rPr>
            </w:pPr>
            <w:r w:rsidRPr="002B136D">
              <w:rPr>
                <w:rFonts w:cs="Times New Roman"/>
                <w:szCs w:val="28"/>
                <w:lang w:val="en-US"/>
              </w:rPr>
              <w:t>Act1</w:t>
            </w:r>
          </w:p>
        </w:tc>
        <w:tc>
          <w:tcPr>
            <w:tcW w:w="6491" w:type="dxa"/>
            <w:shd w:val="clear" w:color="auto" w:fill="auto"/>
            <w:noWrap/>
            <w:vAlign w:val="bottom"/>
          </w:tcPr>
          <w:p w14:paraId="5BCFDB3C" w14:textId="6AA24907"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bCs/>
                <w:szCs w:val="28"/>
              </w:rPr>
              <w:t>Адаптерный белок </w:t>
            </w:r>
          </w:p>
        </w:tc>
      </w:tr>
      <w:tr w:rsidR="003579F1" w:rsidRPr="002B136D" w14:paraId="2CAFE992" w14:textId="77777777" w:rsidTr="00DF4A3D">
        <w:trPr>
          <w:trHeight w:val="300"/>
        </w:trPr>
        <w:tc>
          <w:tcPr>
            <w:tcW w:w="2440" w:type="dxa"/>
            <w:shd w:val="clear" w:color="auto" w:fill="auto"/>
            <w:noWrap/>
            <w:vAlign w:val="bottom"/>
          </w:tcPr>
          <w:p w14:paraId="5834F34B" w14:textId="73A03FA9" w:rsidR="003579F1" w:rsidRPr="002B136D" w:rsidRDefault="003579F1" w:rsidP="00D1745B">
            <w:pPr>
              <w:spacing w:after="0" w:line="240" w:lineRule="auto"/>
              <w:contextualSpacing/>
              <w:jc w:val="both"/>
              <w:rPr>
                <w:rFonts w:cs="Times New Roman"/>
                <w:szCs w:val="28"/>
                <w:lang w:val="en-US"/>
              </w:rPr>
            </w:pPr>
            <w:r w:rsidRPr="002B136D">
              <w:rPr>
                <w:rFonts w:eastAsia="Times New Roman" w:cs="Times New Roman"/>
                <w:szCs w:val="28"/>
                <w:lang w:val="en-US"/>
              </w:rPr>
              <w:t>CAS</w:t>
            </w:r>
          </w:p>
        </w:tc>
        <w:tc>
          <w:tcPr>
            <w:tcW w:w="6491" w:type="dxa"/>
            <w:shd w:val="clear" w:color="auto" w:fill="auto"/>
            <w:noWrap/>
            <w:vAlign w:val="bottom"/>
          </w:tcPr>
          <w:p w14:paraId="02666150" w14:textId="65B71B05" w:rsidR="003579F1" w:rsidRPr="002B136D" w:rsidRDefault="003579F1" w:rsidP="00D1745B">
            <w:pPr>
              <w:spacing w:after="0" w:line="240" w:lineRule="auto"/>
              <w:ind w:left="254"/>
              <w:contextualSpacing/>
              <w:jc w:val="both"/>
              <w:rPr>
                <w:rFonts w:eastAsia="Times New Roman" w:cs="Times New Roman"/>
                <w:bCs/>
                <w:szCs w:val="28"/>
              </w:rPr>
            </w:pPr>
            <w:r w:rsidRPr="002B136D">
              <w:rPr>
                <w:rFonts w:eastAsia="Times New Roman" w:cs="Times New Roman"/>
                <w:szCs w:val="28"/>
              </w:rPr>
              <w:t>Показатель клинической активности</w:t>
            </w:r>
          </w:p>
        </w:tc>
      </w:tr>
      <w:tr w:rsidR="003579F1" w:rsidRPr="002B136D" w14:paraId="7CB08672" w14:textId="77777777" w:rsidTr="00DF4A3D">
        <w:trPr>
          <w:trHeight w:val="300"/>
        </w:trPr>
        <w:tc>
          <w:tcPr>
            <w:tcW w:w="2440" w:type="dxa"/>
            <w:shd w:val="clear" w:color="auto" w:fill="auto"/>
            <w:noWrap/>
            <w:vAlign w:val="bottom"/>
          </w:tcPr>
          <w:p w14:paraId="5216F3DC" w14:textId="1B22B741" w:rsidR="003579F1" w:rsidRPr="002B136D" w:rsidRDefault="003579F1" w:rsidP="00D1745B">
            <w:pPr>
              <w:spacing w:after="0" w:line="240" w:lineRule="auto"/>
              <w:contextualSpacing/>
              <w:jc w:val="both"/>
              <w:rPr>
                <w:rFonts w:eastAsia="Times New Roman" w:cs="Times New Roman"/>
                <w:szCs w:val="28"/>
                <w:lang w:val="en-US"/>
              </w:rPr>
            </w:pPr>
            <w:r w:rsidRPr="002B136D">
              <w:rPr>
                <w:rFonts w:cs="Times New Roman"/>
                <w:szCs w:val="28"/>
                <w:lang w:val="en-US"/>
              </w:rPr>
              <w:t>CXCL</w:t>
            </w:r>
            <w:r w:rsidRPr="002B136D">
              <w:rPr>
                <w:rFonts w:cs="Times New Roman"/>
                <w:szCs w:val="28"/>
                <w:lang w:val="kk-KZ"/>
              </w:rPr>
              <w:t>10</w:t>
            </w:r>
          </w:p>
        </w:tc>
        <w:tc>
          <w:tcPr>
            <w:tcW w:w="6491" w:type="dxa"/>
            <w:shd w:val="clear" w:color="auto" w:fill="auto"/>
            <w:noWrap/>
            <w:vAlign w:val="bottom"/>
          </w:tcPr>
          <w:p w14:paraId="55962905" w14:textId="1DDD0B69"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bCs/>
                <w:szCs w:val="28"/>
                <w:lang w:val="kk-KZ"/>
              </w:rPr>
              <w:t>Ц</w:t>
            </w:r>
            <w:r w:rsidRPr="002B136D">
              <w:rPr>
                <w:rFonts w:eastAsia="Times New Roman" w:cs="Times New Roman"/>
                <w:bCs/>
                <w:szCs w:val="28"/>
              </w:rPr>
              <w:t>итокин, принадлежащий к семейству хемокинов CXC</w:t>
            </w:r>
            <w:r w:rsidRPr="002B136D">
              <w:rPr>
                <w:rFonts w:eastAsia="Times New Roman" w:cs="Times New Roman"/>
                <w:szCs w:val="28"/>
              </w:rPr>
              <w:t>.</w:t>
            </w:r>
          </w:p>
        </w:tc>
      </w:tr>
      <w:tr w:rsidR="003579F1" w:rsidRPr="002B136D" w14:paraId="45DEA931" w14:textId="77777777" w:rsidTr="00DF4A3D">
        <w:trPr>
          <w:trHeight w:val="300"/>
        </w:trPr>
        <w:tc>
          <w:tcPr>
            <w:tcW w:w="2440" w:type="dxa"/>
            <w:shd w:val="clear" w:color="auto" w:fill="auto"/>
            <w:noWrap/>
            <w:vAlign w:val="bottom"/>
          </w:tcPr>
          <w:p w14:paraId="117FC4CF" w14:textId="0A0D870F" w:rsidR="003579F1" w:rsidRPr="002B136D" w:rsidRDefault="003579F1" w:rsidP="00D1745B">
            <w:pPr>
              <w:spacing w:after="0" w:line="240" w:lineRule="auto"/>
              <w:contextualSpacing/>
              <w:jc w:val="both"/>
              <w:rPr>
                <w:rFonts w:cs="Times New Roman"/>
                <w:szCs w:val="28"/>
                <w:lang w:val="en-US"/>
              </w:rPr>
            </w:pPr>
            <w:r w:rsidRPr="002B136D">
              <w:rPr>
                <w:rFonts w:cs="Times New Roman"/>
                <w:szCs w:val="28"/>
                <w:lang w:val="en-US"/>
              </w:rPr>
              <w:t>CXCL9</w:t>
            </w:r>
          </w:p>
        </w:tc>
        <w:tc>
          <w:tcPr>
            <w:tcW w:w="6491" w:type="dxa"/>
            <w:shd w:val="clear" w:color="auto" w:fill="auto"/>
            <w:noWrap/>
            <w:vAlign w:val="bottom"/>
          </w:tcPr>
          <w:p w14:paraId="6DADF6B6" w14:textId="4402FE26" w:rsidR="003579F1" w:rsidRPr="002B136D" w:rsidRDefault="003579F1" w:rsidP="00D1745B">
            <w:pPr>
              <w:spacing w:after="0" w:line="240" w:lineRule="auto"/>
              <w:ind w:left="254"/>
              <w:contextualSpacing/>
              <w:jc w:val="both"/>
              <w:rPr>
                <w:rFonts w:eastAsia="Times New Roman" w:cs="Times New Roman"/>
                <w:bCs/>
                <w:szCs w:val="28"/>
                <w:lang w:val="kk-KZ"/>
              </w:rPr>
            </w:pPr>
            <w:r w:rsidRPr="002B136D">
              <w:rPr>
                <w:rFonts w:eastAsia="Times New Roman" w:cs="Times New Roman"/>
                <w:szCs w:val="28"/>
                <w:lang w:val="kk-KZ"/>
              </w:rPr>
              <w:t>Лиганд 9 хемокина (мотив CXC)</w:t>
            </w:r>
          </w:p>
        </w:tc>
      </w:tr>
      <w:tr w:rsidR="003579F1" w:rsidRPr="002B136D" w14:paraId="23E3DE23" w14:textId="77777777" w:rsidTr="00DF4A3D">
        <w:trPr>
          <w:trHeight w:val="300"/>
        </w:trPr>
        <w:tc>
          <w:tcPr>
            <w:tcW w:w="2440" w:type="dxa"/>
            <w:shd w:val="clear" w:color="auto" w:fill="auto"/>
            <w:noWrap/>
            <w:vAlign w:val="bottom"/>
          </w:tcPr>
          <w:p w14:paraId="70D949D6" w14:textId="77CDA4DA" w:rsidR="003579F1" w:rsidRPr="002B136D" w:rsidRDefault="003579F1" w:rsidP="00D1745B">
            <w:pPr>
              <w:spacing w:after="0" w:line="240" w:lineRule="auto"/>
              <w:contextualSpacing/>
              <w:jc w:val="both"/>
              <w:rPr>
                <w:rFonts w:cs="Times New Roman"/>
                <w:szCs w:val="28"/>
                <w:lang w:val="en-US"/>
              </w:rPr>
            </w:pPr>
            <w:r w:rsidRPr="002B136D">
              <w:rPr>
                <w:rFonts w:eastAsia="Times New Roman" w:cs="Times New Roman"/>
                <w:szCs w:val="28"/>
                <w:lang w:val="en-US"/>
              </w:rPr>
              <w:t>EUGOGO</w:t>
            </w:r>
          </w:p>
        </w:tc>
        <w:tc>
          <w:tcPr>
            <w:tcW w:w="6491" w:type="dxa"/>
            <w:shd w:val="clear" w:color="auto" w:fill="auto"/>
            <w:noWrap/>
            <w:vAlign w:val="bottom"/>
          </w:tcPr>
          <w:p w14:paraId="5AF27E4B" w14:textId="273A2B9E" w:rsidR="003579F1" w:rsidRPr="002B136D" w:rsidRDefault="003579F1" w:rsidP="00D1745B">
            <w:pPr>
              <w:spacing w:after="0" w:line="240" w:lineRule="auto"/>
              <w:ind w:left="254"/>
              <w:contextualSpacing/>
              <w:jc w:val="both"/>
              <w:rPr>
                <w:rFonts w:eastAsia="Times New Roman" w:cs="Times New Roman"/>
                <w:szCs w:val="28"/>
                <w:lang w:val="kk-KZ"/>
              </w:rPr>
            </w:pPr>
            <w:r w:rsidRPr="002B136D">
              <w:rPr>
                <w:rFonts w:eastAsia="Times New Roman" w:cs="Times New Roman"/>
                <w:szCs w:val="28"/>
              </w:rPr>
              <w:t>Европейская группа по орбитопатии Грейвса</w:t>
            </w:r>
          </w:p>
        </w:tc>
      </w:tr>
      <w:tr w:rsidR="003579F1" w:rsidRPr="002B136D" w14:paraId="4F576681" w14:textId="77777777" w:rsidTr="00DF4A3D">
        <w:trPr>
          <w:trHeight w:val="300"/>
        </w:trPr>
        <w:tc>
          <w:tcPr>
            <w:tcW w:w="2440" w:type="dxa"/>
            <w:shd w:val="clear" w:color="auto" w:fill="auto"/>
            <w:noWrap/>
            <w:vAlign w:val="bottom"/>
          </w:tcPr>
          <w:p w14:paraId="2C7DDCF4" w14:textId="67043369" w:rsidR="003579F1" w:rsidRPr="002B136D" w:rsidRDefault="003579F1" w:rsidP="00D1745B">
            <w:pPr>
              <w:spacing w:after="0" w:line="240" w:lineRule="auto"/>
              <w:contextualSpacing/>
              <w:jc w:val="both"/>
              <w:rPr>
                <w:rFonts w:eastAsia="Times New Roman" w:cs="Times New Roman"/>
                <w:szCs w:val="28"/>
                <w:lang w:val="en-US"/>
              </w:rPr>
            </w:pPr>
            <w:r w:rsidRPr="002B136D">
              <w:rPr>
                <w:rFonts w:cs="Times New Roman"/>
                <w:szCs w:val="28"/>
                <w:lang w:val="kk-KZ"/>
              </w:rPr>
              <w:t>EUGOGO</w:t>
            </w:r>
          </w:p>
        </w:tc>
        <w:tc>
          <w:tcPr>
            <w:tcW w:w="6491" w:type="dxa"/>
            <w:shd w:val="clear" w:color="auto" w:fill="auto"/>
            <w:noWrap/>
            <w:vAlign w:val="bottom"/>
          </w:tcPr>
          <w:p w14:paraId="739251C2" w14:textId="2735271A"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szCs w:val="28"/>
                <w:lang w:val="kk-KZ"/>
              </w:rPr>
              <w:t>Европейская группа исследователей болезни Грейвса</w:t>
            </w:r>
          </w:p>
        </w:tc>
      </w:tr>
      <w:tr w:rsidR="003579F1" w:rsidRPr="002B136D" w14:paraId="080622AD" w14:textId="77777777" w:rsidTr="00DF4A3D">
        <w:trPr>
          <w:trHeight w:val="300"/>
        </w:trPr>
        <w:tc>
          <w:tcPr>
            <w:tcW w:w="2440" w:type="dxa"/>
            <w:shd w:val="clear" w:color="auto" w:fill="auto"/>
            <w:noWrap/>
            <w:vAlign w:val="bottom"/>
          </w:tcPr>
          <w:p w14:paraId="09CDF7E6" w14:textId="6E6CF1B4" w:rsidR="003579F1" w:rsidRPr="002B136D" w:rsidRDefault="003579F1" w:rsidP="00D1745B">
            <w:pPr>
              <w:spacing w:after="0" w:line="240" w:lineRule="auto"/>
              <w:contextualSpacing/>
              <w:jc w:val="both"/>
              <w:rPr>
                <w:rFonts w:cs="Times New Roman"/>
                <w:szCs w:val="28"/>
                <w:lang w:val="kk-KZ"/>
              </w:rPr>
            </w:pPr>
            <w:r w:rsidRPr="002B136D">
              <w:rPr>
                <w:rFonts w:cs="Times New Roman"/>
                <w:szCs w:val="28"/>
                <w:lang w:val="en-US"/>
              </w:rPr>
              <w:t>GAG</w:t>
            </w:r>
          </w:p>
        </w:tc>
        <w:tc>
          <w:tcPr>
            <w:tcW w:w="6491" w:type="dxa"/>
            <w:shd w:val="clear" w:color="auto" w:fill="auto"/>
            <w:noWrap/>
            <w:vAlign w:val="bottom"/>
          </w:tcPr>
          <w:p w14:paraId="3DABEF3F" w14:textId="648182B2" w:rsidR="003579F1" w:rsidRPr="002B136D" w:rsidRDefault="003579F1" w:rsidP="00D1745B">
            <w:pPr>
              <w:spacing w:after="0" w:line="240" w:lineRule="auto"/>
              <w:ind w:left="254"/>
              <w:contextualSpacing/>
              <w:jc w:val="both"/>
              <w:rPr>
                <w:rFonts w:eastAsia="Times New Roman" w:cs="Times New Roman"/>
                <w:szCs w:val="28"/>
                <w:lang w:val="kk-KZ"/>
              </w:rPr>
            </w:pPr>
            <w:r w:rsidRPr="002B136D">
              <w:rPr>
                <w:rFonts w:cs="Times New Roman"/>
                <w:szCs w:val="28"/>
              </w:rPr>
              <w:t>Гликозаминогликан</w:t>
            </w:r>
          </w:p>
        </w:tc>
      </w:tr>
      <w:tr w:rsidR="003579F1" w:rsidRPr="002B136D" w14:paraId="6D486FF4" w14:textId="77777777" w:rsidTr="00DF4A3D">
        <w:trPr>
          <w:trHeight w:val="300"/>
        </w:trPr>
        <w:tc>
          <w:tcPr>
            <w:tcW w:w="2440" w:type="dxa"/>
            <w:shd w:val="clear" w:color="auto" w:fill="auto"/>
            <w:noWrap/>
            <w:vAlign w:val="bottom"/>
          </w:tcPr>
          <w:p w14:paraId="4FE9BBEA" w14:textId="0EFBE7F8" w:rsidR="003579F1" w:rsidRPr="002B136D" w:rsidRDefault="003579F1" w:rsidP="00D1745B">
            <w:pPr>
              <w:spacing w:after="0" w:line="240" w:lineRule="auto"/>
              <w:contextualSpacing/>
              <w:jc w:val="both"/>
              <w:rPr>
                <w:rFonts w:cs="Times New Roman"/>
                <w:szCs w:val="28"/>
                <w:lang w:val="en-US"/>
              </w:rPr>
            </w:pPr>
            <w:r w:rsidRPr="002B136D">
              <w:rPr>
                <w:rFonts w:cs="Times New Roman"/>
                <w:szCs w:val="28"/>
                <w:lang w:val="kk-KZ"/>
              </w:rPr>
              <w:t>GWAS</w:t>
            </w:r>
          </w:p>
        </w:tc>
        <w:tc>
          <w:tcPr>
            <w:tcW w:w="6491" w:type="dxa"/>
            <w:shd w:val="clear" w:color="auto" w:fill="auto"/>
            <w:noWrap/>
            <w:vAlign w:val="bottom"/>
          </w:tcPr>
          <w:p w14:paraId="54DAE9CE" w14:textId="70FEC006" w:rsidR="003579F1" w:rsidRPr="002B136D" w:rsidRDefault="003579F1" w:rsidP="00D1745B">
            <w:pPr>
              <w:spacing w:after="0" w:line="240" w:lineRule="auto"/>
              <w:ind w:left="254"/>
              <w:contextualSpacing/>
              <w:jc w:val="both"/>
              <w:rPr>
                <w:rFonts w:cs="Times New Roman"/>
                <w:szCs w:val="28"/>
              </w:rPr>
            </w:pPr>
            <w:r w:rsidRPr="002B136D">
              <w:rPr>
                <w:rFonts w:eastAsia="Times New Roman" w:cs="Times New Roman"/>
                <w:szCs w:val="28"/>
                <w:lang w:val="kk-KZ"/>
              </w:rPr>
              <w:t>Полногеномное исследование ассоциаций</w:t>
            </w:r>
          </w:p>
        </w:tc>
      </w:tr>
      <w:tr w:rsidR="003579F1" w:rsidRPr="002B136D" w14:paraId="2A7F7ABA" w14:textId="77777777" w:rsidTr="00DF4A3D">
        <w:trPr>
          <w:trHeight w:val="300"/>
        </w:trPr>
        <w:tc>
          <w:tcPr>
            <w:tcW w:w="2440" w:type="dxa"/>
            <w:shd w:val="clear" w:color="auto" w:fill="auto"/>
            <w:noWrap/>
            <w:vAlign w:val="bottom"/>
          </w:tcPr>
          <w:p w14:paraId="48337F69" w14:textId="7793FD2B" w:rsidR="003579F1" w:rsidRPr="002B136D" w:rsidRDefault="003579F1" w:rsidP="00D1745B">
            <w:pPr>
              <w:spacing w:after="0" w:line="240" w:lineRule="auto"/>
              <w:contextualSpacing/>
              <w:jc w:val="both"/>
              <w:rPr>
                <w:rFonts w:cs="Times New Roman"/>
                <w:szCs w:val="28"/>
                <w:lang w:val="kk-KZ"/>
              </w:rPr>
            </w:pPr>
            <w:r w:rsidRPr="002B136D">
              <w:rPr>
                <w:rFonts w:eastAsia="Times New Roman" w:cs="Times New Roman"/>
                <w:szCs w:val="28"/>
                <w:lang w:val="en-US"/>
              </w:rPr>
              <w:t>HRT</w:t>
            </w:r>
          </w:p>
        </w:tc>
        <w:tc>
          <w:tcPr>
            <w:tcW w:w="6491" w:type="dxa"/>
            <w:shd w:val="clear" w:color="auto" w:fill="auto"/>
            <w:noWrap/>
            <w:vAlign w:val="bottom"/>
          </w:tcPr>
          <w:p w14:paraId="7AABC3B2" w14:textId="03646564" w:rsidR="003579F1" w:rsidRPr="002B136D" w:rsidRDefault="003579F1" w:rsidP="00D1745B">
            <w:pPr>
              <w:spacing w:after="0" w:line="240" w:lineRule="auto"/>
              <w:ind w:left="254"/>
              <w:contextualSpacing/>
              <w:jc w:val="both"/>
              <w:rPr>
                <w:rFonts w:eastAsia="Times New Roman" w:cs="Times New Roman"/>
                <w:szCs w:val="28"/>
                <w:lang w:val="kk-KZ"/>
              </w:rPr>
            </w:pPr>
            <w:r w:rsidRPr="002B136D">
              <w:rPr>
                <w:rFonts w:eastAsia="Times New Roman" w:cs="Times New Roman"/>
                <w:szCs w:val="28"/>
              </w:rPr>
              <w:t>Гейдельбергская ретинальная томография</w:t>
            </w:r>
          </w:p>
        </w:tc>
      </w:tr>
      <w:tr w:rsidR="003579F1" w:rsidRPr="002B136D" w14:paraId="62B3D827" w14:textId="77777777" w:rsidTr="00DF4A3D">
        <w:trPr>
          <w:trHeight w:val="300"/>
        </w:trPr>
        <w:tc>
          <w:tcPr>
            <w:tcW w:w="2440" w:type="dxa"/>
            <w:shd w:val="clear" w:color="auto" w:fill="auto"/>
            <w:noWrap/>
            <w:vAlign w:val="bottom"/>
          </w:tcPr>
          <w:p w14:paraId="5F09064F" w14:textId="28782CB5" w:rsidR="003579F1" w:rsidRPr="002B136D" w:rsidRDefault="003579F1" w:rsidP="00D1745B">
            <w:pPr>
              <w:spacing w:after="0" w:line="240" w:lineRule="auto"/>
              <w:contextualSpacing/>
              <w:jc w:val="both"/>
              <w:rPr>
                <w:rFonts w:eastAsia="Times New Roman" w:cs="Times New Roman"/>
                <w:szCs w:val="28"/>
                <w:lang w:val="en-US"/>
              </w:rPr>
            </w:pPr>
            <w:r w:rsidRPr="002B136D">
              <w:rPr>
                <w:rFonts w:cs="Times New Roman"/>
                <w:szCs w:val="28"/>
              </w:rPr>
              <w:t>IFN-γ</w:t>
            </w:r>
          </w:p>
        </w:tc>
        <w:tc>
          <w:tcPr>
            <w:tcW w:w="6491" w:type="dxa"/>
            <w:shd w:val="clear" w:color="auto" w:fill="auto"/>
            <w:noWrap/>
            <w:vAlign w:val="bottom"/>
          </w:tcPr>
          <w:p w14:paraId="7843F8FC" w14:textId="2557DBBF"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Интерферон-γ</w:t>
            </w:r>
          </w:p>
        </w:tc>
      </w:tr>
      <w:tr w:rsidR="003579F1" w:rsidRPr="002B136D" w14:paraId="7BA5C7FF" w14:textId="77777777" w:rsidTr="00DF4A3D">
        <w:trPr>
          <w:trHeight w:val="300"/>
        </w:trPr>
        <w:tc>
          <w:tcPr>
            <w:tcW w:w="2440" w:type="dxa"/>
            <w:shd w:val="clear" w:color="auto" w:fill="auto"/>
            <w:noWrap/>
            <w:vAlign w:val="bottom"/>
          </w:tcPr>
          <w:p w14:paraId="6333B19D" w14:textId="21F68ECE" w:rsidR="003579F1" w:rsidRPr="002B136D" w:rsidRDefault="003579F1" w:rsidP="00D1745B">
            <w:pPr>
              <w:spacing w:after="0" w:line="240" w:lineRule="auto"/>
              <w:contextualSpacing/>
              <w:jc w:val="both"/>
              <w:rPr>
                <w:rFonts w:cs="Times New Roman"/>
                <w:szCs w:val="28"/>
              </w:rPr>
            </w:pPr>
            <w:r w:rsidRPr="002B136D">
              <w:rPr>
                <w:rFonts w:eastAsia="Times New Roman" w:cs="Times New Roman"/>
                <w:szCs w:val="28"/>
              </w:rPr>
              <w:t>IL-17</w:t>
            </w:r>
          </w:p>
        </w:tc>
        <w:tc>
          <w:tcPr>
            <w:tcW w:w="6491" w:type="dxa"/>
            <w:shd w:val="clear" w:color="auto" w:fill="auto"/>
            <w:noWrap/>
            <w:vAlign w:val="bottom"/>
          </w:tcPr>
          <w:p w14:paraId="5131B97D" w14:textId="0AD13068"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Интерлейкин-17</w:t>
            </w:r>
          </w:p>
        </w:tc>
      </w:tr>
      <w:tr w:rsidR="003579F1" w:rsidRPr="002B136D" w14:paraId="3C1D40F7" w14:textId="77777777" w:rsidTr="00DF4A3D">
        <w:trPr>
          <w:trHeight w:val="300"/>
        </w:trPr>
        <w:tc>
          <w:tcPr>
            <w:tcW w:w="2440" w:type="dxa"/>
            <w:shd w:val="clear" w:color="auto" w:fill="auto"/>
            <w:noWrap/>
            <w:vAlign w:val="bottom"/>
          </w:tcPr>
          <w:p w14:paraId="51E35B10" w14:textId="495208BD" w:rsidR="003579F1" w:rsidRPr="002B136D" w:rsidRDefault="003579F1" w:rsidP="00D1745B">
            <w:pPr>
              <w:spacing w:after="0" w:line="240" w:lineRule="auto"/>
              <w:contextualSpacing/>
              <w:jc w:val="both"/>
              <w:rPr>
                <w:rFonts w:eastAsia="Times New Roman" w:cs="Times New Roman"/>
                <w:szCs w:val="28"/>
              </w:rPr>
            </w:pPr>
            <w:r w:rsidRPr="002B136D">
              <w:rPr>
                <w:rFonts w:cs="Times New Roman"/>
                <w:szCs w:val="28"/>
                <w:lang w:val="kk-KZ"/>
              </w:rPr>
              <w:t>IL-1R1</w:t>
            </w:r>
          </w:p>
        </w:tc>
        <w:tc>
          <w:tcPr>
            <w:tcW w:w="6491" w:type="dxa"/>
            <w:shd w:val="clear" w:color="auto" w:fill="auto"/>
            <w:noWrap/>
            <w:vAlign w:val="bottom"/>
          </w:tcPr>
          <w:p w14:paraId="1A2943DD" w14:textId="6B261FA9"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szCs w:val="28"/>
                <w:lang w:val="kk-KZ"/>
              </w:rPr>
              <w:t>Рецептор интерлейкин-1 типа 1</w:t>
            </w:r>
          </w:p>
        </w:tc>
      </w:tr>
      <w:tr w:rsidR="003579F1" w:rsidRPr="002B136D" w14:paraId="1C7C30D8" w14:textId="77777777" w:rsidTr="00DF4A3D">
        <w:trPr>
          <w:trHeight w:val="300"/>
        </w:trPr>
        <w:tc>
          <w:tcPr>
            <w:tcW w:w="2440" w:type="dxa"/>
            <w:shd w:val="clear" w:color="auto" w:fill="auto"/>
            <w:noWrap/>
            <w:vAlign w:val="bottom"/>
          </w:tcPr>
          <w:p w14:paraId="7EDD302E" w14:textId="636A96FF" w:rsidR="003579F1" w:rsidRPr="002B136D" w:rsidRDefault="003579F1" w:rsidP="00D1745B">
            <w:pPr>
              <w:spacing w:after="0" w:line="240" w:lineRule="auto"/>
              <w:contextualSpacing/>
              <w:jc w:val="both"/>
              <w:rPr>
                <w:rFonts w:cs="Times New Roman"/>
                <w:szCs w:val="28"/>
                <w:lang w:val="kk-KZ"/>
              </w:rPr>
            </w:pPr>
            <w:r w:rsidRPr="002B136D">
              <w:rPr>
                <w:rFonts w:cs="Times New Roman"/>
                <w:szCs w:val="28"/>
                <w:lang w:val="kk-KZ"/>
              </w:rPr>
              <w:t xml:space="preserve">IL-36R </w:t>
            </w:r>
          </w:p>
        </w:tc>
        <w:tc>
          <w:tcPr>
            <w:tcW w:w="6491" w:type="dxa"/>
            <w:shd w:val="clear" w:color="auto" w:fill="auto"/>
            <w:noWrap/>
            <w:vAlign w:val="bottom"/>
          </w:tcPr>
          <w:p w14:paraId="068E4F13" w14:textId="0B2FAE40" w:rsidR="003579F1" w:rsidRPr="002B136D" w:rsidRDefault="003579F1" w:rsidP="00D1745B">
            <w:pPr>
              <w:spacing w:after="0" w:line="240" w:lineRule="auto"/>
              <w:ind w:left="254"/>
              <w:contextualSpacing/>
              <w:jc w:val="both"/>
              <w:rPr>
                <w:rFonts w:eastAsia="Times New Roman" w:cs="Times New Roman"/>
                <w:szCs w:val="28"/>
                <w:lang w:val="kk-KZ"/>
              </w:rPr>
            </w:pPr>
            <w:r w:rsidRPr="002B136D">
              <w:rPr>
                <w:rFonts w:eastAsia="Times New Roman" w:cs="Times New Roman"/>
                <w:szCs w:val="28"/>
                <w:lang w:val="kk-KZ"/>
              </w:rPr>
              <w:t>Рецептор интерлейкина 36</w:t>
            </w:r>
          </w:p>
        </w:tc>
      </w:tr>
      <w:tr w:rsidR="003579F1" w:rsidRPr="002B136D" w14:paraId="5F4F4447" w14:textId="77777777" w:rsidTr="00DF4A3D">
        <w:trPr>
          <w:trHeight w:val="300"/>
        </w:trPr>
        <w:tc>
          <w:tcPr>
            <w:tcW w:w="2440" w:type="dxa"/>
            <w:shd w:val="clear" w:color="auto" w:fill="auto"/>
            <w:noWrap/>
            <w:vAlign w:val="bottom"/>
          </w:tcPr>
          <w:p w14:paraId="525D29F5" w14:textId="7EFB53A5" w:rsidR="003579F1" w:rsidRPr="002B136D" w:rsidRDefault="003579F1" w:rsidP="00D1745B">
            <w:pPr>
              <w:spacing w:after="0" w:line="240" w:lineRule="auto"/>
              <w:contextualSpacing/>
              <w:jc w:val="both"/>
              <w:rPr>
                <w:rFonts w:cs="Times New Roman"/>
                <w:szCs w:val="28"/>
                <w:lang w:val="kk-KZ"/>
              </w:rPr>
            </w:pPr>
            <w:r w:rsidRPr="002B136D">
              <w:rPr>
                <w:rFonts w:eastAsia="Times New Roman" w:cs="Times New Roman"/>
                <w:szCs w:val="28"/>
              </w:rPr>
              <w:t>IL-38</w:t>
            </w:r>
          </w:p>
        </w:tc>
        <w:tc>
          <w:tcPr>
            <w:tcW w:w="6491" w:type="dxa"/>
            <w:shd w:val="clear" w:color="auto" w:fill="auto"/>
            <w:noWrap/>
            <w:vAlign w:val="bottom"/>
          </w:tcPr>
          <w:p w14:paraId="5B1F6AC1" w14:textId="0AC4EAD0" w:rsidR="003579F1" w:rsidRPr="002B136D" w:rsidRDefault="003579F1" w:rsidP="00D1745B">
            <w:pPr>
              <w:spacing w:after="0" w:line="240" w:lineRule="auto"/>
              <w:ind w:left="254"/>
              <w:contextualSpacing/>
              <w:jc w:val="both"/>
              <w:rPr>
                <w:rFonts w:eastAsia="Times New Roman" w:cs="Times New Roman"/>
                <w:szCs w:val="28"/>
                <w:lang w:val="kk-KZ"/>
              </w:rPr>
            </w:pPr>
            <w:r w:rsidRPr="002B136D">
              <w:rPr>
                <w:rFonts w:eastAsia="Times New Roman" w:cs="Times New Roman"/>
                <w:szCs w:val="28"/>
              </w:rPr>
              <w:t>Интерлейкин-38</w:t>
            </w:r>
          </w:p>
        </w:tc>
      </w:tr>
      <w:tr w:rsidR="003579F1" w:rsidRPr="002B136D" w14:paraId="52A54730" w14:textId="77777777" w:rsidTr="00DF4A3D">
        <w:trPr>
          <w:trHeight w:val="300"/>
        </w:trPr>
        <w:tc>
          <w:tcPr>
            <w:tcW w:w="2440" w:type="dxa"/>
            <w:shd w:val="clear" w:color="auto" w:fill="auto"/>
            <w:noWrap/>
            <w:vAlign w:val="bottom"/>
          </w:tcPr>
          <w:p w14:paraId="52DDF37B" w14:textId="29A8E8C9" w:rsidR="003579F1" w:rsidRPr="002B136D" w:rsidRDefault="003579F1" w:rsidP="00D1745B">
            <w:pPr>
              <w:spacing w:after="0" w:line="240" w:lineRule="auto"/>
              <w:contextualSpacing/>
              <w:jc w:val="both"/>
              <w:rPr>
                <w:rFonts w:eastAsia="Times New Roman" w:cs="Times New Roman"/>
                <w:szCs w:val="28"/>
              </w:rPr>
            </w:pPr>
            <w:r w:rsidRPr="002B136D">
              <w:rPr>
                <w:rFonts w:eastAsia="Times New Roman" w:cs="Times New Roman"/>
                <w:szCs w:val="28"/>
              </w:rPr>
              <w:lastRenderedPageBreak/>
              <w:t>IL-6</w:t>
            </w:r>
          </w:p>
        </w:tc>
        <w:tc>
          <w:tcPr>
            <w:tcW w:w="6491" w:type="dxa"/>
            <w:shd w:val="clear" w:color="auto" w:fill="auto"/>
            <w:noWrap/>
            <w:vAlign w:val="bottom"/>
          </w:tcPr>
          <w:p w14:paraId="27D28782" w14:textId="4FF73385"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szCs w:val="28"/>
              </w:rPr>
              <w:t>Интерлейкин-6</w:t>
            </w:r>
          </w:p>
        </w:tc>
      </w:tr>
      <w:tr w:rsidR="003579F1" w:rsidRPr="002B136D" w14:paraId="13520B55" w14:textId="77777777" w:rsidTr="00DF4A3D">
        <w:trPr>
          <w:trHeight w:val="300"/>
        </w:trPr>
        <w:tc>
          <w:tcPr>
            <w:tcW w:w="2440" w:type="dxa"/>
            <w:shd w:val="clear" w:color="auto" w:fill="auto"/>
            <w:noWrap/>
            <w:vAlign w:val="bottom"/>
          </w:tcPr>
          <w:p w14:paraId="0AF19BCF" w14:textId="4D89823C" w:rsidR="003579F1" w:rsidRPr="002B136D" w:rsidRDefault="003579F1" w:rsidP="00D1745B">
            <w:pPr>
              <w:spacing w:after="0" w:line="240" w:lineRule="auto"/>
              <w:contextualSpacing/>
              <w:jc w:val="both"/>
              <w:rPr>
                <w:rFonts w:eastAsia="Times New Roman" w:cs="Times New Roman"/>
                <w:szCs w:val="28"/>
              </w:rPr>
            </w:pPr>
            <w:r w:rsidRPr="002B136D">
              <w:rPr>
                <w:rFonts w:cs="Times New Roman"/>
                <w:szCs w:val="28"/>
                <w:lang w:val="en-US"/>
              </w:rPr>
              <w:t>JNK</w:t>
            </w:r>
          </w:p>
        </w:tc>
        <w:tc>
          <w:tcPr>
            <w:tcW w:w="6491" w:type="dxa"/>
            <w:shd w:val="clear" w:color="auto" w:fill="auto"/>
            <w:noWrap/>
            <w:vAlign w:val="bottom"/>
          </w:tcPr>
          <w:p w14:paraId="71F306A0" w14:textId="2F562724" w:rsidR="003579F1" w:rsidRPr="002B136D" w:rsidRDefault="003579F1" w:rsidP="00D1745B">
            <w:pPr>
              <w:spacing w:after="0" w:line="240" w:lineRule="auto"/>
              <w:ind w:left="254"/>
              <w:contextualSpacing/>
              <w:jc w:val="both"/>
              <w:rPr>
                <w:rFonts w:eastAsia="Times New Roman" w:cs="Times New Roman"/>
                <w:szCs w:val="28"/>
              </w:rPr>
            </w:pPr>
            <w:r w:rsidRPr="002B136D">
              <w:rPr>
                <w:rFonts w:eastAsia="Times New Roman" w:cs="Times New Roman"/>
                <w:bCs/>
                <w:szCs w:val="28"/>
              </w:rPr>
              <w:t>c-Jun NH2-терминальная киназа</w:t>
            </w:r>
          </w:p>
        </w:tc>
      </w:tr>
      <w:tr w:rsidR="003579F1" w:rsidRPr="002B136D" w14:paraId="6F6CFF0E" w14:textId="77777777" w:rsidTr="00DF4A3D">
        <w:trPr>
          <w:trHeight w:val="300"/>
        </w:trPr>
        <w:tc>
          <w:tcPr>
            <w:tcW w:w="2440" w:type="dxa"/>
            <w:shd w:val="clear" w:color="auto" w:fill="auto"/>
            <w:noWrap/>
            <w:vAlign w:val="bottom"/>
          </w:tcPr>
          <w:p w14:paraId="6089D5FA" w14:textId="43819D7E" w:rsidR="003579F1" w:rsidRPr="002B136D" w:rsidRDefault="003579F1" w:rsidP="00D1745B">
            <w:pPr>
              <w:spacing w:after="0" w:line="240" w:lineRule="auto"/>
              <w:contextualSpacing/>
              <w:jc w:val="both"/>
              <w:rPr>
                <w:rFonts w:cs="Times New Roman"/>
                <w:szCs w:val="28"/>
                <w:lang w:val="en-US"/>
              </w:rPr>
            </w:pPr>
            <w:r w:rsidRPr="002B136D">
              <w:rPr>
                <w:rFonts w:cs="Times New Roman"/>
                <w:szCs w:val="28"/>
                <w:lang w:val="en-US"/>
              </w:rPr>
              <w:t>MCP</w:t>
            </w:r>
          </w:p>
        </w:tc>
        <w:tc>
          <w:tcPr>
            <w:tcW w:w="6491" w:type="dxa"/>
            <w:shd w:val="clear" w:color="auto" w:fill="auto"/>
            <w:noWrap/>
            <w:vAlign w:val="bottom"/>
          </w:tcPr>
          <w:p w14:paraId="22E2BCAD" w14:textId="5E83C9B5" w:rsidR="003579F1" w:rsidRPr="002B136D" w:rsidRDefault="003579F1" w:rsidP="00D1745B">
            <w:pPr>
              <w:spacing w:after="0" w:line="240" w:lineRule="auto"/>
              <w:ind w:left="254"/>
              <w:contextualSpacing/>
              <w:jc w:val="both"/>
              <w:rPr>
                <w:rFonts w:eastAsia="Times New Roman" w:cs="Times New Roman"/>
                <w:bCs/>
                <w:szCs w:val="28"/>
              </w:rPr>
            </w:pPr>
            <w:r w:rsidRPr="002B136D">
              <w:rPr>
                <w:rFonts w:cs="Times New Roman"/>
                <w:szCs w:val="28"/>
              </w:rPr>
              <w:t>Моноцитарный хемотактический протеин</w:t>
            </w:r>
          </w:p>
        </w:tc>
      </w:tr>
      <w:tr w:rsidR="003579F1" w:rsidRPr="002B136D" w14:paraId="5E53D834" w14:textId="77777777" w:rsidTr="00DF4A3D">
        <w:trPr>
          <w:trHeight w:val="300"/>
        </w:trPr>
        <w:tc>
          <w:tcPr>
            <w:tcW w:w="2440" w:type="dxa"/>
            <w:shd w:val="clear" w:color="auto" w:fill="auto"/>
            <w:noWrap/>
            <w:vAlign w:val="bottom"/>
          </w:tcPr>
          <w:p w14:paraId="6A070874" w14:textId="519A1F5A" w:rsidR="003579F1" w:rsidRPr="002B136D" w:rsidRDefault="003579F1" w:rsidP="00D1745B">
            <w:pPr>
              <w:spacing w:after="0" w:line="240" w:lineRule="auto"/>
              <w:contextualSpacing/>
              <w:jc w:val="both"/>
              <w:rPr>
                <w:rFonts w:cs="Times New Roman"/>
                <w:szCs w:val="28"/>
                <w:lang w:val="en-US"/>
              </w:rPr>
            </w:pPr>
            <w:r w:rsidRPr="002B136D">
              <w:rPr>
                <w:rFonts w:eastAsia="Times New Roman" w:cs="Times New Roman"/>
                <w:szCs w:val="28"/>
              </w:rPr>
              <w:t>NF-κB</w:t>
            </w:r>
          </w:p>
        </w:tc>
        <w:tc>
          <w:tcPr>
            <w:tcW w:w="6491" w:type="dxa"/>
            <w:shd w:val="clear" w:color="auto" w:fill="auto"/>
            <w:noWrap/>
            <w:vAlign w:val="bottom"/>
          </w:tcPr>
          <w:p w14:paraId="2ADC3E6E" w14:textId="20B19F15" w:rsidR="003579F1" w:rsidRPr="002B136D" w:rsidRDefault="003579F1" w:rsidP="00D1745B">
            <w:pPr>
              <w:spacing w:after="0" w:line="240" w:lineRule="auto"/>
              <w:ind w:left="254"/>
              <w:contextualSpacing/>
              <w:jc w:val="both"/>
              <w:rPr>
                <w:rFonts w:cs="Times New Roman"/>
                <w:szCs w:val="28"/>
              </w:rPr>
            </w:pPr>
            <w:r w:rsidRPr="002B136D">
              <w:rPr>
                <w:rFonts w:eastAsia="Times New Roman" w:cs="Times New Roman"/>
                <w:szCs w:val="28"/>
                <w:lang w:val="kk-KZ"/>
              </w:rPr>
              <w:t>Я</w:t>
            </w:r>
            <w:r w:rsidRPr="002B136D">
              <w:rPr>
                <w:rFonts w:eastAsia="Times New Roman" w:cs="Times New Roman"/>
                <w:szCs w:val="28"/>
              </w:rPr>
              <w:t>дерный фактор «каппа-би»</w:t>
            </w:r>
          </w:p>
        </w:tc>
      </w:tr>
      <w:tr w:rsidR="003579F1" w:rsidRPr="002B136D" w14:paraId="20350BEA" w14:textId="77777777" w:rsidTr="00DF4A3D">
        <w:trPr>
          <w:trHeight w:val="300"/>
        </w:trPr>
        <w:tc>
          <w:tcPr>
            <w:tcW w:w="2440" w:type="dxa"/>
            <w:shd w:val="clear" w:color="auto" w:fill="auto"/>
            <w:noWrap/>
            <w:vAlign w:val="bottom"/>
          </w:tcPr>
          <w:p w14:paraId="25927248" w14:textId="2E16E20E" w:rsidR="003579F1" w:rsidRPr="002B136D" w:rsidRDefault="003579F1" w:rsidP="00D1745B">
            <w:pPr>
              <w:spacing w:after="0" w:line="240" w:lineRule="auto"/>
              <w:contextualSpacing/>
              <w:jc w:val="both"/>
              <w:rPr>
                <w:rFonts w:eastAsia="Times New Roman" w:cs="Times New Roman"/>
                <w:szCs w:val="28"/>
              </w:rPr>
            </w:pPr>
            <w:r w:rsidRPr="002B136D">
              <w:rPr>
                <w:rFonts w:eastAsia="Times New Roman" w:cs="Times New Roman"/>
                <w:szCs w:val="28"/>
                <w:lang w:val="en-US"/>
              </w:rPr>
              <w:t>OCT</w:t>
            </w:r>
          </w:p>
        </w:tc>
        <w:tc>
          <w:tcPr>
            <w:tcW w:w="6491" w:type="dxa"/>
            <w:shd w:val="clear" w:color="auto" w:fill="auto"/>
            <w:noWrap/>
            <w:vAlign w:val="bottom"/>
          </w:tcPr>
          <w:p w14:paraId="7E3707D9" w14:textId="3EEB08F4" w:rsidR="003579F1" w:rsidRPr="002B136D" w:rsidRDefault="003579F1" w:rsidP="00D1745B">
            <w:pPr>
              <w:spacing w:after="0" w:line="240" w:lineRule="auto"/>
              <w:ind w:left="254"/>
              <w:contextualSpacing/>
              <w:jc w:val="both"/>
              <w:rPr>
                <w:rFonts w:eastAsia="Times New Roman" w:cs="Times New Roman"/>
                <w:szCs w:val="28"/>
                <w:lang w:val="kk-KZ"/>
              </w:rPr>
            </w:pPr>
            <w:r w:rsidRPr="002B136D">
              <w:rPr>
                <w:rFonts w:cs="Times New Roman"/>
                <w:szCs w:val="28"/>
                <w:lang w:val="kk-KZ"/>
              </w:rPr>
              <w:t>О</w:t>
            </w:r>
            <w:r w:rsidRPr="002B136D">
              <w:rPr>
                <w:rFonts w:cs="Times New Roman"/>
                <w:szCs w:val="28"/>
              </w:rPr>
              <w:t>птическая когерентная томография сетчатки</w:t>
            </w:r>
          </w:p>
        </w:tc>
      </w:tr>
      <w:tr w:rsidR="003579F1" w:rsidRPr="002B136D" w14:paraId="335F1E60" w14:textId="77777777" w:rsidTr="00DF4A3D">
        <w:trPr>
          <w:trHeight w:val="300"/>
        </w:trPr>
        <w:tc>
          <w:tcPr>
            <w:tcW w:w="2440" w:type="dxa"/>
            <w:shd w:val="clear" w:color="auto" w:fill="auto"/>
            <w:noWrap/>
            <w:vAlign w:val="bottom"/>
          </w:tcPr>
          <w:p w14:paraId="4768097B" w14:textId="631D1347" w:rsidR="003579F1" w:rsidRPr="002B136D" w:rsidRDefault="003579F1" w:rsidP="00D1745B">
            <w:pPr>
              <w:spacing w:after="0" w:line="240" w:lineRule="auto"/>
              <w:contextualSpacing/>
              <w:jc w:val="both"/>
              <w:rPr>
                <w:rFonts w:eastAsia="Times New Roman" w:cs="Times New Roman"/>
                <w:szCs w:val="28"/>
                <w:lang w:val="en-US"/>
              </w:rPr>
            </w:pPr>
            <w:r w:rsidRPr="002B136D">
              <w:rPr>
                <w:rFonts w:cs="Times New Roman"/>
                <w:szCs w:val="28"/>
                <w:lang w:val="en-US"/>
              </w:rPr>
              <w:t>PBMC</w:t>
            </w:r>
          </w:p>
        </w:tc>
        <w:tc>
          <w:tcPr>
            <w:tcW w:w="6491" w:type="dxa"/>
            <w:shd w:val="clear" w:color="auto" w:fill="auto"/>
            <w:noWrap/>
            <w:vAlign w:val="bottom"/>
          </w:tcPr>
          <w:p w14:paraId="7D40A0A0" w14:textId="6D7972CA" w:rsidR="003579F1" w:rsidRPr="002B136D" w:rsidRDefault="003579F1" w:rsidP="00D1745B">
            <w:pPr>
              <w:spacing w:after="0" w:line="240" w:lineRule="auto"/>
              <w:ind w:left="254"/>
              <w:contextualSpacing/>
              <w:jc w:val="both"/>
              <w:rPr>
                <w:rFonts w:cs="Times New Roman"/>
                <w:szCs w:val="28"/>
                <w:lang w:val="kk-KZ"/>
              </w:rPr>
            </w:pPr>
            <w:r w:rsidRPr="002B136D">
              <w:rPr>
                <w:rStyle w:val="af8"/>
                <w:rFonts w:cs="Times New Roman"/>
                <w:b w:val="0"/>
                <w:shd w:val="clear" w:color="auto" w:fill="FFFFFF"/>
              </w:rPr>
              <w:t>Мононуклеарные клетки периферической крови</w:t>
            </w:r>
          </w:p>
        </w:tc>
      </w:tr>
      <w:tr w:rsidR="003579F1" w:rsidRPr="002B136D" w14:paraId="5B8CCC80" w14:textId="77777777" w:rsidTr="00DF4A3D">
        <w:trPr>
          <w:trHeight w:val="300"/>
        </w:trPr>
        <w:tc>
          <w:tcPr>
            <w:tcW w:w="2440" w:type="dxa"/>
            <w:shd w:val="clear" w:color="auto" w:fill="auto"/>
            <w:noWrap/>
            <w:vAlign w:val="bottom"/>
          </w:tcPr>
          <w:p w14:paraId="490AD8F5" w14:textId="438E30A1" w:rsidR="003579F1" w:rsidRPr="002B136D" w:rsidRDefault="003579F1" w:rsidP="00D1745B">
            <w:pPr>
              <w:spacing w:after="0" w:line="240" w:lineRule="auto"/>
              <w:contextualSpacing/>
              <w:jc w:val="both"/>
              <w:rPr>
                <w:rFonts w:cs="Times New Roman"/>
                <w:szCs w:val="28"/>
                <w:lang w:val="en-US"/>
              </w:rPr>
            </w:pPr>
            <w:r w:rsidRPr="002B136D">
              <w:rPr>
                <w:rFonts w:cs="Times New Roman"/>
                <w:szCs w:val="28"/>
                <w:lang w:val="en-US"/>
              </w:rPr>
              <w:t>PDGF</w:t>
            </w:r>
          </w:p>
        </w:tc>
        <w:tc>
          <w:tcPr>
            <w:tcW w:w="6491" w:type="dxa"/>
            <w:shd w:val="clear" w:color="auto" w:fill="auto"/>
            <w:noWrap/>
            <w:vAlign w:val="bottom"/>
          </w:tcPr>
          <w:p w14:paraId="40320F96" w14:textId="40EC5A11" w:rsidR="003579F1" w:rsidRPr="002B136D" w:rsidRDefault="003579F1" w:rsidP="00D1745B">
            <w:pPr>
              <w:spacing w:after="0" w:line="240" w:lineRule="auto"/>
              <w:ind w:left="254"/>
              <w:contextualSpacing/>
              <w:jc w:val="both"/>
              <w:rPr>
                <w:rStyle w:val="a5"/>
                <w:rFonts w:cs="Times New Roman"/>
                <w:b/>
                <w:shd w:val="clear" w:color="auto" w:fill="FFFFFF"/>
              </w:rPr>
            </w:pPr>
            <w:r w:rsidRPr="002B136D">
              <w:rPr>
                <w:rStyle w:val="af8"/>
                <w:rFonts w:cs="Times New Roman"/>
                <w:b w:val="0"/>
                <w:shd w:val="clear" w:color="auto" w:fill="FFFFFF"/>
              </w:rPr>
              <w:t>Фактор роста тромбоцитов</w:t>
            </w:r>
          </w:p>
        </w:tc>
      </w:tr>
      <w:tr w:rsidR="003579F1" w:rsidRPr="002B136D" w14:paraId="50B95E12" w14:textId="77777777" w:rsidTr="00DF4A3D">
        <w:trPr>
          <w:trHeight w:val="300"/>
        </w:trPr>
        <w:tc>
          <w:tcPr>
            <w:tcW w:w="2440" w:type="dxa"/>
            <w:shd w:val="clear" w:color="auto" w:fill="auto"/>
            <w:noWrap/>
            <w:vAlign w:val="bottom"/>
          </w:tcPr>
          <w:p w14:paraId="1568F33E" w14:textId="725AC901" w:rsidR="003579F1" w:rsidRPr="002B136D" w:rsidRDefault="003579F1" w:rsidP="00D1745B">
            <w:pPr>
              <w:spacing w:after="0" w:line="240" w:lineRule="auto"/>
              <w:contextualSpacing/>
              <w:jc w:val="both"/>
              <w:rPr>
                <w:rFonts w:cs="Times New Roman"/>
                <w:szCs w:val="28"/>
                <w:lang w:val="en-US"/>
              </w:rPr>
            </w:pPr>
            <w:r w:rsidRPr="002B136D">
              <w:rPr>
                <w:rFonts w:cs="Times New Roman"/>
                <w:szCs w:val="28"/>
                <w:lang w:val="en-US"/>
              </w:rPr>
              <w:t>PGE2</w:t>
            </w:r>
          </w:p>
        </w:tc>
        <w:tc>
          <w:tcPr>
            <w:tcW w:w="6491" w:type="dxa"/>
            <w:shd w:val="clear" w:color="auto" w:fill="auto"/>
            <w:noWrap/>
            <w:vAlign w:val="bottom"/>
          </w:tcPr>
          <w:p w14:paraId="76485A33" w14:textId="1FDE1DDB" w:rsidR="003579F1" w:rsidRPr="002B136D" w:rsidRDefault="003579F1" w:rsidP="00D1745B">
            <w:pPr>
              <w:spacing w:after="0" w:line="240" w:lineRule="auto"/>
              <w:ind w:left="254"/>
              <w:contextualSpacing/>
              <w:jc w:val="both"/>
              <w:rPr>
                <w:rStyle w:val="a5"/>
                <w:rFonts w:cs="Times New Roman"/>
                <w:b/>
                <w:shd w:val="clear" w:color="auto" w:fill="FFFFFF"/>
              </w:rPr>
            </w:pPr>
            <w:r w:rsidRPr="002B136D">
              <w:rPr>
                <w:rFonts w:eastAsia="Times New Roman" w:cs="Times New Roman"/>
                <w:szCs w:val="28"/>
              </w:rPr>
              <w:t>Простагландин Е</w:t>
            </w:r>
            <w:proofErr w:type="gramStart"/>
            <w:r w:rsidRPr="002B136D">
              <w:rPr>
                <w:rFonts w:eastAsia="Times New Roman" w:cs="Times New Roman"/>
                <w:szCs w:val="28"/>
              </w:rPr>
              <w:t>2</w:t>
            </w:r>
            <w:proofErr w:type="gramEnd"/>
          </w:p>
        </w:tc>
      </w:tr>
      <w:tr w:rsidR="003579F1" w:rsidRPr="002B136D" w14:paraId="327CF25E" w14:textId="77777777" w:rsidTr="00DF4A3D">
        <w:trPr>
          <w:trHeight w:val="300"/>
        </w:trPr>
        <w:tc>
          <w:tcPr>
            <w:tcW w:w="2440" w:type="dxa"/>
            <w:shd w:val="clear" w:color="auto" w:fill="auto"/>
            <w:noWrap/>
            <w:vAlign w:val="bottom"/>
          </w:tcPr>
          <w:p w14:paraId="7E6ABD23" w14:textId="77777777" w:rsidR="003579F1" w:rsidRPr="002B136D" w:rsidRDefault="003579F1" w:rsidP="003579F1">
            <w:pPr>
              <w:pStyle w:val="ae"/>
              <w:contextualSpacing/>
              <w:jc w:val="both"/>
              <w:rPr>
                <w:rFonts w:ascii="Times New Roman" w:hAnsi="Times New Roman" w:cs="Times New Roman"/>
                <w:b/>
                <w:sz w:val="28"/>
                <w:szCs w:val="28"/>
                <w:lang w:val="kk-KZ"/>
              </w:rPr>
            </w:pPr>
            <w:r w:rsidRPr="002B136D">
              <w:rPr>
                <w:rFonts w:ascii="Times New Roman" w:hAnsi="Times New Roman" w:cs="Times New Roman"/>
                <w:sz w:val="28"/>
                <w:szCs w:val="28"/>
                <w:lang w:val="kk-KZ"/>
              </w:rPr>
              <w:t>PI3K/AKT/mTOR</w:t>
            </w:r>
          </w:p>
          <w:p w14:paraId="60830853" w14:textId="77777777" w:rsidR="003579F1" w:rsidRPr="002B136D" w:rsidRDefault="003579F1" w:rsidP="003579F1">
            <w:pPr>
              <w:spacing w:after="0" w:line="240" w:lineRule="auto"/>
              <w:contextualSpacing/>
              <w:jc w:val="both"/>
              <w:rPr>
                <w:rFonts w:cs="Times New Roman"/>
                <w:szCs w:val="28"/>
                <w:lang w:val="en-US"/>
              </w:rPr>
            </w:pPr>
          </w:p>
        </w:tc>
        <w:tc>
          <w:tcPr>
            <w:tcW w:w="6491" w:type="dxa"/>
            <w:shd w:val="clear" w:color="auto" w:fill="auto"/>
            <w:noWrap/>
            <w:vAlign w:val="bottom"/>
          </w:tcPr>
          <w:p w14:paraId="1DE3428E" w14:textId="5FE6E25F" w:rsidR="003579F1" w:rsidRPr="002B136D" w:rsidRDefault="003579F1" w:rsidP="003579F1">
            <w:pPr>
              <w:spacing w:after="0" w:line="240" w:lineRule="auto"/>
              <w:ind w:left="254"/>
              <w:contextualSpacing/>
              <w:jc w:val="both"/>
              <w:rPr>
                <w:rFonts w:eastAsia="Times New Roman" w:cs="Times New Roman"/>
                <w:szCs w:val="28"/>
              </w:rPr>
            </w:pPr>
            <w:r w:rsidRPr="002B136D">
              <w:rPr>
                <w:rFonts w:eastAsia="Times New Roman" w:cs="Times New Roman"/>
                <w:szCs w:val="28"/>
                <w:lang w:val="kk-KZ"/>
              </w:rPr>
              <w:t>Ферменты фосфоинозитид-3-киназа (PI3K),     киназы AKT и mTOR</w:t>
            </w:r>
          </w:p>
        </w:tc>
      </w:tr>
      <w:tr w:rsidR="003579F1" w:rsidRPr="002B136D" w14:paraId="1E3CBDDC" w14:textId="77777777" w:rsidTr="00DF4A3D">
        <w:trPr>
          <w:trHeight w:val="300"/>
        </w:trPr>
        <w:tc>
          <w:tcPr>
            <w:tcW w:w="2440" w:type="dxa"/>
            <w:shd w:val="clear" w:color="auto" w:fill="auto"/>
            <w:noWrap/>
            <w:vAlign w:val="bottom"/>
          </w:tcPr>
          <w:p w14:paraId="3FC79614" w14:textId="1B4C55AD" w:rsidR="003579F1" w:rsidRPr="002B136D" w:rsidRDefault="003579F1" w:rsidP="003579F1">
            <w:pPr>
              <w:pStyle w:val="a3"/>
              <w:spacing w:after="0" w:line="240" w:lineRule="auto"/>
              <w:ind w:left="0"/>
              <w:jc w:val="both"/>
              <w:rPr>
                <w:rFonts w:cs="Times New Roman"/>
                <w:szCs w:val="28"/>
                <w:lang w:val="kk-KZ"/>
              </w:rPr>
            </w:pPr>
            <w:r w:rsidRPr="002B136D">
              <w:rPr>
                <w:rFonts w:cs="Times New Roman"/>
                <w:szCs w:val="28"/>
                <w:lang w:val="en-US"/>
              </w:rPr>
              <w:t>RANTES</w:t>
            </w:r>
          </w:p>
        </w:tc>
        <w:tc>
          <w:tcPr>
            <w:tcW w:w="6491" w:type="dxa"/>
            <w:shd w:val="clear" w:color="auto" w:fill="auto"/>
            <w:noWrap/>
            <w:vAlign w:val="bottom"/>
          </w:tcPr>
          <w:p w14:paraId="66D54173" w14:textId="5A7F7C87" w:rsidR="003579F1" w:rsidRPr="002B136D" w:rsidRDefault="003579F1" w:rsidP="003579F1">
            <w:pPr>
              <w:spacing w:after="0" w:line="240" w:lineRule="auto"/>
              <w:ind w:left="254"/>
              <w:contextualSpacing/>
              <w:jc w:val="both"/>
              <w:rPr>
                <w:rFonts w:eastAsia="Times New Roman" w:cs="Times New Roman"/>
                <w:szCs w:val="28"/>
                <w:lang w:val="kk-KZ"/>
              </w:rPr>
            </w:pPr>
            <w:r w:rsidRPr="002B136D">
              <w:rPr>
                <w:rFonts w:eastAsia="Times New Roman" w:cs="Times New Roman"/>
                <w:szCs w:val="28"/>
              </w:rPr>
              <w:t>Цитокин синтезируемый номальными T-лимфоцитами</w:t>
            </w:r>
          </w:p>
        </w:tc>
      </w:tr>
      <w:tr w:rsidR="003579F1" w:rsidRPr="002B136D" w14:paraId="2838E8D6" w14:textId="77777777" w:rsidTr="00DF4A3D">
        <w:trPr>
          <w:trHeight w:val="300"/>
        </w:trPr>
        <w:tc>
          <w:tcPr>
            <w:tcW w:w="2440" w:type="dxa"/>
            <w:shd w:val="clear" w:color="auto" w:fill="auto"/>
            <w:noWrap/>
            <w:vAlign w:val="bottom"/>
          </w:tcPr>
          <w:p w14:paraId="60088D3E" w14:textId="2A490F78" w:rsidR="003579F1" w:rsidRPr="002B136D" w:rsidRDefault="003579F1" w:rsidP="003579F1">
            <w:pPr>
              <w:pStyle w:val="a3"/>
              <w:spacing w:after="0" w:line="240" w:lineRule="auto"/>
              <w:ind w:left="0"/>
              <w:jc w:val="both"/>
              <w:rPr>
                <w:rFonts w:cs="Times New Roman"/>
                <w:szCs w:val="28"/>
                <w:lang w:val="en-US"/>
              </w:rPr>
            </w:pPr>
            <w:r w:rsidRPr="002B136D">
              <w:rPr>
                <w:rFonts w:cs="Times New Roman"/>
                <w:szCs w:val="28"/>
              </w:rPr>
              <w:t>TGF-β</w:t>
            </w:r>
          </w:p>
        </w:tc>
        <w:tc>
          <w:tcPr>
            <w:tcW w:w="6491" w:type="dxa"/>
            <w:shd w:val="clear" w:color="auto" w:fill="auto"/>
            <w:noWrap/>
            <w:vAlign w:val="bottom"/>
          </w:tcPr>
          <w:p w14:paraId="431F70D8" w14:textId="4FE32B23" w:rsidR="003579F1" w:rsidRPr="002B136D" w:rsidRDefault="003579F1" w:rsidP="003579F1">
            <w:pPr>
              <w:spacing w:after="0" w:line="240" w:lineRule="auto"/>
              <w:ind w:left="254"/>
              <w:contextualSpacing/>
              <w:jc w:val="both"/>
              <w:rPr>
                <w:rFonts w:eastAsia="Times New Roman" w:cs="Times New Roman"/>
                <w:szCs w:val="28"/>
              </w:rPr>
            </w:pPr>
            <w:r w:rsidRPr="002B136D">
              <w:rPr>
                <w:rFonts w:eastAsia="Times New Roman" w:cs="Times New Roman"/>
                <w:szCs w:val="28"/>
              </w:rPr>
              <w:t>Трансформирующий ростовой фактор бета</w:t>
            </w:r>
          </w:p>
        </w:tc>
      </w:tr>
      <w:tr w:rsidR="003579F1" w:rsidRPr="002B136D" w14:paraId="1239575A" w14:textId="77777777" w:rsidTr="00DF4A3D">
        <w:trPr>
          <w:trHeight w:val="300"/>
        </w:trPr>
        <w:tc>
          <w:tcPr>
            <w:tcW w:w="2440" w:type="dxa"/>
            <w:shd w:val="clear" w:color="auto" w:fill="auto"/>
            <w:noWrap/>
            <w:vAlign w:val="bottom"/>
          </w:tcPr>
          <w:p w14:paraId="5422DE7C" w14:textId="3CD8CEB1" w:rsidR="003579F1" w:rsidRPr="002B136D" w:rsidRDefault="003579F1" w:rsidP="003579F1">
            <w:pPr>
              <w:pStyle w:val="a3"/>
              <w:spacing w:after="0" w:line="240" w:lineRule="auto"/>
              <w:ind w:left="0"/>
              <w:jc w:val="both"/>
              <w:rPr>
                <w:rFonts w:cs="Times New Roman"/>
                <w:szCs w:val="28"/>
              </w:rPr>
            </w:pPr>
            <w:r w:rsidRPr="002B136D">
              <w:rPr>
                <w:rFonts w:cs="Times New Roman"/>
                <w:szCs w:val="28"/>
                <w:lang w:val="en-US"/>
              </w:rPr>
              <w:t>Thy1</w:t>
            </w:r>
          </w:p>
        </w:tc>
        <w:tc>
          <w:tcPr>
            <w:tcW w:w="6491" w:type="dxa"/>
            <w:shd w:val="clear" w:color="auto" w:fill="auto"/>
            <w:noWrap/>
            <w:vAlign w:val="bottom"/>
          </w:tcPr>
          <w:p w14:paraId="58BE290A" w14:textId="647E4293" w:rsidR="003579F1" w:rsidRPr="002B136D" w:rsidRDefault="003579F1" w:rsidP="003579F1">
            <w:pPr>
              <w:spacing w:after="0" w:line="240" w:lineRule="auto"/>
              <w:ind w:left="254"/>
              <w:contextualSpacing/>
              <w:jc w:val="both"/>
              <w:rPr>
                <w:rFonts w:eastAsia="Times New Roman" w:cs="Times New Roman"/>
                <w:szCs w:val="28"/>
              </w:rPr>
            </w:pPr>
            <w:r w:rsidRPr="002B136D">
              <w:rPr>
                <w:rFonts w:eastAsia="Times New Roman" w:cs="Times New Roman"/>
                <w:bCs/>
                <w:szCs w:val="28"/>
              </w:rPr>
              <w:t>Антиген клеток тимуса 1</w:t>
            </w:r>
          </w:p>
        </w:tc>
      </w:tr>
      <w:tr w:rsidR="003579F1" w:rsidRPr="002B136D" w14:paraId="78BDE6CC" w14:textId="77777777" w:rsidTr="00DF4A3D">
        <w:trPr>
          <w:trHeight w:val="300"/>
        </w:trPr>
        <w:tc>
          <w:tcPr>
            <w:tcW w:w="2440" w:type="dxa"/>
            <w:shd w:val="clear" w:color="auto" w:fill="auto"/>
            <w:noWrap/>
            <w:vAlign w:val="bottom"/>
          </w:tcPr>
          <w:p w14:paraId="5A186BF6" w14:textId="284C2B67" w:rsidR="003579F1" w:rsidRPr="002B136D" w:rsidRDefault="003579F1" w:rsidP="003579F1">
            <w:pPr>
              <w:pStyle w:val="a3"/>
              <w:spacing w:after="0" w:line="240" w:lineRule="auto"/>
              <w:ind w:left="0"/>
              <w:jc w:val="both"/>
              <w:rPr>
                <w:rFonts w:cs="Times New Roman"/>
                <w:szCs w:val="28"/>
                <w:lang w:val="en-US"/>
              </w:rPr>
            </w:pPr>
            <w:r w:rsidRPr="002B136D">
              <w:rPr>
                <w:rFonts w:cs="Times New Roman"/>
                <w:szCs w:val="28"/>
                <w:lang w:val="en-US"/>
              </w:rPr>
              <w:t>TRAF6</w:t>
            </w:r>
          </w:p>
        </w:tc>
        <w:tc>
          <w:tcPr>
            <w:tcW w:w="6491" w:type="dxa"/>
            <w:shd w:val="clear" w:color="auto" w:fill="auto"/>
            <w:noWrap/>
            <w:vAlign w:val="bottom"/>
          </w:tcPr>
          <w:p w14:paraId="75F2A557" w14:textId="0D29DBAC" w:rsidR="003579F1" w:rsidRPr="002B136D" w:rsidRDefault="003579F1" w:rsidP="003579F1">
            <w:pPr>
              <w:spacing w:after="0" w:line="240" w:lineRule="auto"/>
              <w:ind w:left="254"/>
              <w:contextualSpacing/>
              <w:jc w:val="both"/>
              <w:rPr>
                <w:rFonts w:eastAsia="Times New Roman" w:cs="Times New Roman"/>
                <w:bCs/>
                <w:szCs w:val="28"/>
              </w:rPr>
            </w:pPr>
            <w:r w:rsidRPr="002B136D">
              <w:rPr>
                <w:rFonts w:eastAsia="Times New Roman" w:cs="Times New Roman"/>
                <w:bCs/>
                <w:szCs w:val="28"/>
              </w:rPr>
              <w:t>Фактор</w:t>
            </w:r>
            <w:r w:rsidRPr="002B136D">
              <w:rPr>
                <w:rFonts w:eastAsia="Times New Roman" w:cs="Times New Roman"/>
                <w:szCs w:val="28"/>
              </w:rPr>
              <w:t> </w:t>
            </w:r>
            <w:r w:rsidRPr="002B136D">
              <w:rPr>
                <w:rFonts w:eastAsia="Times New Roman" w:cs="Times New Roman"/>
                <w:bCs/>
                <w:szCs w:val="28"/>
              </w:rPr>
              <w:t>6</w:t>
            </w:r>
            <w:r w:rsidRPr="002B136D">
              <w:rPr>
                <w:rFonts w:eastAsia="Times New Roman" w:cs="Times New Roman"/>
                <w:szCs w:val="28"/>
              </w:rPr>
              <w:t>, ассоциированный с рецептором фактора некроза опухолей</w:t>
            </w:r>
          </w:p>
        </w:tc>
      </w:tr>
      <w:tr w:rsidR="003579F1" w:rsidRPr="002B136D" w14:paraId="6F7889D2" w14:textId="77777777" w:rsidTr="00DF4A3D">
        <w:trPr>
          <w:trHeight w:val="300"/>
        </w:trPr>
        <w:tc>
          <w:tcPr>
            <w:tcW w:w="2440" w:type="dxa"/>
            <w:shd w:val="clear" w:color="auto" w:fill="auto"/>
            <w:noWrap/>
            <w:vAlign w:val="bottom"/>
          </w:tcPr>
          <w:p w14:paraId="31C3B2D3" w14:textId="7E4C3CBD" w:rsidR="003579F1" w:rsidRPr="002B136D" w:rsidRDefault="003579F1" w:rsidP="003579F1">
            <w:pPr>
              <w:pStyle w:val="a3"/>
              <w:spacing w:after="0" w:line="240" w:lineRule="auto"/>
              <w:ind w:left="0"/>
              <w:jc w:val="both"/>
              <w:rPr>
                <w:rFonts w:cs="Times New Roman"/>
                <w:szCs w:val="28"/>
                <w:lang w:val="en-US"/>
              </w:rPr>
            </w:pPr>
            <w:r w:rsidRPr="002B136D">
              <w:rPr>
                <w:rFonts w:eastAsia="Times New Roman" w:cs="Times New Roman"/>
                <w:szCs w:val="28"/>
                <w:lang w:val="en-US"/>
              </w:rPr>
              <w:t>T-reg</w:t>
            </w:r>
          </w:p>
        </w:tc>
        <w:tc>
          <w:tcPr>
            <w:tcW w:w="6491" w:type="dxa"/>
            <w:shd w:val="clear" w:color="auto" w:fill="auto"/>
            <w:noWrap/>
            <w:vAlign w:val="bottom"/>
          </w:tcPr>
          <w:p w14:paraId="3BB02497" w14:textId="4DC31DD0" w:rsidR="003579F1" w:rsidRPr="002B136D" w:rsidRDefault="003579F1" w:rsidP="003579F1">
            <w:pPr>
              <w:spacing w:after="0" w:line="240" w:lineRule="auto"/>
              <w:ind w:left="254"/>
              <w:contextualSpacing/>
              <w:jc w:val="both"/>
              <w:rPr>
                <w:rFonts w:eastAsia="Times New Roman" w:cs="Times New Roman"/>
                <w:bCs/>
                <w:szCs w:val="28"/>
              </w:rPr>
            </w:pPr>
            <w:r w:rsidRPr="002B136D">
              <w:rPr>
                <w:rFonts w:eastAsia="Times New Roman" w:cs="Times New Roman"/>
                <w:szCs w:val="28"/>
                <w:lang w:val="kk-KZ"/>
              </w:rPr>
              <w:t>Т-супрессор</w:t>
            </w:r>
          </w:p>
        </w:tc>
      </w:tr>
    </w:tbl>
    <w:p w14:paraId="4695C8F1" w14:textId="77777777" w:rsidR="007C7F69" w:rsidRPr="002B136D" w:rsidRDefault="007C7F69" w:rsidP="001345B2">
      <w:pPr>
        <w:pStyle w:val="ae"/>
        <w:ind w:firstLine="709"/>
        <w:contextualSpacing/>
        <w:jc w:val="both"/>
        <w:rPr>
          <w:rFonts w:ascii="Times New Roman" w:hAnsi="Times New Roman" w:cs="Times New Roman"/>
          <w:b/>
          <w:sz w:val="28"/>
          <w:szCs w:val="28"/>
          <w:lang w:val="kk-KZ"/>
        </w:rPr>
      </w:pPr>
    </w:p>
    <w:p w14:paraId="7B4AA77B" w14:textId="77777777" w:rsidR="007C7F69" w:rsidRPr="002B136D" w:rsidRDefault="007C7F69" w:rsidP="006E4017">
      <w:pPr>
        <w:pStyle w:val="ae"/>
        <w:ind w:firstLine="709"/>
        <w:contextualSpacing/>
        <w:jc w:val="both"/>
        <w:rPr>
          <w:rFonts w:ascii="Times New Roman" w:hAnsi="Times New Roman" w:cs="Times New Roman"/>
          <w:b/>
          <w:sz w:val="28"/>
          <w:szCs w:val="28"/>
          <w:lang w:val="kk-KZ"/>
        </w:rPr>
      </w:pPr>
    </w:p>
    <w:p w14:paraId="7A080308" w14:textId="77777777" w:rsidR="007C7F69" w:rsidRPr="002B136D" w:rsidRDefault="007C7F69" w:rsidP="006E4017">
      <w:pPr>
        <w:pStyle w:val="ae"/>
        <w:ind w:firstLine="709"/>
        <w:contextualSpacing/>
        <w:jc w:val="both"/>
        <w:rPr>
          <w:rFonts w:ascii="Times New Roman" w:hAnsi="Times New Roman" w:cs="Times New Roman"/>
          <w:b/>
          <w:sz w:val="28"/>
          <w:szCs w:val="28"/>
          <w:lang w:val="kk-KZ"/>
        </w:rPr>
      </w:pPr>
    </w:p>
    <w:p w14:paraId="20693295" w14:textId="77777777" w:rsidR="007C7F69" w:rsidRPr="002B136D" w:rsidRDefault="007C7F69" w:rsidP="00FD3E61">
      <w:pPr>
        <w:pStyle w:val="ae"/>
        <w:spacing w:line="360" w:lineRule="auto"/>
        <w:jc w:val="both"/>
        <w:rPr>
          <w:rFonts w:ascii="Times New Roman" w:hAnsi="Times New Roman" w:cs="Times New Roman"/>
          <w:b/>
          <w:sz w:val="28"/>
          <w:szCs w:val="28"/>
          <w:lang w:val="kk-KZ"/>
        </w:rPr>
      </w:pPr>
    </w:p>
    <w:p w14:paraId="7EC64E86" w14:textId="77777777" w:rsidR="007C7F69" w:rsidRPr="002B136D" w:rsidRDefault="007C7F69" w:rsidP="00FD3E61">
      <w:pPr>
        <w:pStyle w:val="ae"/>
        <w:spacing w:line="360" w:lineRule="auto"/>
        <w:jc w:val="both"/>
        <w:rPr>
          <w:rFonts w:ascii="Times New Roman" w:hAnsi="Times New Roman" w:cs="Times New Roman"/>
          <w:b/>
          <w:sz w:val="28"/>
          <w:szCs w:val="28"/>
          <w:lang w:val="kk-KZ"/>
        </w:rPr>
      </w:pPr>
    </w:p>
    <w:p w14:paraId="0D29B3E7" w14:textId="77777777" w:rsidR="006E4017" w:rsidRPr="002B136D" w:rsidRDefault="006E4017" w:rsidP="00FD3E61">
      <w:pPr>
        <w:pStyle w:val="ae"/>
        <w:spacing w:line="360" w:lineRule="auto"/>
        <w:jc w:val="both"/>
        <w:rPr>
          <w:rFonts w:ascii="Times New Roman" w:hAnsi="Times New Roman" w:cs="Times New Roman"/>
          <w:b/>
          <w:sz w:val="28"/>
          <w:szCs w:val="28"/>
          <w:lang w:val="kk-KZ"/>
        </w:rPr>
      </w:pPr>
    </w:p>
    <w:p w14:paraId="13E768A8" w14:textId="77777777" w:rsidR="006E4017" w:rsidRPr="002B136D" w:rsidRDefault="006E4017" w:rsidP="00FD3E61">
      <w:pPr>
        <w:pStyle w:val="ae"/>
        <w:spacing w:line="360" w:lineRule="auto"/>
        <w:jc w:val="both"/>
        <w:rPr>
          <w:rFonts w:ascii="Times New Roman" w:hAnsi="Times New Roman" w:cs="Times New Roman"/>
          <w:b/>
          <w:sz w:val="28"/>
          <w:szCs w:val="28"/>
          <w:lang w:val="kk-KZ"/>
        </w:rPr>
      </w:pPr>
    </w:p>
    <w:p w14:paraId="2FA6B04D" w14:textId="77777777" w:rsidR="006E4017" w:rsidRPr="002B136D" w:rsidRDefault="006E4017" w:rsidP="00FD3E61">
      <w:pPr>
        <w:pStyle w:val="ae"/>
        <w:spacing w:line="360" w:lineRule="auto"/>
        <w:jc w:val="both"/>
        <w:rPr>
          <w:rFonts w:ascii="Times New Roman" w:hAnsi="Times New Roman" w:cs="Times New Roman"/>
          <w:b/>
          <w:sz w:val="28"/>
          <w:szCs w:val="28"/>
          <w:lang w:val="kk-KZ"/>
        </w:rPr>
      </w:pPr>
    </w:p>
    <w:p w14:paraId="28C64773" w14:textId="77777777" w:rsidR="006E4017" w:rsidRPr="002B136D" w:rsidRDefault="006E4017" w:rsidP="00FD3E61">
      <w:pPr>
        <w:pStyle w:val="ae"/>
        <w:spacing w:line="360" w:lineRule="auto"/>
        <w:jc w:val="both"/>
        <w:rPr>
          <w:rFonts w:ascii="Times New Roman" w:hAnsi="Times New Roman" w:cs="Times New Roman"/>
          <w:b/>
          <w:sz w:val="28"/>
          <w:szCs w:val="28"/>
          <w:lang w:val="kk-KZ"/>
        </w:rPr>
      </w:pPr>
    </w:p>
    <w:p w14:paraId="0B7BD1B9" w14:textId="77777777" w:rsidR="00AB3E18" w:rsidRPr="002B136D" w:rsidRDefault="00AB3E18" w:rsidP="00FD3E61">
      <w:pPr>
        <w:pStyle w:val="ae"/>
        <w:spacing w:line="360" w:lineRule="auto"/>
        <w:jc w:val="both"/>
        <w:rPr>
          <w:rFonts w:ascii="Times New Roman" w:hAnsi="Times New Roman" w:cs="Times New Roman"/>
          <w:b/>
          <w:sz w:val="28"/>
          <w:szCs w:val="28"/>
          <w:lang w:val="kk-KZ"/>
        </w:rPr>
      </w:pPr>
    </w:p>
    <w:p w14:paraId="28294C46" w14:textId="77777777" w:rsidR="00AB3E18" w:rsidRDefault="00AB3E18" w:rsidP="00FD3E61">
      <w:pPr>
        <w:pStyle w:val="ae"/>
        <w:spacing w:line="360" w:lineRule="auto"/>
        <w:jc w:val="both"/>
        <w:rPr>
          <w:rFonts w:ascii="Times New Roman" w:hAnsi="Times New Roman" w:cs="Times New Roman"/>
          <w:b/>
          <w:sz w:val="28"/>
          <w:szCs w:val="28"/>
          <w:lang w:val="kk-KZ"/>
        </w:rPr>
      </w:pPr>
    </w:p>
    <w:p w14:paraId="08C08F9C" w14:textId="77777777" w:rsidR="00DF4A3D" w:rsidRPr="002B136D" w:rsidRDefault="00DF4A3D" w:rsidP="00FD3E61">
      <w:pPr>
        <w:pStyle w:val="ae"/>
        <w:spacing w:line="360" w:lineRule="auto"/>
        <w:jc w:val="both"/>
        <w:rPr>
          <w:rFonts w:ascii="Times New Roman" w:hAnsi="Times New Roman" w:cs="Times New Roman"/>
          <w:b/>
          <w:sz w:val="28"/>
          <w:szCs w:val="28"/>
          <w:lang w:val="kk-KZ"/>
        </w:rPr>
      </w:pPr>
    </w:p>
    <w:p w14:paraId="0E2C46A6" w14:textId="77777777" w:rsidR="00E0089E" w:rsidRPr="002B136D" w:rsidRDefault="00E0089E" w:rsidP="00FD3E61">
      <w:pPr>
        <w:pStyle w:val="ae"/>
        <w:spacing w:line="360" w:lineRule="auto"/>
        <w:jc w:val="both"/>
        <w:rPr>
          <w:rFonts w:ascii="Times New Roman" w:hAnsi="Times New Roman" w:cs="Times New Roman"/>
          <w:b/>
          <w:sz w:val="28"/>
          <w:szCs w:val="28"/>
          <w:lang w:val="kk-KZ"/>
        </w:rPr>
      </w:pPr>
    </w:p>
    <w:p w14:paraId="539F1303" w14:textId="77777777" w:rsidR="00E0089E" w:rsidRPr="002B136D" w:rsidRDefault="00E0089E" w:rsidP="00FD3E61">
      <w:pPr>
        <w:pStyle w:val="ae"/>
        <w:spacing w:line="360" w:lineRule="auto"/>
        <w:jc w:val="both"/>
        <w:rPr>
          <w:rFonts w:ascii="Times New Roman" w:hAnsi="Times New Roman" w:cs="Times New Roman"/>
          <w:b/>
          <w:sz w:val="28"/>
          <w:szCs w:val="28"/>
          <w:lang w:val="kk-KZ"/>
        </w:rPr>
      </w:pPr>
    </w:p>
    <w:p w14:paraId="535FD765" w14:textId="77777777" w:rsidR="00AB3E18" w:rsidRPr="002B136D" w:rsidRDefault="00AB3E18" w:rsidP="00FD3E61">
      <w:pPr>
        <w:pStyle w:val="ae"/>
        <w:spacing w:line="360" w:lineRule="auto"/>
        <w:jc w:val="both"/>
        <w:rPr>
          <w:rFonts w:ascii="Times New Roman" w:hAnsi="Times New Roman" w:cs="Times New Roman"/>
          <w:b/>
          <w:sz w:val="28"/>
          <w:szCs w:val="28"/>
          <w:lang w:val="kk-KZ"/>
        </w:rPr>
      </w:pPr>
    </w:p>
    <w:p w14:paraId="1ED71FDA" w14:textId="77777777" w:rsidR="00AB3E18" w:rsidRDefault="00AB3E18" w:rsidP="00FD3E61">
      <w:pPr>
        <w:pStyle w:val="ae"/>
        <w:spacing w:line="360" w:lineRule="auto"/>
        <w:jc w:val="both"/>
        <w:rPr>
          <w:rFonts w:ascii="Times New Roman" w:hAnsi="Times New Roman" w:cs="Times New Roman"/>
          <w:b/>
          <w:sz w:val="28"/>
          <w:szCs w:val="28"/>
          <w:lang w:val="kk-KZ"/>
        </w:rPr>
      </w:pPr>
    </w:p>
    <w:p w14:paraId="7D255DD7" w14:textId="77777777" w:rsidR="003579F1" w:rsidRPr="002B136D" w:rsidRDefault="003579F1" w:rsidP="00FD3E61">
      <w:pPr>
        <w:pStyle w:val="ae"/>
        <w:spacing w:line="360" w:lineRule="auto"/>
        <w:jc w:val="both"/>
        <w:rPr>
          <w:rFonts w:ascii="Times New Roman" w:hAnsi="Times New Roman" w:cs="Times New Roman"/>
          <w:b/>
          <w:sz w:val="28"/>
          <w:szCs w:val="28"/>
          <w:lang w:val="kk-KZ"/>
        </w:rPr>
      </w:pPr>
    </w:p>
    <w:p w14:paraId="59AFD992" w14:textId="77777777" w:rsidR="006E4017" w:rsidRPr="002B136D" w:rsidRDefault="006E4017" w:rsidP="00FD3E61">
      <w:pPr>
        <w:pStyle w:val="ae"/>
        <w:spacing w:line="360" w:lineRule="auto"/>
        <w:jc w:val="both"/>
        <w:rPr>
          <w:rFonts w:ascii="Times New Roman" w:hAnsi="Times New Roman" w:cs="Times New Roman"/>
          <w:b/>
          <w:sz w:val="28"/>
          <w:szCs w:val="28"/>
          <w:lang w:val="kk-KZ"/>
        </w:rPr>
      </w:pPr>
    </w:p>
    <w:p w14:paraId="4A3AAB3A" w14:textId="77777777" w:rsidR="006E4017" w:rsidRPr="002B136D" w:rsidRDefault="006E4017" w:rsidP="00FD3E61">
      <w:pPr>
        <w:pStyle w:val="ae"/>
        <w:spacing w:line="360" w:lineRule="auto"/>
        <w:jc w:val="both"/>
        <w:rPr>
          <w:rFonts w:ascii="Times New Roman" w:hAnsi="Times New Roman" w:cs="Times New Roman"/>
          <w:b/>
          <w:sz w:val="28"/>
          <w:szCs w:val="28"/>
          <w:lang w:val="kk-KZ"/>
        </w:rPr>
      </w:pPr>
    </w:p>
    <w:p w14:paraId="2B0045C6" w14:textId="13D4FE40" w:rsidR="00413E60" w:rsidRPr="002B136D" w:rsidRDefault="002B136D" w:rsidP="002B136D">
      <w:pPr>
        <w:spacing w:after="0" w:line="240" w:lineRule="auto"/>
        <w:contextualSpacing/>
        <w:jc w:val="center"/>
        <w:rPr>
          <w:rFonts w:cs="Times New Roman"/>
          <w:b/>
          <w:szCs w:val="28"/>
          <w:lang w:val="en-US"/>
        </w:rPr>
      </w:pPr>
      <w:r w:rsidRPr="002B136D">
        <w:rPr>
          <w:rFonts w:cs="Times New Roman"/>
          <w:b/>
          <w:szCs w:val="28"/>
          <w:lang w:val="kk-KZ"/>
        </w:rPr>
        <w:lastRenderedPageBreak/>
        <w:t>ВВЕДЕНИЕ</w:t>
      </w:r>
    </w:p>
    <w:p w14:paraId="182F5C84" w14:textId="77777777" w:rsidR="002B136D" w:rsidRPr="002B136D" w:rsidRDefault="002B136D" w:rsidP="002B136D">
      <w:pPr>
        <w:spacing w:after="0" w:line="240" w:lineRule="auto"/>
        <w:contextualSpacing/>
        <w:jc w:val="center"/>
        <w:rPr>
          <w:rFonts w:cs="Times New Roman"/>
          <w:b/>
          <w:szCs w:val="28"/>
          <w:lang w:val="en-US"/>
        </w:rPr>
      </w:pPr>
    </w:p>
    <w:p w14:paraId="5F3F6EC3" w14:textId="29D6087D" w:rsidR="000E53B2" w:rsidRPr="002B136D" w:rsidRDefault="000E53B2" w:rsidP="002B136D">
      <w:pPr>
        <w:tabs>
          <w:tab w:val="left" w:pos="851"/>
        </w:tabs>
        <w:spacing w:after="0" w:line="240" w:lineRule="auto"/>
        <w:ind w:firstLine="567"/>
        <w:contextualSpacing/>
        <w:jc w:val="both"/>
        <w:rPr>
          <w:rFonts w:cs="Times New Roman"/>
          <w:szCs w:val="28"/>
        </w:rPr>
      </w:pPr>
      <w:r w:rsidRPr="002B136D">
        <w:rPr>
          <w:rFonts w:cs="Times New Roman"/>
          <w:szCs w:val="28"/>
          <w:lang w:val="kk-KZ"/>
        </w:rPr>
        <w:t xml:space="preserve"> </w:t>
      </w:r>
      <w:proofErr w:type="gramStart"/>
      <w:r w:rsidRPr="002B136D">
        <w:rPr>
          <w:rFonts w:cs="Times New Roman"/>
          <w:szCs w:val="28"/>
        </w:rPr>
        <w:t>Эндокринная</w:t>
      </w:r>
      <w:proofErr w:type="gramEnd"/>
      <w:r w:rsidR="00CE59A9" w:rsidRPr="002B136D">
        <w:rPr>
          <w:rFonts w:cs="Times New Roman"/>
          <w:szCs w:val="28"/>
        </w:rPr>
        <w:t xml:space="preserve"> </w:t>
      </w:r>
      <w:r w:rsidRPr="002B136D">
        <w:rPr>
          <w:rFonts w:cs="Times New Roman"/>
          <w:szCs w:val="28"/>
        </w:rPr>
        <w:t>офтальмопатия (ЭОП) является заболеванием, сопровождающимся поражением всех структур и тканей орбиты, ассоциированным с дисфункцией щитовидной железы и имеющим аутоиммунную природу. Заболеваемость ЭОП составляет 16 слу</w:t>
      </w:r>
      <w:r w:rsidR="00CE59A9" w:rsidRPr="002B136D">
        <w:rPr>
          <w:rFonts w:cs="Times New Roman"/>
          <w:szCs w:val="28"/>
        </w:rPr>
        <w:t xml:space="preserve">чаев среди женщин и 2,9 случая </w:t>
      </w:r>
      <w:r w:rsidRPr="002B136D">
        <w:rPr>
          <w:rFonts w:cs="Times New Roman"/>
          <w:szCs w:val="28"/>
        </w:rPr>
        <w:t xml:space="preserve">среди мужчин на 100 000 населения в год </w:t>
      </w:r>
      <w:r w:rsidRPr="002B136D">
        <w:rPr>
          <w:rFonts w:cs="Times New Roman"/>
          <w:szCs w:val="28"/>
        </w:rPr>
        <w:fldChar w:fldCharType="begin"/>
      </w:r>
      <w:r w:rsidRPr="002B136D">
        <w:rPr>
          <w:rFonts w:cs="Times New Roman"/>
          <w:szCs w:val="28"/>
        </w:rPr>
        <w:instrText xml:space="preserve"> ADDIN ZOTERO_ITEM CSL_CITATION {"citationID":"SlXPdK1A","properties":{"formattedCitation":"[1]","plainCitation":"[1]","noteIndex":0},"citationItems":[{"id":231,"uris":["http://zotero.org/users/8237658/items/AJ54QDTU"],"itemData":{"id":231,"type":"book","title":"Bartley G.B. The epidemiologic characteristics and clinical course of ophthalmopathy associated with autoimmune thyroid disease in Olmsted County, Minnesota. Trans. Am Ophthalmol Soc 1994; 92: 477—588"}}],"schema":"https://github.com/citation-style-language/schema/raw/master/csl-citation.json"} </w:instrText>
      </w:r>
      <w:r w:rsidRPr="002B136D">
        <w:rPr>
          <w:rFonts w:cs="Times New Roman"/>
          <w:szCs w:val="28"/>
        </w:rPr>
        <w:fldChar w:fldCharType="separate"/>
      </w:r>
      <w:r w:rsidRPr="002B136D">
        <w:rPr>
          <w:rFonts w:cs="Times New Roman"/>
          <w:szCs w:val="28"/>
        </w:rPr>
        <w:t>[1]</w:t>
      </w:r>
      <w:r w:rsidRPr="002B136D">
        <w:rPr>
          <w:rFonts w:cs="Times New Roman"/>
          <w:szCs w:val="28"/>
        </w:rPr>
        <w:fldChar w:fldCharType="end"/>
      </w:r>
      <w:r w:rsidRPr="002B136D">
        <w:rPr>
          <w:rFonts w:cs="Times New Roman"/>
          <w:szCs w:val="28"/>
        </w:rPr>
        <w:t xml:space="preserve">. </w:t>
      </w:r>
    </w:p>
    <w:p w14:paraId="1F890B61" w14:textId="7BB34E8A" w:rsidR="000E53B2" w:rsidRPr="002B136D" w:rsidRDefault="00BF7A0B" w:rsidP="002B136D">
      <w:pPr>
        <w:tabs>
          <w:tab w:val="left" w:pos="851"/>
        </w:tabs>
        <w:spacing w:after="0" w:line="240" w:lineRule="auto"/>
        <w:ind w:firstLine="567"/>
        <w:contextualSpacing/>
        <w:jc w:val="both"/>
        <w:rPr>
          <w:rFonts w:cs="Times New Roman"/>
          <w:szCs w:val="28"/>
        </w:rPr>
      </w:pPr>
      <w:r w:rsidRPr="002B136D">
        <w:rPr>
          <w:rFonts w:cs="Times New Roman"/>
          <w:szCs w:val="28"/>
        </w:rPr>
        <w:t>По данным мировой литературы, ЭОП развивается примерно у 50% пациентов с болезнью Грейвса, в то время как у другой половины его проявления отсутствуют</w:t>
      </w:r>
      <w:r w:rsidR="004B40F7" w:rsidRPr="002B136D">
        <w:rPr>
          <w:rFonts w:cs="Times New Roman"/>
          <w:szCs w:val="28"/>
        </w:rPr>
        <w:t xml:space="preserve"> </w:t>
      </w:r>
      <w:r w:rsidR="004B40F7" w:rsidRPr="002B136D">
        <w:rPr>
          <w:rFonts w:cs="Times New Roman"/>
          <w:szCs w:val="28"/>
          <w:lang w:val="en-US"/>
        </w:rPr>
        <w:fldChar w:fldCharType="begin"/>
      </w:r>
      <w:r w:rsidR="004B40F7" w:rsidRPr="002B136D">
        <w:rPr>
          <w:rFonts w:cs="Times New Roman"/>
          <w:szCs w:val="28"/>
        </w:rPr>
        <w:instrText xml:space="preserve"> ADDIN ZOTERO_ITEM CSL_CITATION {"citationID":"14LOyqBf","properties":{"formattedCitation":"[2]","plainCitation":"[2]","noteIndex":0},"citationItems":[{"id":632,"uris":["http://zotero.org/users/8237658/items/9243LP32"],"itemData":{"id":632,"type":"book","title":"Smith TJ, Hegedüs L. Graves' Disease. N Engl J Med. 2016 Oct 20;375(16):1552-1565. doi: 10.1056/NEJMra1510030. PMID: 27797318."}}],"schema":"https://github.com/citation-style-language/schema/raw/master/csl-citation.json"} </w:instrText>
      </w:r>
      <w:r w:rsidR="004B40F7" w:rsidRPr="002B136D">
        <w:rPr>
          <w:rFonts w:cs="Times New Roman"/>
          <w:szCs w:val="28"/>
          <w:lang w:val="en-US"/>
        </w:rPr>
        <w:fldChar w:fldCharType="separate"/>
      </w:r>
      <w:r w:rsidR="004B40F7" w:rsidRPr="002B136D">
        <w:rPr>
          <w:rFonts w:cs="Times New Roman"/>
        </w:rPr>
        <w:t>[2]</w:t>
      </w:r>
      <w:r w:rsidR="004B40F7" w:rsidRPr="002B136D">
        <w:rPr>
          <w:rFonts w:cs="Times New Roman"/>
          <w:szCs w:val="28"/>
          <w:lang w:val="en-US"/>
        </w:rPr>
        <w:fldChar w:fldCharType="end"/>
      </w:r>
      <w:r w:rsidRPr="002B136D">
        <w:rPr>
          <w:rFonts w:cs="Times New Roman"/>
          <w:szCs w:val="28"/>
        </w:rPr>
        <w:t>. В 80% случаев ЭОП ассоцииро</w:t>
      </w:r>
      <w:r w:rsidR="00B0686C">
        <w:rPr>
          <w:rFonts w:cs="Times New Roman"/>
          <w:szCs w:val="28"/>
        </w:rPr>
        <w:t>ван</w:t>
      </w:r>
      <w:proofErr w:type="gramStart"/>
      <w:r w:rsidR="00B0686C">
        <w:rPr>
          <w:rFonts w:cs="Times New Roman"/>
          <w:szCs w:val="28"/>
        </w:rPr>
        <w:t>a</w:t>
      </w:r>
      <w:proofErr w:type="gramEnd"/>
      <w:r w:rsidR="00B0686C">
        <w:rPr>
          <w:rFonts w:cs="Times New Roman"/>
          <w:szCs w:val="28"/>
        </w:rPr>
        <w:t xml:space="preserve"> с болезнью Грейвса, в 10% –</w:t>
      </w:r>
      <w:r w:rsidRPr="002B136D">
        <w:rPr>
          <w:rFonts w:cs="Times New Roman"/>
          <w:szCs w:val="28"/>
        </w:rPr>
        <w:t xml:space="preserve"> с аутоиммунным тиреоидитом (у эутиреоидных или гипо</w:t>
      </w:r>
      <w:r w:rsidR="00B0686C">
        <w:rPr>
          <w:rFonts w:cs="Times New Roman"/>
          <w:szCs w:val="28"/>
        </w:rPr>
        <w:t xml:space="preserve">тиреоидных пациентов), и в 10% </w:t>
      </w:r>
      <w:r w:rsidR="00B0686C">
        <w:rPr>
          <w:rFonts w:cs="Times New Roman"/>
          <w:szCs w:val="28"/>
        </w:rPr>
        <w:softHyphen/>
        <w:t>–</w:t>
      </w:r>
      <w:r w:rsidRPr="002B136D">
        <w:rPr>
          <w:rFonts w:cs="Times New Roman"/>
          <w:szCs w:val="28"/>
        </w:rPr>
        <w:t xml:space="preserve"> с нормальными уровнями тиреоидных гормонов и ТТГ при отсутствии аутоиммунной патологии в анамнезе </w:t>
      </w:r>
      <w:r w:rsidR="000E53B2" w:rsidRPr="002B136D">
        <w:rPr>
          <w:rFonts w:cs="Times New Roman"/>
          <w:szCs w:val="28"/>
        </w:rPr>
        <w:fldChar w:fldCharType="begin"/>
      </w:r>
      <w:r w:rsidR="004B40F7" w:rsidRPr="002B136D">
        <w:rPr>
          <w:rFonts w:cs="Times New Roman"/>
          <w:szCs w:val="28"/>
        </w:rPr>
        <w:instrText xml:space="preserve"> ADDIN ZOTERO_ITEM CSL_CITATION {"citationID":"0Qu8nJHq","properties":{"formattedCitation":"[3]","plainCitation":"[3]","noteIndex":0},"citationItems":[{"id":230,"uris":["http://zotero.org/users/8237658/items/72XH5997"],"itemData":{"id":230,"type":"book","title":"Федеральные клинические рекомендации по диагностике и лечению эндокринной офтальмопатии при аутоиммунной патологии щитовидной железы /И. И. Дедов [и др.] // Проблемы эндокринологии. –2015. – № 1 – С. 61-74"}}],"schema":"https://github.com/citation-style-language/schema/raw/master/csl-citation.json"} </w:instrText>
      </w:r>
      <w:r w:rsidR="000E53B2" w:rsidRPr="002B136D">
        <w:rPr>
          <w:rFonts w:cs="Times New Roman"/>
          <w:szCs w:val="28"/>
        </w:rPr>
        <w:fldChar w:fldCharType="separate"/>
      </w:r>
      <w:r w:rsidR="004B40F7" w:rsidRPr="002B136D">
        <w:rPr>
          <w:rFonts w:cs="Times New Roman"/>
        </w:rPr>
        <w:t>[3]</w:t>
      </w:r>
      <w:r w:rsidR="000E53B2" w:rsidRPr="002B136D">
        <w:rPr>
          <w:rFonts w:cs="Times New Roman"/>
          <w:szCs w:val="28"/>
        </w:rPr>
        <w:fldChar w:fldCharType="end"/>
      </w:r>
      <w:r w:rsidR="000E53B2" w:rsidRPr="002B136D">
        <w:rPr>
          <w:rFonts w:cs="Times New Roman"/>
          <w:szCs w:val="28"/>
        </w:rPr>
        <w:t>.</w:t>
      </w:r>
    </w:p>
    <w:p w14:paraId="1D7BC79A" w14:textId="59DB989E" w:rsidR="00245A32" w:rsidRPr="002B136D" w:rsidRDefault="00245A32" w:rsidP="002B136D">
      <w:pPr>
        <w:tabs>
          <w:tab w:val="left" w:pos="851"/>
        </w:tabs>
        <w:spacing w:after="0" w:line="240" w:lineRule="auto"/>
        <w:ind w:firstLine="567"/>
        <w:contextualSpacing/>
        <w:jc w:val="both"/>
        <w:rPr>
          <w:rFonts w:cs="Times New Roman"/>
          <w:szCs w:val="28"/>
        </w:rPr>
      </w:pPr>
      <w:r w:rsidRPr="002B136D">
        <w:rPr>
          <w:rFonts w:cs="Times New Roman"/>
          <w:szCs w:val="28"/>
        </w:rPr>
        <w:t xml:space="preserve">Многочисленные исследования </w:t>
      </w:r>
      <w:r w:rsidRPr="002B136D">
        <w:rPr>
          <w:rFonts w:cs="Times New Roman"/>
          <w:szCs w:val="28"/>
        </w:rPr>
        <w:fldChar w:fldCharType="begin"/>
      </w:r>
      <w:r w:rsidR="004B40F7" w:rsidRPr="002B136D">
        <w:rPr>
          <w:rFonts w:cs="Times New Roman"/>
          <w:szCs w:val="28"/>
        </w:rPr>
        <w:instrText xml:space="preserve"> ADDIN ZOTERO_ITEM CSL_CITATION {"citationID":"hwFVDvhU","properties":{"formattedCitation":"[4,5]","plainCitation":"[4,5]","noteIndex":0},"citationItems":[{"id":335,"uris":["http://zotero.org/users/8237658/items/67KQUEGM"],"itemData":{"id":335,"type":"book","title":"Pan Y, Wang M, Chen X, Chen Y, Ai S, Wang M, Su W, Liang D. Elevated IL-38 inhibits IL-23R expression and IL-17A production in thyroid-associated ophthalmopathy. Int Immunopharmacol. 2021 Feb;91:107300. doi: 10.1016/j.intimp.2020.107300. Epub 2020 Dec 28. PMID: 33383445."},"label":"page"},{"id":442,"uris":["http://zotero.org/users/8237658/items/DBTTIEE4"],"itemData":{"id":442,"type":"book","title":"Negi S, Tandel N, Sharma P, Kumar R, Tyagi RK. Aceclofenac and methotrexate combination therapy could influence Th1/Th17 axis to modulate rheumatoid-arthritis-induced inflammation. Drug Discov Today. 2023 Aug;28(8):103671. doi: 10.1016/j.drudis.2023.103671. Epub 2023 Jun 16. PMID: 37330038."},"label":"page"}],"schema":"https://github.com/citation-style-language/schema/raw/master/csl-citation.json"} </w:instrText>
      </w:r>
      <w:r w:rsidRPr="002B136D">
        <w:rPr>
          <w:rFonts w:cs="Times New Roman"/>
          <w:szCs w:val="28"/>
        </w:rPr>
        <w:fldChar w:fldCharType="separate"/>
      </w:r>
      <w:r w:rsidR="004B40F7" w:rsidRPr="002B136D">
        <w:rPr>
          <w:rFonts w:cs="Times New Roman"/>
        </w:rPr>
        <w:t>[4,5]</w:t>
      </w:r>
      <w:r w:rsidRPr="002B136D">
        <w:rPr>
          <w:rFonts w:cs="Times New Roman"/>
          <w:szCs w:val="28"/>
        </w:rPr>
        <w:fldChar w:fldCharType="end"/>
      </w:r>
      <w:r w:rsidRPr="002B136D">
        <w:rPr>
          <w:rFonts w:cs="Times New Roman"/>
          <w:szCs w:val="28"/>
        </w:rPr>
        <w:t xml:space="preserve"> указывают на то, что активированные </w:t>
      </w:r>
      <w:proofErr w:type="gramStart"/>
      <w:r w:rsidRPr="002B136D">
        <w:rPr>
          <w:rFonts w:cs="Times New Roman"/>
          <w:szCs w:val="28"/>
        </w:rPr>
        <w:t>В-</w:t>
      </w:r>
      <w:proofErr w:type="gramEnd"/>
      <w:r w:rsidRPr="002B136D">
        <w:rPr>
          <w:rFonts w:cs="Times New Roman"/>
          <w:szCs w:val="28"/>
        </w:rPr>
        <w:t xml:space="preserve"> и Т-лимфоциты играют ключевую роль в патогенезе ЭОП и других аутоиммунных заболеваний, инициируя каскад аутоиммунных реакций. Однако из-за многофакторности этиологии ЭОП патогенез остается недостаточно изученным. Известно, что осн</w:t>
      </w:r>
      <w:r w:rsidR="00B0686C">
        <w:rPr>
          <w:rFonts w:cs="Times New Roman"/>
          <w:szCs w:val="28"/>
        </w:rPr>
        <w:t xml:space="preserve">овные мишени в орбите при ЭОП – </w:t>
      </w:r>
      <w:r w:rsidRPr="002B136D">
        <w:rPr>
          <w:rFonts w:cs="Times New Roman"/>
          <w:szCs w:val="28"/>
        </w:rPr>
        <w:t xml:space="preserve">орбитальные фибробласты, имеющие специфические рецепторы к щитовидной железе (р-ТТГ). Эти фибробласты могут трансформироваться под воздействием провоспалительных цитокинов. </w:t>
      </w:r>
      <w:proofErr w:type="gramStart"/>
      <w:r w:rsidRPr="002B136D">
        <w:rPr>
          <w:rFonts w:cs="Times New Roman"/>
          <w:szCs w:val="28"/>
        </w:rPr>
        <w:t>Активированные фибробласты (ФБ) (CD90</w:t>
      </w:r>
      <w:r w:rsidRPr="002B136D">
        <w:rPr>
          <w:rFonts w:cs="Times New Roman"/>
          <w:szCs w:val="28"/>
          <w:vertAlign w:val="superscript"/>
        </w:rPr>
        <w:t>-</w:t>
      </w:r>
      <w:r w:rsidRPr="002B136D">
        <w:rPr>
          <w:rFonts w:cs="Times New Roman"/>
          <w:szCs w:val="28"/>
        </w:rPr>
        <w:t xml:space="preserve">) в активной фазе превращаются в жировые клетки, что приводит к увеличению объема клетчатки и вызывает экзофтальм </w:t>
      </w:r>
      <w:proofErr w:type="gramEnd"/>
      <w:r w:rsidRPr="002B136D">
        <w:rPr>
          <w:rFonts w:cs="Times New Roman"/>
          <w:szCs w:val="28"/>
          <w:lang w:val="en-US"/>
        </w:rPr>
        <w:fldChar w:fldCharType="begin"/>
      </w:r>
      <w:r w:rsidR="00A6759A" w:rsidRPr="002B136D">
        <w:rPr>
          <w:rFonts w:cs="Times New Roman"/>
          <w:szCs w:val="28"/>
        </w:rPr>
        <w:instrText xml:space="preserve"> ADDIN ZOTERO_ITEM CSL_CITATION {"citationID":"61CqutIV","properties":{"formattedCitation":"[6]","plainCitation":"[6]","noteIndex":0},"citationItems":[{"id":281,"uris":["http://zotero.org/users/8237658/items/W8WM5788"],"itemData":{"id":281,"type":"book","title":"Е.С.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офтальмопатии"}}],"schema":"https://github.com/citation-style-language/schema/raw/master/csl-citation.json"} </w:instrText>
      </w:r>
      <w:r w:rsidRPr="002B136D">
        <w:rPr>
          <w:rFonts w:cs="Times New Roman"/>
          <w:szCs w:val="28"/>
          <w:lang w:val="en-US"/>
        </w:rPr>
        <w:fldChar w:fldCharType="separate"/>
      </w:r>
      <w:r w:rsidR="00A6759A" w:rsidRPr="002B136D">
        <w:rPr>
          <w:rFonts w:cs="Times New Roman"/>
        </w:rPr>
        <w:t>[6]</w:t>
      </w:r>
      <w:r w:rsidRPr="002B136D">
        <w:rPr>
          <w:rFonts w:cs="Times New Roman"/>
          <w:szCs w:val="28"/>
        </w:rPr>
        <w:fldChar w:fldCharType="end"/>
      </w:r>
      <w:proofErr w:type="gramStart"/>
      <w:r w:rsidRPr="002B136D">
        <w:rPr>
          <w:rFonts w:cs="Times New Roman"/>
          <w:szCs w:val="28"/>
        </w:rPr>
        <w:t xml:space="preserve">. </w:t>
      </w:r>
      <w:r w:rsidR="00A6759A" w:rsidRPr="002B136D">
        <w:rPr>
          <w:szCs w:val="28"/>
        </w:rPr>
        <w:t>В неактивной фазе, после завершения иммунопатологического процесса, CD90</w:t>
      </w:r>
      <w:r w:rsidR="00A6759A" w:rsidRPr="002B136D">
        <w:rPr>
          <w:szCs w:val="28"/>
          <w:vertAlign w:val="superscript"/>
        </w:rPr>
        <w:t>+</w:t>
      </w:r>
      <w:r w:rsidR="00A6759A" w:rsidRPr="002B136D">
        <w:rPr>
          <w:szCs w:val="28"/>
        </w:rPr>
        <w:t xml:space="preserve"> фибробласты под действием цитокинов трансформируются в миофибробласты, вызывая фиброз орбитальных тканей и приводя к ограничению подвижности глаз и диплопии</w:t>
      </w:r>
      <w:r w:rsidR="00A6759A" w:rsidRPr="002B136D">
        <w:rPr>
          <w:szCs w:val="28"/>
          <w:lang w:val="kk-KZ"/>
        </w:rPr>
        <w:t xml:space="preserve"> </w:t>
      </w:r>
      <w:r w:rsidR="00A6759A" w:rsidRPr="002B136D">
        <w:rPr>
          <w:rFonts w:cs="Times New Roman"/>
          <w:szCs w:val="28"/>
        </w:rPr>
        <w:t xml:space="preserve"> </w:t>
      </w:r>
      <w:proofErr w:type="gramEnd"/>
      <w:r w:rsidRPr="002B136D">
        <w:rPr>
          <w:rFonts w:cs="Times New Roman"/>
          <w:szCs w:val="28"/>
          <w:lang w:val="en-US"/>
        </w:rPr>
        <w:fldChar w:fldCharType="begin"/>
      </w:r>
      <w:r w:rsidR="004B40F7" w:rsidRPr="002B136D">
        <w:rPr>
          <w:rFonts w:cs="Times New Roman"/>
          <w:szCs w:val="28"/>
        </w:rPr>
        <w:instrText xml:space="preserve"> ADDIN ZOTERO_ITEM CSL_CITATION {"citationID":"ZDYDEXev","properties":{"formattedCitation":"[6]","plainCitation":"[6]","noteIndex":0},"citationItems":[{"id":281,"uris":["http://zotero.org/users/8237658/items/W8WM5788"],"itemData":{"id":281,"type":"book","title":"Е.С.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офтальмопатии"}}],"schema":"https://github.com/citation-style-language/schema/raw/master/csl-citation.json"} </w:instrText>
      </w:r>
      <w:r w:rsidRPr="002B136D">
        <w:rPr>
          <w:rFonts w:cs="Times New Roman"/>
          <w:szCs w:val="28"/>
          <w:lang w:val="en-US"/>
        </w:rPr>
        <w:fldChar w:fldCharType="separate"/>
      </w:r>
      <w:r w:rsidR="004B40F7" w:rsidRPr="002B136D">
        <w:rPr>
          <w:rFonts w:cs="Times New Roman"/>
        </w:rPr>
        <w:t>[6</w:t>
      </w:r>
      <w:r w:rsidR="002932C4">
        <w:rPr>
          <w:rFonts w:cs="Times New Roman"/>
        </w:rPr>
        <w:t>,с. 18</w:t>
      </w:r>
      <w:r w:rsidR="004B40F7" w:rsidRPr="002B136D">
        <w:rPr>
          <w:rFonts w:cs="Times New Roman"/>
        </w:rPr>
        <w:t>]</w:t>
      </w:r>
      <w:r w:rsidRPr="002B136D">
        <w:rPr>
          <w:rFonts w:cs="Times New Roman"/>
          <w:szCs w:val="28"/>
        </w:rPr>
        <w:fldChar w:fldCharType="end"/>
      </w:r>
      <w:proofErr w:type="gramStart"/>
      <w:r w:rsidRPr="002B136D">
        <w:rPr>
          <w:rFonts w:cs="Times New Roman"/>
          <w:szCs w:val="28"/>
        </w:rPr>
        <w:t>.</w:t>
      </w:r>
      <w:proofErr w:type="gramEnd"/>
    </w:p>
    <w:p w14:paraId="4D6A3D4E" w14:textId="750F1428" w:rsidR="00E050DC" w:rsidRPr="002B136D" w:rsidRDefault="00B0686C" w:rsidP="002B136D">
      <w:pPr>
        <w:tabs>
          <w:tab w:val="left" w:pos="851"/>
        </w:tabs>
        <w:spacing w:after="0" w:line="240" w:lineRule="auto"/>
        <w:ind w:firstLine="567"/>
        <w:contextualSpacing/>
        <w:jc w:val="both"/>
        <w:rPr>
          <w:rFonts w:cs="Times New Roman"/>
          <w:szCs w:val="28"/>
        </w:rPr>
      </w:pPr>
      <w:r>
        <w:rPr>
          <w:rFonts w:cs="Times New Roman"/>
          <w:szCs w:val="28"/>
          <w:lang w:val="kk-KZ"/>
        </w:rPr>
        <w:t>Интерлейкин 17 (IL-17) –</w:t>
      </w:r>
      <w:r w:rsidR="00E32FC9" w:rsidRPr="002B136D">
        <w:rPr>
          <w:rFonts w:cs="Times New Roman"/>
          <w:szCs w:val="28"/>
          <w:lang w:val="kk-KZ"/>
        </w:rPr>
        <w:t xml:space="preserve"> это важный цитокин, который в основном вырабатывается Т-хелперами 17 (Th17). Исследования выявили шесть подвидов этого цитокина, которые различаются по степени воспалительного действия (IL-17A &gt; IL-17A/F &gt; IL-17F) </w:t>
      </w:r>
      <w:r w:rsidR="00E32FC9" w:rsidRPr="002B136D">
        <w:rPr>
          <w:rFonts w:cs="Times New Roman"/>
          <w:szCs w:val="28"/>
        </w:rPr>
        <w:fldChar w:fldCharType="begin"/>
      </w:r>
      <w:r w:rsidR="004B40F7" w:rsidRPr="002B136D">
        <w:rPr>
          <w:rFonts w:cs="Times New Roman"/>
          <w:szCs w:val="28"/>
        </w:rPr>
        <w:instrText xml:space="preserve"> ADDIN ZOTERO_ITEM CSL_CITATION {"citationID":"INgrUQEq","properties":{"formattedCitation":"[7]","plainCitation":"[7]","noteIndex":0},"citationItems":[{"id":572,"uris":["http://zotero.org/users/8237658/items/PPI37YYG"],"itemData":{"id":572,"type":"book","title":"Tout I, Noack M, Miossec P. Differential effects of interleukin-17A and 17F on cell interactions between immune cells and stromal cells from synovium or skin. Sci Rep. 2023 Nov 6;13(1):19223. doi: 10.1038/s41598-023-45653-8. PMID: 37932356; PMCID: PMC10628108."}}],"schema":"https://github.com/citation-style-language/schema/raw/master/csl-citation.json"} </w:instrText>
      </w:r>
      <w:r w:rsidR="00E32FC9" w:rsidRPr="002B136D">
        <w:rPr>
          <w:rFonts w:cs="Times New Roman"/>
          <w:szCs w:val="28"/>
        </w:rPr>
        <w:fldChar w:fldCharType="separate"/>
      </w:r>
      <w:r w:rsidR="004B40F7" w:rsidRPr="002B136D">
        <w:rPr>
          <w:rFonts w:cs="Times New Roman"/>
        </w:rPr>
        <w:t>[7]</w:t>
      </w:r>
      <w:r w:rsidR="00E32FC9" w:rsidRPr="002B136D">
        <w:rPr>
          <w:rFonts w:cs="Times New Roman"/>
          <w:szCs w:val="28"/>
          <w:lang w:val="kk-KZ"/>
        </w:rPr>
        <w:fldChar w:fldCharType="end"/>
      </w:r>
      <w:r w:rsidR="00E32FC9" w:rsidRPr="002B136D">
        <w:rPr>
          <w:rFonts w:cs="Times New Roman"/>
          <w:szCs w:val="28"/>
        </w:rPr>
        <w:t>.</w:t>
      </w:r>
      <w:r w:rsidR="00E32FC9" w:rsidRPr="002B136D">
        <w:rPr>
          <w:rFonts w:cs="Times New Roman"/>
          <w:szCs w:val="28"/>
          <w:lang w:val="kk-KZ"/>
        </w:rPr>
        <w:t xml:space="preserve"> В нормальных условиях IL-17 играет защитную роль против бактериальных и грибковых инфекций, однако его чрезмерная выработка может привести к иммунопатологиям. </w:t>
      </w:r>
      <w:r w:rsidR="00BF7A0B" w:rsidRPr="002B136D">
        <w:rPr>
          <w:rFonts w:cs="Times New Roman"/>
          <w:szCs w:val="28"/>
        </w:rPr>
        <w:t xml:space="preserve">Th17-клетки, посредством провоспалительных цитокинов, стимулируют синтез антител В-лимфоцитами к </w:t>
      </w:r>
      <w:r w:rsidR="00BF7A0B" w:rsidRPr="002B136D">
        <w:rPr>
          <w:rFonts w:cs="Times New Roman"/>
          <w:szCs w:val="28"/>
          <w:lang w:val="kk-KZ"/>
        </w:rPr>
        <w:t xml:space="preserve">рецептору тиреотропного гормона (р-ТТГ) и рецептору инсулиноподобного фактора роста 1 (IGF-IR) </w:t>
      </w:r>
      <w:r w:rsidR="00BF7A0B" w:rsidRPr="002B136D">
        <w:rPr>
          <w:rFonts w:cs="Times New Roman"/>
          <w:szCs w:val="28"/>
        </w:rPr>
        <w:t xml:space="preserve">в орбитальных фибробластах </w:t>
      </w:r>
      <w:r w:rsidR="00E32FC9" w:rsidRPr="002B136D">
        <w:rPr>
          <w:rFonts w:cs="Times New Roman"/>
          <w:szCs w:val="28"/>
          <w:lang w:val="kk-KZ"/>
        </w:rPr>
        <w:t xml:space="preserve"> </w:t>
      </w:r>
      <w:r w:rsidR="00E32FC9" w:rsidRPr="002B136D">
        <w:rPr>
          <w:rFonts w:cs="Times New Roman"/>
          <w:szCs w:val="28"/>
        </w:rPr>
        <w:fldChar w:fldCharType="begin"/>
      </w:r>
      <w:r w:rsidR="004B40F7" w:rsidRPr="002B136D">
        <w:rPr>
          <w:rFonts w:cs="Times New Roman"/>
          <w:szCs w:val="28"/>
        </w:rPr>
        <w:instrText xml:space="preserve"> ADDIN ZOTERO_ITEM CSL_CITATION {"citationID":"TyK8ZZMJ","properties":{"formattedCitation":"[6]","plainCitation":"[6]","noteIndex":0},"citationItems":[{"id":281,"uris":["http://zotero.org/users/8237658/items/W8WM5788"],"itemData":{"id":281,"type":"book","title":"Е.С.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офтальмопатии"}}],"schema":"https://github.com/citation-style-language/schema/raw/master/csl-citation.json"} </w:instrText>
      </w:r>
      <w:r w:rsidR="00E32FC9" w:rsidRPr="002B136D">
        <w:rPr>
          <w:rFonts w:cs="Times New Roman"/>
          <w:szCs w:val="28"/>
        </w:rPr>
        <w:fldChar w:fldCharType="separate"/>
      </w:r>
      <w:r w:rsidR="004B40F7" w:rsidRPr="002B136D">
        <w:rPr>
          <w:rFonts w:cs="Times New Roman"/>
        </w:rPr>
        <w:t>[6</w:t>
      </w:r>
      <w:r w:rsidR="002932C4">
        <w:rPr>
          <w:rFonts w:cs="Times New Roman"/>
        </w:rPr>
        <w:t>,с. 18</w:t>
      </w:r>
      <w:r w:rsidR="004B40F7" w:rsidRPr="002B136D">
        <w:rPr>
          <w:rFonts w:cs="Times New Roman"/>
        </w:rPr>
        <w:t>]</w:t>
      </w:r>
      <w:r w:rsidR="00E32FC9" w:rsidRPr="002B136D">
        <w:rPr>
          <w:rFonts w:cs="Times New Roman"/>
          <w:szCs w:val="28"/>
          <w:lang w:val="kk-KZ"/>
        </w:rPr>
        <w:fldChar w:fldCharType="end"/>
      </w:r>
      <w:r w:rsidR="00E32FC9" w:rsidRPr="002B136D">
        <w:rPr>
          <w:rFonts w:cs="Times New Roman"/>
          <w:szCs w:val="28"/>
        </w:rPr>
        <w:t>. Эта связь с антителами запускает иммунный процесс в орбите. </w:t>
      </w:r>
      <w:r w:rsidR="00E050DC" w:rsidRPr="002B136D">
        <w:rPr>
          <w:rFonts w:cs="Times New Roman"/>
          <w:szCs w:val="28"/>
          <w:lang w:val="kk-KZ"/>
        </w:rPr>
        <w:t xml:space="preserve">В патогенезе аутоиммунных заболеваний дисбаланс иммунных клеток и действие различных цитокинов могут приводить к трансформации Т-супрессоров </w:t>
      </w:r>
      <w:r w:rsidR="00972727" w:rsidRPr="002B136D">
        <w:rPr>
          <w:rFonts w:cs="Times New Roman"/>
          <w:szCs w:val="28"/>
          <w:lang w:val="kk-KZ"/>
        </w:rPr>
        <w:t>и Th1 клеток в Th1/Th17 и Treg/</w:t>
      </w:r>
      <w:r w:rsidR="00E050DC" w:rsidRPr="002B136D">
        <w:rPr>
          <w:rFonts w:cs="Times New Roman"/>
          <w:szCs w:val="28"/>
          <w:lang w:val="kk-KZ"/>
        </w:rPr>
        <w:t xml:space="preserve">Th17. Эти клетки действуют как Th17 и производят IL-17, что усугубляет аутоиммунный процесс </w:t>
      </w:r>
      <w:r w:rsidR="00E050DC" w:rsidRPr="002B136D">
        <w:rPr>
          <w:rFonts w:cs="Times New Roman"/>
          <w:szCs w:val="28"/>
        </w:rPr>
        <w:fldChar w:fldCharType="begin"/>
      </w:r>
      <w:r w:rsidR="004B40F7" w:rsidRPr="002B136D">
        <w:rPr>
          <w:rFonts w:cs="Times New Roman"/>
          <w:szCs w:val="28"/>
        </w:rPr>
        <w:instrText xml:space="preserve"> ADDIN ZOTERO_ITEM CSL_CITATION {"citationID":"suUEqkFp","properties":{"formattedCitation":"[8]","plainCitation":"[8]","noteIndex":0},"citationItems":[{"id":576,"uris":["http://zotero.org/users/8237658/items/28NZE3MV"],"itemData":{"id":576,"type":"book","title":"Jiang M, Zhao J, Wang P, Yan S, Wang Y. Research progress in Th17 cells and the relevant cytokines in Graves' ophthalmopathy. Zhong Nan Da Xue Xue Bao Yi Xue Ban. 2022 Dec 28;47(12):1748-1753. English, Chinese. doi: 10.11817/j.issn.1672-7347.2022.220205. PMID: 36748387; PMCID: PMC10930278."}}],"schema":"https://github.com/citation-style-language/schema/raw/master/csl-citation.json"} </w:instrText>
      </w:r>
      <w:r w:rsidR="00E050DC" w:rsidRPr="002B136D">
        <w:rPr>
          <w:rFonts w:cs="Times New Roman"/>
          <w:szCs w:val="28"/>
        </w:rPr>
        <w:fldChar w:fldCharType="separate"/>
      </w:r>
      <w:r w:rsidR="004B40F7" w:rsidRPr="002B136D">
        <w:rPr>
          <w:rFonts w:cs="Times New Roman"/>
        </w:rPr>
        <w:t>[8]</w:t>
      </w:r>
      <w:r w:rsidR="00E050DC" w:rsidRPr="002B136D">
        <w:rPr>
          <w:rFonts w:cs="Times New Roman"/>
          <w:szCs w:val="28"/>
          <w:lang w:val="kk-KZ"/>
        </w:rPr>
        <w:fldChar w:fldCharType="end"/>
      </w:r>
      <w:r w:rsidR="00E050DC" w:rsidRPr="002B136D">
        <w:rPr>
          <w:rFonts w:cs="Times New Roman"/>
          <w:szCs w:val="28"/>
        </w:rPr>
        <w:t>.</w:t>
      </w:r>
      <w:r w:rsidR="002F7857" w:rsidRPr="002B136D">
        <w:rPr>
          <w:rFonts w:cs="Times New Roman"/>
          <w:szCs w:val="28"/>
          <w:lang w:val="kk-KZ"/>
        </w:rPr>
        <w:t xml:space="preserve"> </w:t>
      </w:r>
      <w:r w:rsidR="00C87EE3" w:rsidRPr="002B136D">
        <w:rPr>
          <w:rFonts w:cs="Times New Roman"/>
          <w:szCs w:val="28"/>
          <w:lang w:val="kk-KZ"/>
        </w:rPr>
        <w:t>Синтезированный IL-17 связывается со специфическими рецепторами, активируя транскрипционные факторы (NF-κB, Асt-1), которые транскрибируют мРНК про</w:t>
      </w:r>
      <w:r w:rsidR="00A6759A" w:rsidRPr="002B136D">
        <w:rPr>
          <w:rFonts w:cs="Times New Roman"/>
          <w:szCs w:val="28"/>
          <w:lang w:val="kk-KZ"/>
        </w:rPr>
        <w:t xml:space="preserve">воспалительных цитокинов на ДНК </w:t>
      </w:r>
      <w:r w:rsidR="00E050DC" w:rsidRPr="002B136D">
        <w:rPr>
          <w:rFonts w:cs="Times New Roman"/>
          <w:szCs w:val="28"/>
          <w:lang w:val="en-US"/>
        </w:rPr>
        <w:fldChar w:fldCharType="begin"/>
      </w:r>
      <w:r w:rsidR="00A6759A" w:rsidRPr="002B136D">
        <w:rPr>
          <w:rFonts w:cs="Times New Roman"/>
          <w:szCs w:val="28"/>
        </w:rPr>
        <w:instrText xml:space="preserve"> ADDIN ZOTERO_ITEM CSL_CITATION {"citationID":"OsgAymuA","properties":{"formattedCitation":"[9,10]","plainCitation":"[9,10]","noteIndex":0},"citationItems":[{"id":591,"uris":["http://zotero.org/users/8237658/items/4TBKPAML"],"itemData":{"id":591,"type":"book","title":"Lu Y, Xing C, Zhang C, Lv X, Liu G, Chen F, Hou Z, Zhang D. Promotion of IL‑17/NF‑κB signaling in autoimmune thyroid diseases. Exp Ther Med. 2022 Dec 6;25(1):51. doi: 10.3892/etm.2022.11750. PMID: 36588813; PMCID: PMC9780515."},"label":"page"},{"id":634,"uris":["http://zotero.org/users/8237658/items/RZ4L5BJZ"],"itemData":{"id":634,"type":"book","title":"Таскина, Елизавета Сергеевна. Некоторые патогенетические факторы развития фиброза экстраокулярных мышц и ретробульбарной клетчатки у пациентов с эндокринной офтальмопатией : диссертация ... кандидата медицинских наук : 14.03.03 / Таскина Елизавета Сергеевна; [Место защиты: ФГБОУ ВО «Читинская государственная медицинская академия» Министерства здравоохранения Российской Федерации]. — Чита, 2019. — 144 с. : ил.."},"label":"page"}],"schema":"https://github.com/citation-style-language/schema/raw/master/csl-citation.json"} </w:instrText>
      </w:r>
      <w:r w:rsidR="00E050DC" w:rsidRPr="002B136D">
        <w:rPr>
          <w:rFonts w:cs="Times New Roman"/>
          <w:szCs w:val="28"/>
          <w:lang w:val="en-US"/>
        </w:rPr>
        <w:fldChar w:fldCharType="separate"/>
      </w:r>
      <w:r w:rsidR="00A6759A" w:rsidRPr="002B136D">
        <w:rPr>
          <w:rFonts w:cs="Times New Roman"/>
        </w:rPr>
        <w:t>[9,10]</w:t>
      </w:r>
      <w:r w:rsidR="00E050DC" w:rsidRPr="002B136D">
        <w:rPr>
          <w:rFonts w:cs="Times New Roman"/>
          <w:szCs w:val="28"/>
          <w:lang w:val="kk-KZ"/>
        </w:rPr>
        <w:fldChar w:fldCharType="end"/>
      </w:r>
      <w:r w:rsidR="00E050DC" w:rsidRPr="002B136D">
        <w:rPr>
          <w:rFonts w:cs="Times New Roman"/>
          <w:szCs w:val="28"/>
        </w:rPr>
        <w:t xml:space="preserve">. </w:t>
      </w:r>
    </w:p>
    <w:p w14:paraId="536AE407" w14:textId="746271A1" w:rsidR="00012FC3" w:rsidRPr="002B136D" w:rsidRDefault="00C87EE3" w:rsidP="002B136D">
      <w:pPr>
        <w:tabs>
          <w:tab w:val="left" w:pos="851"/>
        </w:tabs>
        <w:spacing w:after="0" w:line="240" w:lineRule="auto"/>
        <w:ind w:firstLine="567"/>
        <w:contextualSpacing/>
        <w:jc w:val="both"/>
        <w:rPr>
          <w:rFonts w:cs="Times New Roman"/>
          <w:szCs w:val="28"/>
        </w:rPr>
      </w:pPr>
      <w:r w:rsidRPr="002B136D">
        <w:rPr>
          <w:rFonts w:cs="Times New Roman"/>
          <w:szCs w:val="28"/>
        </w:rPr>
        <w:lastRenderedPageBreak/>
        <w:t>IL-17 индуцирует продукцию провоспалительных цитокинов, хемокинов и простагландинов иммунными и целевыми клетками.</w:t>
      </w:r>
      <w:r w:rsidRPr="002B136D">
        <w:rPr>
          <w:rFonts w:cs="Times New Roman"/>
          <w:szCs w:val="28"/>
          <w:lang w:val="kk-KZ"/>
        </w:rPr>
        <w:t xml:space="preserve"> </w:t>
      </w:r>
      <w:proofErr w:type="gramStart"/>
      <w:r w:rsidR="00E050DC" w:rsidRPr="002B136D">
        <w:rPr>
          <w:rFonts w:cs="Times New Roman"/>
          <w:szCs w:val="28"/>
        </w:rPr>
        <w:t>Синтезированные</w:t>
      </w:r>
      <w:proofErr w:type="gramEnd"/>
      <w:r w:rsidR="00E050DC" w:rsidRPr="002B136D">
        <w:rPr>
          <w:rFonts w:cs="Times New Roman"/>
          <w:szCs w:val="28"/>
        </w:rPr>
        <w:t xml:space="preserve"> хемокины способствуют проникновению иммунных клеток в орбитальную полость, усугубляя иммунопатологический процесс. Активированные орбитальные фибробласты также вырабатывают воспалительные цитокины и хемокины, такие как IL-1β, IL-6, IL-8, PGE2, CXCL9 и CXCL10, а также гиперэкспрессируют р-ТТГ</w:t>
      </w:r>
      <w:r w:rsidR="00012FC3" w:rsidRPr="002B136D">
        <w:rPr>
          <w:rFonts w:cs="Times New Roman"/>
          <w:szCs w:val="28"/>
        </w:rPr>
        <w:t xml:space="preserve"> </w:t>
      </w:r>
      <w:r w:rsidR="00012FC3" w:rsidRPr="002B136D">
        <w:rPr>
          <w:rFonts w:cs="Times New Roman"/>
          <w:szCs w:val="28"/>
        </w:rPr>
        <w:fldChar w:fldCharType="begin"/>
      </w:r>
      <w:r w:rsidR="00A6759A" w:rsidRPr="002B136D">
        <w:rPr>
          <w:rFonts w:cs="Times New Roman"/>
          <w:szCs w:val="28"/>
        </w:rPr>
        <w:instrText xml:space="preserve"> ADDIN ZOTERO_ITEM CSL_CITATION {"citationID":"axZKAEY6","properties":{"formattedCitation":"[11,12]","plainCitation":"[11,12]","noteIndex":0},"citationItems":[{"id":512,"uris":["http://zotero.org/users/8237658/items/EVCUTJA5"],"itemData":{"id":512,"type":"book","title":"Sijie Fang, Yazhuo Huang, Sisi Zhong, Yangyang Li, Yidan Zhang, Yinwei Li, Jing Sun, Xingtong Liu, Yang Wang, Shuo Zhang, Tianle Xu, Xiaodong Sun, Ping Gu, Dan Li, Huifang Zhou, Bin Li, Xianqun Fan, Regulation of Orbital Fibrosis and Adipogenesis by Pathogenic Th17 Cells in Graves Orbitopathy, The Journal of Clinical Endocrinology &amp; Metabolism, Volume 102, Issue 11, 1 November 2017, Pages 4273–4283, https://doi.org/10.1210/jc.2017-01349"},"label":"page"},{"id":514,"uris":["http://zotero.org/users/8237658/items/9EGW5CZC"],"itemData":{"id":514,"type":"book","title":"Schrijver B, Kooiman MA, Kasteleijn E, van Holten-Neelen C, Virakul S, Paridaens D, Peeters RP, van Hagen PM, Dalm VASH, Dik WA. Basic Fibroblast Growth Factor Induces Adipogenesis in Orbital Fibroblasts: Implications for the Pathogenesis of Graves' Orbitopathy. Thyroid. 2019 Mar;29(3):395-404. doi: 10.1089/thy.2018.0544. Epub 2019 Feb 27. PMID: 30724135."},"label":"page"}],"schema":"https://github.com/citation-style-language/schema/raw/master/csl-citation.json"} </w:instrText>
      </w:r>
      <w:r w:rsidR="00012FC3" w:rsidRPr="002B136D">
        <w:rPr>
          <w:rFonts w:cs="Times New Roman"/>
          <w:szCs w:val="28"/>
        </w:rPr>
        <w:fldChar w:fldCharType="separate"/>
      </w:r>
      <w:r w:rsidR="00A6759A" w:rsidRPr="002B136D">
        <w:rPr>
          <w:rFonts w:cs="Times New Roman"/>
        </w:rPr>
        <w:t>[11,12]</w:t>
      </w:r>
      <w:r w:rsidR="00012FC3" w:rsidRPr="002B136D">
        <w:rPr>
          <w:rFonts w:cs="Times New Roman"/>
          <w:szCs w:val="28"/>
        </w:rPr>
        <w:fldChar w:fldCharType="end"/>
      </w:r>
      <w:r w:rsidR="00012FC3" w:rsidRPr="002B136D">
        <w:rPr>
          <w:rFonts w:cs="Times New Roman"/>
          <w:szCs w:val="28"/>
        </w:rPr>
        <w:t>.</w:t>
      </w:r>
      <w:r w:rsidR="00C126D1" w:rsidRPr="002B136D">
        <w:rPr>
          <w:rFonts w:cs="Times New Roman"/>
          <w:szCs w:val="28"/>
        </w:rPr>
        <w:t xml:space="preserve"> </w:t>
      </w:r>
      <w:r w:rsidR="00E050DC" w:rsidRPr="002B136D">
        <w:rPr>
          <w:rFonts w:cs="Times New Roman"/>
          <w:szCs w:val="28"/>
        </w:rPr>
        <w:t>Таким образом, IL-17 увеличивает синтез провоспалительных цитокинов, активируя В-клетки, которые вырабатывают анти-рТТГ. Эти антитела взаимодействуют с фибробластами, способствуя неоадипогенезу в активной фазе. В неактивной фазе IL-17, увеличивая синтез простагландинов, может влиять на фиброзирование глазодвигательных мышц</w:t>
      </w:r>
      <w:r w:rsidR="00012FC3" w:rsidRPr="002B136D">
        <w:rPr>
          <w:rFonts w:cs="Times New Roman"/>
          <w:szCs w:val="28"/>
        </w:rPr>
        <w:t xml:space="preserve"> </w:t>
      </w:r>
      <w:r w:rsidR="00012FC3" w:rsidRPr="002B136D">
        <w:rPr>
          <w:rFonts w:cs="Times New Roman"/>
          <w:szCs w:val="28"/>
        </w:rPr>
        <w:fldChar w:fldCharType="begin"/>
      </w:r>
      <w:r w:rsidR="00A6759A" w:rsidRPr="002B136D">
        <w:rPr>
          <w:rFonts w:cs="Times New Roman"/>
          <w:szCs w:val="28"/>
        </w:rPr>
        <w:instrText xml:space="preserve"> ADDIN ZOTERO_ITEM CSL_CITATION {"citationID":"9IrBTCed","properties":{"formattedCitation":"[13]","plainCitation":"[13]","noteIndex":0},"citationItems":[{"id":517,"uris":["http://zotero.org/users/8237658/items/7WUJR8VL"],"itemData":{"id":517,"type":"book","title":"Wu Y, Zhang J, Deng W, Mo C, Liang Y, Huang K, Xu F, Tang F. Comparison of orbital fibroblasts from Graves' ophthalmopathy and healthy control. Heliyon. 2024 Mar 24;10(7):e28397. doi: 10.1016/j.heliyon.2024.e28397. PMID: 38571651; PMCID: PMC10987992."}}],"schema":"https://github.com/citation-style-language/schema/raw/master/csl-citation.json"} </w:instrText>
      </w:r>
      <w:r w:rsidR="00012FC3" w:rsidRPr="002B136D">
        <w:rPr>
          <w:rFonts w:cs="Times New Roman"/>
          <w:szCs w:val="28"/>
        </w:rPr>
        <w:fldChar w:fldCharType="separate"/>
      </w:r>
      <w:r w:rsidR="00A6759A" w:rsidRPr="002B136D">
        <w:rPr>
          <w:rFonts w:cs="Times New Roman"/>
        </w:rPr>
        <w:t>[13]</w:t>
      </w:r>
      <w:r w:rsidR="00012FC3" w:rsidRPr="002B136D">
        <w:rPr>
          <w:rFonts w:cs="Times New Roman"/>
          <w:szCs w:val="28"/>
        </w:rPr>
        <w:fldChar w:fldCharType="end"/>
      </w:r>
      <w:r w:rsidR="00012FC3" w:rsidRPr="002B136D">
        <w:rPr>
          <w:rFonts w:cs="Times New Roman"/>
          <w:szCs w:val="28"/>
        </w:rPr>
        <w:t xml:space="preserve">. </w:t>
      </w:r>
      <w:r w:rsidR="00E050DC" w:rsidRPr="002B136D">
        <w:rPr>
          <w:rFonts w:cs="Times New Roman"/>
          <w:szCs w:val="28"/>
        </w:rPr>
        <w:t xml:space="preserve"> </w:t>
      </w:r>
      <w:r w:rsidR="00012FC3" w:rsidRPr="002B136D">
        <w:rPr>
          <w:rFonts w:cs="Times New Roman"/>
          <w:szCs w:val="28"/>
        </w:rPr>
        <w:t xml:space="preserve"> </w:t>
      </w:r>
    </w:p>
    <w:p w14:paraId="19C07DCA" w14:textId="418E7223" w:rsidR="00012FC3" w:rsidRPr="002B136D" w:rsidRDefault="00B0686C" w:rsidP="002B136D">
      <w:pPr>
        <w:tabs>
          <w:tab w:val="left" w:pos="851"/>
        </w:tabs>
        <w:spacing w:after="0" w:line="240" w:lineRule="auto"/>
        <w:ind w:firstLine="567"/>
        <w:contextualSpacing/>
        <w:jc w:val="both"/>
        <w:rPr>
          <w:rFonts w:cs="Times New Roman"/>
          <w:szCs w:val="28"/>
          <w:lang w:val="kk-KZ"/>
        </w:rPr>
      </w:pPr>
      <w:r>
        <w:rPr>
          <w:rFonts w:cs="Times New Roman"/>
          <w:szCs w:val="28"/>
        </w:rPr>
        <w:t>Интерлейкин-38 (IL-38) –</w:t>
      </w:r>
      <w:r w:rsidR="00E13275" w:rsidRPr="002B136D">
        <w:rPr>
          <w:rFonts w:cs="Times New Roman"/>
          <w:szCs w:val="28"/>
        </w:rPr>
        <w:t xml:space="preserve"> </w:t>
      </w:r>
      <w:proofErr w:type="gramStart"/>
      <w:r w:rsidR="00E13275" w:rsidRPr="002B136D">
        <w:rPr>
          <w:rFonts w:cs="Times New Roman"/>
          <w:szCs w:val="28"/>
        </w:rPr>
        <w:t>противовоспалительный</w:t>
      </w:r>
      <w:proofErr w:type="gramEnd"/>
      <w:r w:rsidR="00E13275" w:rsidRPr="002B136D">
        <w:rPr>
          <w:rFonts w:cs="Times New Roman"/>
          <w:szCs w:val="28"/>
        </w:rPr>
        <w:t xml:space="preserve"> цитокин, связывающийся с рецепторами IL-36R, IL-1R1 и IL-1RAPL1. Это предотвращает связывание </w:t>
      </w:r>
      <w:proofErr w:type="gramStart"/>
      <w:r w:rsidR="00E13275" w:rsidRPr="002B136D">
        <w:rPr>
          <w:rFonts w:cs="Times New Roman"/>
          <w:szCs w:val="28"/>
        </w:rPr>
        <w:t>агрессивных</w:t>
      </w:r>
      <w:proofErr w:type="gramEnd"/>
      <w:r w:rsidR="00E13275" w:rsidRPr="002B136D">
        <w:rPr>
          <w:rFonts w:cs="Times New Roman"/>
          <w:szCs w:val="28"/>
        </w:rPr>
        <w:t xml:space="preserve"> лигандов, ингибирует сигнальные пути и оказывает противовоспалительное действие через РВМС, моноциты THP-1, макрофаги и дендритные клетки. IL-38 также ингибирует активацию и функцию Th1 и Th17, стимулируя расширение Treg</w:t>
      </w:r>
      <w:r w:rsidR="00012FC3" w:rsidRPr="002B136D">
        <w:rPr>
          <w:rFonts w:cs="Times New Roman"/>
          <w:szCs w:val="28"/>
        </w:rPr>
        <w:t xml:space="preserve"> </w:t>
      </w:r>
      <w:r w:rsidR="00012FC3"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{"citationID":"T8gYY2CJ","properties":{"formattedCitation":"[14,15]","plainCitation":"[14,15]","noteIndex":0},"citationItems":[{"id":303,"uris":["http://zotero.org/users/8237658/items/7HS468CZ"],"itemData":{"id":303,"type":"book","title":"Mora,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[CrossRef]"},"label":"page"},{"id":304,"uris":["http://zotero.org/users/8237658/items/4IXQCSF4"],"itemData":{"id":304,"type":"book","title":"Yuan, X.L.; Li, Y.; Pan, X.H.; Zhou, M.; Gao, Q.Y. Production of recombinant human interleukin-38 and its inhibitory effect on the expression of proinflammatory cytokines in THP-1 cells. Mol. Boil. 2016, 50, 405–411. [CrossRef]"},"label":"page"}],"schema":"https://github.com/citation-style-language/schema/raw/master/csl-citation.json"} </w:instrText>
      </w:r>
      <w:r w:rsidR="00012FC3" w:rsidRPr="002B136D">
        <w:rPr>
          <w:rFonts w:cs="Times New Roman"/>
          <w:szCs w:val="28"/>
          <w:lang w:val="kk-KZ"/>
        </w:rPr>
        <w:fldChar w:fldCharType="separate"/>
      </w:r>
      <w:r w:rsidR="00A6759A" w:rsidRPr="002B136D">
        <w:rPr>
          <w:rFonts w:cs="Times New Roman"/>
        </w:rPr>
        <w:t>[14,15]</w:t>
      </w:r>
      <w:r w:rsidR="00012FC3" w:rsidRPr="002B136D">
        <w:rPr>
          <w:rFonts w:cs="Times New Roman"/>
          <w:szCs w:val="28"/>
        </w:rPr>
        <w:fldChar w:fldCharType="end"/>
      </w:r>
      <w:r w:rsidR="00C126D1" w:rsidRPr="002B136D">
        <w:rPr>
          <w:rFonts w:cs="Times New Roman"/>
          <w:szCs w:val="28"/>
        </w:rPr>
        <w:t>.</w:t>
      </w:r>
      <w:r w:rsidR="00012FC3" w:rsidRPr="002B136D">
        <w:rPr>
          <w:rFonts w:cs="Times New Roman"/>
          <w:szCs w:val="28"/>
          <w:lang w:val="kk-KZ"/>
        </w:rPr>
        <w:t xml:space="preserve"> </w:t>
      </w:r>
    </w:p>
    <w:p w14:paraId="48B0E2AC" w14:textId="0F18C636" w:rsidR="00012FC3" w:rsidRPr="002B136D" w:rsidRDefault="00012FC3" w:rsidP="002B136D">
      <w:pPr>
        <w:tabs>
          <w:tab w:val="left" w:pos="851"/>
        </w:tabs>
        <w:spacing w:after="0" w:line="240" w:lineRule="auto"/>
        <w:ind w:firstLine="567"/>
        <w:contextualSpacing/>
        <w:jc w:val="both"/>
        <w:rPr>
          <w:rFonts w:cs="Times New Roman"/>
          <w:szCs w:val="28"/>
          <w:lang w:val="kk-KZ"/>
        </w:rPr>
      </w:pPr>
      <w:r w:rsidRPr="002B136D">
        <w:rPr>
          <w:rFonts w:cs="Times New Roman"/>
          <w:szCs w:val="28"/>
          <w:lang w:val="kk-KZ"/>
        </w:rPr>
        <w:t>Действие ИЛ-38 аналогично действию ИЛ-37, который имеет две формы: длинную и короткую (расщепленную). На сегодняшний день не был обнаружен фермент, расщепляющий этот цитокин. Расщепленный IL-38 ослабляет активацию сигналов JNK и белка-активатора (AP)-1, а также NF-κB, что приводит к снижению продукции IL-6 макрофагами при стимуляции IL-1β и уменьшению дифференцировки лимфоцитов (Th1 и T-reg) в лимфоциты Th17</w:t>
      </w:r>
      <w:r w:rsidR="00801948" w:rsidRPr="002B136D">
        <w:rPr>
          <w:rFonts w:cs="Times New Roman"/>
          <w:szCs w:val="28"/>
          <w:lang w:val="kk-KZ"/>
        </w:rPr>
        <w:t xml:space="preserve"> </w:t>
      </w:r>
      <w:r w:rsidR="00801948" w:rsidRPr="002B136D">
        <w:rPr>
          <w:rFonts w:cs="Times New Roman"/>
          <w:szCs w:val="28"/>
        </w:rPr>
        <w:fldChar w:fldCharType="begin"/>
      </w:r>
      <w:r w:rsidR="00A6759A" w:rsidRPr="002B136D">
        <w:rPr>
          <w:rFonts w:cs="Times New Roman"/>
          <w:szCs w:val="28"/>
        </w:rPr>
        <w:instrText xml:space="preserve"> ADDIN ZOTERO_ITEM CSL_CITATION {"citationID":"EqCj9iYo","properties":{"formattedCitation":"[14]","plainCitation":"[14]","noteIndex":0},"citationItems":[{"id":303,"uris":["http://zotero.org/users/8237658/items/7HS468CZ"],"itemData":{"id":303,"type":"book","title":"Mora,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[CrossRef]"}}],"schema":"https://github.com/citation-style-language/schema/raw/master/csl-citation.json"} </w:instrText>
      </w:r>
      <w:r w:rsidR="00801948" w:rsidRPr="002B136D">
        <w:rPr>
          <w:rFonts w:cs="Times New Roman"/>
          <w:szCs w:val="28"/>
        </w:rPr>
        <w:fldChar w:fldCharType="separate"/>
      </w:r>
      <w:r w:rsidR="00A6759A" w:rsidRPr="002B136D">
        <w:rPr>
          <w:rFonts w:cs="Times New Roman"/>
        </w:rPr>
        <w:t>[14</w:t>
      </w:r>
      <w:r w:rsidR="002932C4">
        <w:rPr>
          <w:rFonts w:cs="Times New Roman"/>
        </w:rPr>
        <w:t>,р. 426</w:t>
      </w:r>
      <w:r w:rsidR="00A6759A" w:rsidRPr="002B136D">
        <w:rPr>
          <w:rFonts w:cs="Times New Roman"/>
        </w:rPr>
        <w:t>]</w:t>
      </w:r>
      <w:r w:rsidR="00801948" w:rsidRPr="002B136D">
        <w:rPr>
          <w:rFonts w:cs="Times New Roman"/>
          <w:szCs w:val="28"/>
          <w:lang w:val="kk-KZ"/>
        </w:rPr>
        <w:fldChar w:fldCharType="end"/>
      </w:r>
      <w:proofErr w:type="gramStart"/>
      <w:r w:rsidR="00801948" w:rsidRPr="002B136D">
        <w:rPr>
          <w:rFonts w:cs="Times New Roman"/>
          <w:szCs w:val="28"/>
        </w:rPr>
        <w:t>.</w:t>
      </w:r>
      <w:r w:rsidRPr="002B136D">
        <w:rPr>
          <w:rFonts w:cs="Times New Roman"/>
          <w:szCs w:val="28"/>
          <w:lang w:val="kk-KZ"/>
        </w:rPr>
        <w:t xml:space="preserve"> Конкретная роль ИЛ-38 еще изучается, и результаты на текущий момент остаются недоказанными. </w:t>
      </w:r>
      <w:proofErr w:type="gramEnd"/>
    </w:p>
    <w:p w14:paraId="7FDF8C01" w14:textId="121D5B65" w:rsidR="00295BAD" w:rsidRPr="002B136D" w:rsidRDefault="00E43AD7" w:rsidP="002B136D">
      <w:pPr>
        <w:tabs>
          <w:tab w:val="left" w:pos="851"/>
        </w:tabs>
        <w:spacing w:after="0" w:line="240" w:lineRule="auto"/>
        <w:ind w:firstLine="567"/>
        <w:contextualSpacing/>
        <w:jc w:val="both"/>
        <w:rPr>
          <w:rFonts w:cs="Times New Roman"/>
          <w:szCs w:val="28"/>
          <w:lang w:val="kk-KZ"/>
        </w:rPr>
      </w:pPr>
      <w:r w:rsidRPr="002B136D">
        <w:rPr>
          <w:rFonts w:cs="Times New Roman"/>
          <w:szCs w:val="28"/>
          <w:lang w:val="kk-KZ"/>
        </w:rPr>
        <w:t xml:space="preserve">Как показали исследования Van de Veerdonk, F.L. и соавт., эффект ИЛ-38, подобно ИЛ-37, дозозависим: низкие дозы (1-10 нг/мл) ингибируют интерлейкины, а высокие стимулируют продукцию ИЛ-17 </w:t>
      </w:r>
      <w:r w:rsidR="00295BAD" w:rsidRPr="002B136D">
        <w:rPr>
          <w:rFonts w:cs="Times New Roman"/>
          <w:szCs w:val="28"/>
        </w:rPr>
        <w:fldChar w:fldCharType="begin"/>
      </w:r>
      <w:r w:rsidR="00A6759A" w:rsidRPr="002B136D">
        <w:rPr>
          <w:rFonts w:cs="Times New Roman"/>
          <w:szCs w:val="28"/>
        </w:rPr>
        <w:instrText xml:space="preserve"> ADDIN ZOTERO_ITEM CSL_CITATION {"citationID":"lxkXFhwS","properties":{"formattedCitation":"[16]","plainCitation":"[16]","noteIndex":0},"citationItems":[{"id":305,"uris":["http://zotero.org/users/8237658/items/P96J9UIY"],"itemData":{"id":305,"type":"book","title":"Van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[CrossRef]"}}],"schema":"https://github.com/citation-style-language/schema/raw/master/csl-citation.json"} </w:instrText>
      </w:r>
      <w:r w:rsidR="00295BAD" w:rsidRPr="002B136D">
        <w:rPr>
          <w:rFonts w:cs="Times New Roman"/>
          <w:szCs w:val="28"/>
        </w:rPr>
        <w:fldChar w:fldCharType="separate"/>
      </w:r>
      <w:r w:rsidR="00A6759A" w:rsidRPr="002B136D">
        <w:rPr>
          <w:rFonts w:cs="Times New Roman"/>
        </w:rPr>
        <w:t>[16]</w:t>
      </w:r>
      <w:r w:rsidR="00295BAD" w:rsidRPr="002B136D">
        <w:rPr>
          <w:rFonts w:cs="Times New Roman"/>
          <w:szCs w:val="28"/>
          <w:lang w:val="kk-KZ"/>
        </w:rPr>
        <w:fldChar w:fldCharType="end"/>
      </w:r>
      <w:r w:rsidR="00295BAD" w:rsidRPr="002B136D">
        <w:rPr>
          <w:rFonts w:cs="Times New Roman"/>
          <w:szCs w:val="28"/>
        </w:rPr>
        <w:t>.</w:t>
      </w:r>
      <w:r w:rsidR="00295BAD" w:rsidRPr="002B136D">
        <w:rPr>
          <w:rFonts w:cs="Times New Roman"/>
          <w:szCs w:val="28"/>
          <w:lang w:val="kk-KZ"/>
        </w:rPr>
        <w:t xml:space="preserve"> Экспериментальные исследования показывают, что при высоких дозах и определенных условиях, способствующих увеличению ИЛ-17 и ИЛ-22 у здоровых людей, ИЛ-38 обладает противовоспалительным действием на иммунные клетки</w:t>
      </w:r>
      <w:r w:rsidR="002A0BDD" w:rsidRPr="002B136D">
        <w:rPr>
          <w:rFonts w:cs="Times New Roman"/>
          <w:szCs w:val="28"/>
          <w:lang w:val="kk-KZ"/>
        </w:rPr>
        <w:t xml:space="preserve"> </w:t>
      </w:r>
      <w:r w:rsidR="002A0BDD"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{"citationID":"o4trxC31","properties":{"formattedCitation":"[17]","plainCitation":"[17]","noteIndex":0},"citationItems":[{"id":374,"uris":["http://zotero.org/users/8237658/items/CNH697CP"],"itemData":{"id":374,"type":"book","title":"Boutet MA, Najm A, Bart G, Brion R, Touchais S, Trichet V, Layrolle P, Gabay C, Palmer G, Blanchard F, Le Goff B. IL-38 overexpression induces anti-inflammatory effects in mice arthritis models and in human macrophages in vitro. Ann Rheum Dis. 2017 Jul;76(7):1304-1312. doi: 10.1136/annrheumdis-2016-210630. Epub 2017 Mar 13. PMID: 28288964."}}],"schema":"https://github.com/citation-style-language/schema/raw/master/csl-citation.json"} </w:instrText>
      </w:r>
      <w:r w:rsidR="002A0BDD" w:rsidRPr="002B136D">
        <w:rPr>
          <w:rFonts w:cs="Times New Roman"/>
          <w:szCs w:val="28"/>
          <w:lang w:val="kk-KZ"/>
        </w:rPr>
        <w:fldChar w:fldCharType="separate"/>
      </w:r>
      <w:r w:rsidR="00A6759A" w:rsidRPr="002B136D">
        <w:rPr>
          <w:rFonts w:cs="Times New Roman"/>
        </w:rPr>
        <w:t>[17]</w:t>
      </w:r>
      <w:r w:rsidR="002A0BDD" w:rsidRPr="002B136D">
        <w:rPr>
          <w:rFonts w:cs="Times New Roman"/>
          <w:szCs w:val="28"/>
          <w:lang w:val="kk-KZ"/>
        </w:rPr>
        <w:fldChar w:fldCharType="end"/>
      </w:r>
      <w:r w:rsidR="00295BAD" w:rsidRPr="002B136D">
        <w:rPr>
          <w:rFonts w:cs="Times New Roman"/>
          <w:szCs w:val="28"/>
          <w:lang w:val="kk-KZ"/>
        </w:rPr>
        <w:t>.</w:t>
      </w:r>
      <w:r w:rsidR="002A0BDD" w:rsidRPr="002B136D">
        <w:rPr>
          <w:rFonts w:cs="Times New Roman"/>
          <w:szCs w:val="28"/>
          <w:lang w:val="kk-KZ"/>
        </w:rPr>
        <w:t xml:space="preserve"> </w:t>
      </w:r>
      <w:r w:rsidR="00295BAD" w:rsidRPr="002B136D">
        <w:rPr>
          <w:rFonts w:cs="Times New Roman"/>
          <w:szCs w:val="28"/>
          <w:lang w:val="kk-KZ"/>
        </w:rPr>
        <w:t>Однако в настоящее время недостаточно количественных д</w:t>
      </w:r>
      <w:r w:rsidR="00686AE6" w:rsidRPr="002B136D">
        <w:rPr>
          <w:rFonts w:cs="Times New Roman"/>
          <w:szCs w:val="28"/>
          <w:lang w:val="kk-KZ"/>
        </w:rPr>
        <w:t>анных об этих цитокинах при ЭОП</w:t>
      </w:r>
      <w:r w:rsidR="00295BAD" w:rsidRPr="002B136D">
        <w:rPr>
          <w:rFonts w:cs="Times New Roman"/>
          <w:szCs w:val="28"/>
          <w:lang w:val="kk-KZ"/>
        </w:rPr>
        <w:t>.</w:t>
      </w:r>
    </w:p>
    <w:p w14:paraId="661D3A72" w14:textId="6AF22A3B" w:rsidR="000E53B2" w:rsidRPr="002B136D" w:rsidRDefault="000E53B2" w:rsidP="002B136D">
      <w:pPr>
        <w:tabs>
          <w:tab w:val="left" w:pos="851"/>
        </w:tabs>
        <w:spacing w:after="0" w:line="240" w:lineRule="auto"/>
        <w:ind w:firstLine="567"/>
        <w:contextualSpacing/>
        <w:jc w:val="both"/>
        <w:rPr>
          <w:rFonts w:cs="Times New Roman"/>
          <w:szCs w:val="28"/>
        </w:rPr>
      </w:pPr>
      <w:r w:rsidRPr="002B136D">
        <w:rPr>
          <w:rFonts w:cs="Times New Roman"/>
          <w:szCs w:val="28"/>
          <w:lang w:val="kk-KZ"/>
        </w:rPr>
        <w:t>В современной медицине х</w:t>
      </w:r>
      <w:r w:rsidR="00133150" w:rsidRPr="002B136D">
        <w:rPr>
          <w:rFonts w:cs="Times New Roman"/>
          <w:szCs w:val="28"/>
          <w:lang w:val="kk-KZ"/>
        </w:rPr>
        <w:t xml:space="preserve">орошо изучается точечные мутации </w:t>
      </w:r>
      <w:r w:rsidRPr="002B136D">
        <w:rPr>
          <w:rFonts w:cs="Times New Roman"/>
          <w:szCs w:val="28"/>
          <w:lang w:val="kk-KZ"/>
        </w:rPr>
        <w:t>в генах кодирующих основных белков, для выявления маркеров и прогноза течения тяжелых форм разли</w:t>
      </w:r>
      <w:r w:rsidR="00CE59A9" w:rsidRPr="002B136D">
        <w:rPr>
          <w:rFonts w:cs="Times New Roman"/>
          <w:szCs w:val="28"/>
          <w:lang w:val="kk-KZ"/>
        </w:rPr>
        <w:t xml:space="preserve">чных патологических процессов. </w:t>
      </w:r>
      <w:proofErr w:type="gramStart"/>
      <w:r w:rsidRPr="002B136D">
        <w:rPr>
          <w:rFonts w:cs="Times New Roman"/>
          <w:szCs w:val="28"/>
        </w:rPr>
        <w:t xml:space="preserve">По данным </w:t>
      </w:r>
      <w:r w:rsidR="00FC1A05" w:rsidRPr="002B136D">
        <w:rPr>
          <w:rFonts w:cs="Times New Roman"/>
          <w:szCs w:val="28"/>
        </w:rPr>
        <w:t xml:space="preserve">GWAS, </w:t>
      </w:r>
      <w:r w:rsidRPr="002B136D">
        <w:rPr>
          <w:rFonts w:cs="Times New Roman"/>
          <w:szCs w:val="28"/>
        </w:rPr>
        <w:t>полиморфизм в генах ИЛ-17 и ИЛ-3</w:t>
      </w:r>
      <w:r w:rsidR="00D7006C">
        <w:rPr>
          <w:rFonts w:cs="Times New Roman"/>
          <w:szCs w:val="28"/>
        </w:rPr>
        <w:t xml:space="preserve">8 фенотипический проявляют </w:t>
      </w:r>
      <w:r w:rsidRPr="002B136D">
        <w:rPr>
          <w:rFonts w:cs="Times New Roman"/>
          <w:szCs w:val="28"/>
        </w:rPr>
        <w:t>ассоциаций с клиникой различных заболевании</w:t>
      </w:r>
      <w:proofErr w:type="gramEnd"/>
      <w:r w:rsidRPr="002B136D">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{"citationID":"eZr4pFpk","properties":{"formattedCitation":"[18\\uc0\\u8211{}24]","plainCitation":"[18–24]","noteIndex":0},"citationItems":[{"id":449,"uris":["http://zotero.org/users/8237658/items/T58N4C4F"],"itemData":{"id":449,"type":"book","title":"Cai T, Wang G, Yang Y, Mu K, Zhang J, Jiang Y, Zhang JA. Association Between Polymorphisms of IL-23/IL-17 Pathway and Clinical Phenotypes of Autoimmune Thyroid Diseases. Iran J Immunol. 2022 Jun;19(2):139-149. doi: 10.22034/iji.2022.93744.2255. PMID: 35767887."},"label":"page"},{"id":309,"uris":["http://zotero.org/users/8237658/items/J5MZJVXG"],"itemData":{"id":309,"type":"book","title":"Monnet, D.; Kadi, A.; Izac, B.; Lebrun, N.; Letourneur, F.; Zinovieva, E.; Said-Nahal, R.; Chiocchia, G.; Breban, M. Association between the IL-1 family gene cluster and spondyloarthritis. Ann. Rheum. Dis. 2012, 71, 885–890. [CrossRef]"},"label":"page"},{"id":310,"uris":["http://zotero.org/users/8237658/items/AW8K3G8V"],"itemData":{"id":310,"type":"book","title":"Rahman, P.; Sun, S.; Peddle, L.; Snelgrove, T.; Melay, W.; Greenwood, C.; Gladman, D. Association between the interleukin-1 family gene cluster and psoriatic arthritis. Arthritis Rheum. 2006, 54, 2321–2325. [CrossRef]"},"label":"page"},{"id":367,"uris":["http://zotero.org/users/8237658/items/RX87SC2V"],"itemData":{"id":367,"type":"book","title":"Sims AM, Timms AE, Bruges-Armas J, Burgos-Vargas R, Chou CT, Doan T, Dowling A, Fialho RN, Gergely P, Gladman DD, Inman R, Kauppi M, Kaarela K, Laiho K, Maksymowych W, Pointon JJ, Rahman P, Reveille JD, Sorrentino R, Tuomilehto J, Vargas-Alarcon G, Wordsworth BP, Xu H, Brown MA; International Genetics of Ankylosing Spondylitis. Prospective meta-analysis of interleukin 1 gene complex polymorphisms confirms associations with ankylosing spondylitis. Ann Rheum Dis. 2008 Sep;67(9):1305-9. doi: 10.1136/ard.2007.081364. Epub 2007 Dec 6. PMID: 18063673."},"label":"page"},{"id":444,"uris":["http://zotero.org/users/8237658/items/RH8I8XZC"],"itemData":{"id":444,"type":"book","title":"Xu H, Pan Y, Li W, Fu H, Zhang J, Shen H, Han X. Association between IL17A and IL17F polymorphisms and risk of Henoch-Schonlein purpura in Chinese children. Rheumatol Int. 2016 Jun;36(6):829-35. doi: 10.1007/s00296-016-3465-8. Epub 2016 Mar 28. PMID: 27021337."},"label":"page"},{"id":366,"uris":["http://zotero.org/users/8237658/items/8G4ZCEV7"],"itemData":{"id":366,"type":"book","title":"Yamamoto-Furusho JK, Santiago-Hernández JJ, Pérez-Hernández N, Ramírez-Fuentes S, Fragoso JM, Vargas-Alarcón G. Interleukin 1 β (IL-1B) and IL-1 antagonist receptor (IL-1RN) gene polymorphisms are associated with the genetic susceptibility and steroid dependence in patients with ulcerative colitis. J Clin Gastroenterol. 2011 Jul;45(6):531-5. doi: 10.1097/MCG.0b013e3181faec51. PMID: 20975573."},"label":"page"},{"id":296,"uris":["http://zotero.org/users/8237658/items/3F4GAFWG"],"itemData":{"id":296,"type":"book","title":"Gao, Y.; Tang, J.; Chen, W.; Li, Q.; Nie, J.; Lin, F.; Tsun, A. Inflammation negatively regulates FOXP3 and regulatory T-cell function via DBC1. Proc. Natl. Acad. Sci. USA 2015, 112, E3246–E3254. [CrossRef] [PubMed]"},"label":"page"}],"schema":"https://github.com/citation-style-language/schema/raw/master/csl-citation.json"} </w:instrText>
      </w:r>
      <w:r w:rsidRPr="002B136D">
        <w:rPr>
          <w:rFonts w:cs="Times New Roman"/>
          <w:szCs w:val="28"/>
        </w:rPr>
        <w:fldChar w:fldCharType="separate"/>
      </w:r>
      <w:r w:rsidR="00B0686C">
        <w:rPr>
          <w:rFonts w:cs="Times New Roman"/>
          <w:szCs w:val="24"/>
        </w:rPr>
        <w:t>[18-</w:t>
      </w:r>
      <w:r w:rsidR="00A6759A" w:rsidRPr="002B136D">
        <w:rPr>
          <w:rFonts w:cs="Times New Roman"/>
          <w:szCs w:val="24"/>
        </w:rPr>
        <w:t>24]</w:t>
      </w:r>
      <w:r w:rsidRPr="002B136D">
        <w:rPr>
          <w:rFonts w:cs="Times New Roman"/>
          <w:szCs w:val="28"/>
        </w:rPr>
        <w:fldChar w:fldCharType="end"/>
      </w:r>
      <w:r w:rsidR="009E612B" w:rsidRPr="002B136D">
        <w:rPr>
          <w:rFonts w:cs="Times New Roman"/>
          <w:szCs w:val="28"/>
        </w:rPr>
        <w:t>.</w:t>
      </w:r>
      <w:r w:rsidRPr="002B136D">
        <w:rPr>
          <w:rFonts w:cs="Times New Roman"/>
          <w:szCs w:val="28"/>
        </w:rPr>
        <w:t xml:space="preserve"> Одн</w:t>
      </w:r>
      <w:r w:rsidR="00133150" w:rsidRPr="002B136D">
        <w:rPr>
          <w:rFonts w:cs="Times New Roman"/>
          <w:szCs w:val="28"/>
        </w:rPr>
        <w:t xml:space="preserve">ако </w:t>
      </w:r>
      <w:r w:rsidR="00FC1A05" w:rsidRPr="002B136D">
        <w:rPr>
          <w:rFonts w:cs="Times New Roman"/>
          <w:szCs w:val="28"/>
        </w:rPr>
        <w:t>исследований при ЭОП</w:t>
      </w:r>
      <w:r w:rsidR="00133150" w:rsidRPr="002B136D">
        <w:rPr>
          <w:rFonts w:cs="Times New Roman"/>
          <w:szCs w:val="28"/>
        </w:rPr>
        <w:t>,</w:t>
      </w:r>
      <w:r w:rsidR="00FC1A05" w:rsidRPr="002B136D">
        <w:rPr>
          <w:rFonts w:cs="Times New Roman"/>
          <w:szCs w:val="28"/>
        </w:rPr>
        <w:t xml:space="preserve"> </w:t>
      </w:r>
      <w:r w:rsidR="00133150" w:rsidRPr="002B136D">
        <w:rPr>
          <w:rFonts w:cs="Times New Roman"/>
          <w:szCs w:val="28"/>
        </w:rPr>
        <w:t>связанных</w:t>
      </w:r>
      <w:r w:rsidRPr="002B136D">
        <w:rPr>
          <w:rFonts w:cs="Times New Roman"/>
          <w:szCs w:val="28"/>
        </w:rPr>
        <w:t xml:space="preserve"> с полиморфизмом в генетических структурах этих белков очень мало (ИЛ-17), и даже отсутству</w:t>
      </w:r>
      <w:r w:rsidR="00CE59A9" w:rsidRPr="002B136D">
        <w:rPr>
          <w:rFonts w:cs="Times New Roman"/>
          <w:szCs w:val="28"/>
        </w:rPr>
        <w:t xml:space="preserve">ют </w:t>
      </w:r>
      <w:r w:rsidR="00133150" w:rsidRPr="002B136D">
        <w:rPr>
          <w:rFonts w:cs="Times New Roman"/>
          <w:szCs w:val="28"/>
        </w:rPr>
        <w:t xml:space="preserve">в </w:t>
      </w:r>
      <w:r w:rsidR="00CE59A9" w:rsidRPr="002B136D">
        <w:rPr>
          <w:rFonts w:cs="Times New Roman"/>
          <w:szCs w:val="28"/>
        </w:rPr>
        <w:t xml:space="preserve">мировой литературе (ИЛ-38). </w:t>
      </w:r>
      <w:r w:rsidRPr="002B136D">
        <w:rPr>
          <w:rFonts w:cs="Times New Roman"/>
          <w:szCs w:val="28"/>
        </w:rPr>
        <w:t>Следовательно, исследование уровней цитокинов ИЛ-38 и ИЛ-17 в различных биологических жидкостях и тканях при орбитопатии</w:t>
      </w:r>
      <w:r w:rsidR="0006456B" w:rsidRPr="002B136D">
        <w:rPr>
          <w:rFonts w:cs="Times New Roman"/>
          <w:szCs w:val="28"/>
        </w:rPr>
        <w:t>, а также их связь с клиническими проявлениями</w:t>
      </w:r>
      <w:r w:rsidRPr="002B136D">
        <w:rPr>
          <w:rFonts w:cs="Times New Roman"/>
          <w:szCs w:val="28"/>
        </w:rPr>
        <w:t xml:space="preserve"> ЭОП, может предоставить новую информацию о </w:t>
      </w:r>
      <w:r w:rsidRPr="002B136D">
        <w:rPr>
          <w:rFonts w:cs="Times New Roman"/>
          <w:szCs w:val="28"/>
        </w:rPr>
        <w:lastRenderedPageBreak/>
        <w:t>механизмах заболевания и открыть пути для новых терапевтических подходов. Наконец, изучение ассоциаций генетических полиморфизмов с ЭОП может способствовать выявлению генетических маркеров риска развития тяжелых форм заболевания, что важно для ранней диагностики и индивидуализации подходов к лечению.</w:t>
      </w:r>
    </w:p>
    <w:p w14:paraId="0A580CA5" w14:textId="77777777" w:rsidR="000E53B2" w:rsidRPr="002B136D" w:rsidRDefault="000E53B2" w:rsidP="002B136D">
      <w:pPr>
        <w:tabs>
          <w:tab w:val="left" w:pos="851"/>
        </w:tabs>
        <w:spacing w:after="0" w:line="240" w:lineRule="auto"/>
        <w:ind w:firstLine="567"/>
        <w:contextualSpacing/>
        <w:jc w:val="both"/>
        <w:rPr>
          <w:rFonts w:cs="Times New Roman"/>
          <w:szCs w:val="28"/>
        </w:rPr>
      </w:pPr>
      <w:r w:rsidRPr="002B136D">
        <w:rPr>
          <w:rFonts w:cs="Times New Roman"/>
          <w:szCs w:val="28"/>
        </w:rPr>
        <w:t>В совокупности вышесказанного нами была сформулирована цель и задачи исследования, которые подчеркивают актуальность и необходимость данного исследования для улучшения понимания иммуногенетической регуляции ЭОП.</w:t>
      </w:r>
    </w:p>
    <w:p w14:paraId="6EAE816A" w14:textId="7155E7AB" w:rsidR="0063443B" w:rsidRPr="002932C4" w:rsidRDefault="0063443B" w:rsidP="002B136D">
      <w:pPr>
        <w:tabs>
          <w:tab w:val="left" w:pos="851"/>
        </w:tabs>
        <w:spacing w:after="0" w:line="240" w:lineRule="auto"/>
        <w:ind w:firstLine="567"/>
        <w:contextualSpacing/>
        <w:jc w:val="both"/>
        <w:rPr>
          <w:rFonts w:cs="Times New Roman"/>
          <w:b/>
          <w:szCs w:val="28"/>
        </w:rPr>
      </w:pPr>
      <w:r w:rsidRPr="002B136D">
        <w:rPr>
          <w:rFonts w:cs="Times New Roman"/>
          <w:b/>
          <w:szCs w:val="28"/>
        </w:rPr>
        <w:t xml:space="preserve">Цель исследования: </w:t>
      </w:r>
      <w:r w:rsidR="004F429A">
        <w:rPr>
          <w:rFonts w:cs="Times New Roman"/>
          <w:szCs w:val="28"/>
          <w:lang w:val="kk-KZ"/>
        </w:rPr>
        <w:t>у</w:t>
      </w:r>
      <w:r w:rsidRPr="002B136D">
        <w:rPr>
          <w:rFonts w:cs="Times New Roman"/>
          <w:szCs w:val="28"/>
        </w:rPr>
        <w:t>становить иммунологические и генетические особенности эндокринной офтальмопатии и разработать прогностическую модель</w:t>
      </w:r>
      <w:r w:rsidR="00B71E0F" w:rsidRPr="002B136D">
        <w:rPr>
          <w:rFonts w:cs="Times New Roman"/>
          <w:szCs w:val="28"/>
        </w:rPr>
        <w:t xml:space="preserve"> </w:t>
      </w:r>
      <w:r w:rsidRPr="002B136D">
        <w:rPr>
          <w:rFonts w:cs="Times New Roman"/>
          <w:szCs w:val="28"/>
        </w:rPr>
        <w:t xml:space="preserve">клинического течения. </w:t>
      </w:r>
      <w:r w:rsidRPr="002B136D">
        <w:rPr>
          <w:rFonts w:cs="Times New Roman"/>
          <w:szCs w:val="28"/>
        </w:rPr>
        <w:br/>
      </w:r>
      <w:r w:rsidR="002B136D" w:rsidRPr="002B136D">
        <w:rPr>
          <w:rFonts w:cs="Times New Roman"/>
          <w:b/>
          <w:szCs w:val="28"/>
        </w:rPr>
        <w:t xml:space="preserve">        </w:t>
      </w:r>
      <w:r w:rsidRPr="002B136D">
        <w:rPr>
          <w:rFonts w:cs="Times New Roman"/>
          <w:b/>
          <w:szCs w:val="28"/>
        </w:rPr>
        <w:t>Задачи исследования</w:t>
      </w:r>
    </w:p>
    <w:p w14:paraId="37A7BD3D"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1. Изучить клинические проявления эндокринной офтальмопатии с учетом половозрастных особенностей, стадии активности и тяжести заболевания.</w:t>
      </w:r>
    </w:p>
    <w:p w14:paraId="39139F0F" w14:textId="30322D05"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 xml:space="preserve">2. </w:t>
      </w:r>
      <w:r w:rsidR="00311A7F" w:rsidRPr="002B136D">
        <w:rPr>
          <w:rFonts w:cs="Times New Roman"/>
          <w:szCs w:val="28"/>
        </w:rPr>
        <w:t>Определить уровни IL-17 и IL-38 в биологических средах и тканях (сыворотка, слеза, клетчатка) в зависимости от активности и тяжести эндокринной офтальмопатии.</w:t>
      </w:r>
    </w:p>
    <w:p w14:paraId="40C9CA61" w14:textId="67F4ACC0" w:rsidR="0063443B" w:rsidRPr="002B136D" w:rsidRDefault="00311A7F" w:rsidP="002B136D">
      <w:pPr>
        <w:tabs>
          <w:tab w:val="left" w:pos="851"/>
        </w:tabs>
        <w:spacing w:after="0" w:line="240" w:lineRule="auto"/>
        <w:ind w:firstLine="567"/>
        <w:contextualSpacing/>
        <w:jc w:val="both"/>
        <w:rPr>
          <w:rFonts w:cs="Times New Roman"/>
          <w:szCs w:val="28"/>
        </w:rPr>
      </w:pPr>
      <w:r w:rsidRPr="002B136D">
        <w:rPr>
          <w:rFonts w:cs="Times New Roman"/>
          <w:szCs w:val="28"/>
        </w:rPr>
        <w:t xml:space="preserve">3. Обосновать роль </w:t>
      </w:r>
      <w:r w:rsidR="0063443B" w:rsidRPr="002B136D">
        <w:rPr>
          <w:rFonts w:cs="Times New Roman"/>
          <w:szCs w:val="28"/>
        </w:rPr>
        <w:t>IL-17 и IL-38 в патогенезе эндокринной офтальмопатии посредством иммуногистохимического анализа их экспрессии в жировой ткани орбиты.</w:t>
      </w:r>
    </w:p>
    <w:p w14:paraId="1865D377"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4. Изучить влияние генетических полиморфизмов, кодирующих IL-17 и IL-38 и установить их ассоциацию с активностью и тяжестью эндокринной офтальмопатии.</w:t>
      </w:r>
    </w:p>
    <w:p w14:paraId="1014398D" w14:textId="6B23B5AD" w:rsidR="00311A7F" w:rsidRPr="002B136D" w:rsidRDefault="0063443B" w:rsidP="002B136D">
      <w:pPr>
        <w:tabs>
          <w:tab w:val="left" w:pos="851"/>
        </w:tabs>
        <w:spacing w:after="0" w:line="240" w:lineRule="auto"/>
        <w:ind w:firstLine="567"/>
        <w:contextualSpacing/>
        <w:jc w:val="both"/>
        <w:rPr>
          <w:rFonts w:cs="Times New Roman"/>
          <w:szCs w:val="28"/>
          <w:lang w:val="kk-KZ"/>
        </w:rPr>
      </w:pPr>
      <w:proofErr w:type="gramStart"/>
      <w:r w:rsidRPr="002B136D">
        <w:rPr>
          <w:rFonts w:cs="Times New Roman"/>
          <w:szCs w:val="28"/>
        </w:rPr>
        <w:t>5.</w:t>
      </w:r>
      <w:r w:rsidR="00311A7F" w:rsidRPr="002B136D">
        <w:rPr>
          <w:rFonts w:cs="Times New Roman"/>
          <w:szCs w:val="28"/>
        </w:rPr>
        <w:t xml:space="preserve">Разработать прогностические модели клинического течения </w:t>
      </w:r>
      <w:r w:rsidR="00311A7F" w:rsidRPr="002B136D">
        <w:rPr>
          <w:rFonts w:cs="Times New Roman"/>
          <w:szCs w:val="28"/>
        </w:rPr>
        <w:br/>
        <w:t>эндокринной офтальмопатии на основе генетических и иммунологических ее особенностей.</w:t>
      </w:r>
      <w:proofErr w:type="gramEnd"/>
    </w:p>
    <w:p w14:paraId="42F77896" w14:textId="3E60511A" w:rsidR="0063443B" w:rsidRPr="002B136D" w:rsidRDefault="0063443B" w:rsidP="002B136D">
      <w:pPr>
        <w:tabs>
          <w:tab w:val="left" w:pos="851"/>
        </w:tabs>
        <w:spacing w:after="0" w:line="240" w:lineRule="auto"/>
        <w:ind w:firstLine="567"/>
        <w:contextualSpacing/>
        <w:jc w:val="both"/>
        <w:rPr>
          <w:rFonts w:cs="Times New Roman"/>
          <w:b/>
          <w:szCs w:val="28"/>
        </w:rPr>
      </w:pPr>
      <w:r w:rsidRPr="002B136D">
        <w:rPr>
          <w:rFonts w:cs="Times New Roman"/>
          <w:b/>
          <w:szCs w:val="28"/>
        </w:rPr>
        <w:t>Научная новизна</w:t>
      </w:r>
    </w:p>
    <w:p w14:paraId="02D6C6E1" w14:textId="6FD97AAD" w:rsidR="0063443B" w:rsidRPr="002B136D" w:rsidRDefault="001256A4" w:rsidP="002B136D">
      <w:pPr>
        <w:tabs>
          <w:tab w:val="left" w:pos="851"/>
        </w:tabs>
        <w:spacing w:after="0" w:line="240" w:lineRule="auto"/>
        <w:ind w:firstLine="567"/>
        <w:contextualSpacing/>
        <w:jc w:val="both"/>
        <w:rPr>
          <w:rFonts w:cs="Times New Roman"/>
          <w:szCs w:val="28"/>
        </w:rPr>
      </w:pPr>
      <w:r w:rsidRPr="002B136D">
        <w:rPr>
          <w:rFonts w:cs="Times New Roman"/>
          <w:szCs w:val="28"/>
        </w:rPr>
        <w:t>1</w:t>
      </w:r>
      <w:r w:rsidR="0063443B" w:rsidRPr="002B136D">
        <w:rPr>
          <w:rFonts w:cs="Times New Roman"/>
          <w:szCs w:val="28"/>
        </w:rPr>
        <w:t>. Выявлена взаимосвязь между IL-17 и IL-38 с активностью и тяжестью ЭОП, что подтверждает их роль в патогенезе заболевания (</w:t>
      </w:r>
      <w:proofErr w:type="gramStart"/>
      <w:r w:rsidR="0063443B" w:rsidRPr="002B136D">
        <w:rPr>
          <w:rFonts w:cs="Times New Roman"/>
          <w:szCs w:val="28"/>
        </w:rPr>
        <w:t>р</w:t>
      </w:r>
      <w:proofErr w:type="gramEnd"/>
      <w:r w:rsidR="0063443B" w:rsidRPr="002B136D">
        <w:rPr>
          <w:rFonts w:cs="Times New Roman"/>
          <w:szCs w:val="28"/>
        </w:rPr>
        <w:t xml:space="preserve">=0,01). (Свидетельство о внесении сведений в государственный реестр прав на объекты, охраняемое авторским правом № 43609 от 06.03.2024 г.). При этом IL-38 выступает как </w:t>
      </w:r>
      <w:proofErr w:type="gramStart"/>
      <w:r w:rsidR="0063443B" w:rsidRPr="002B136D">
        <w:rPr>
          <w:rFonts w:cs="Times New Roman"/>
          <w:szCs w:val="28"/>
        </w:rPr>
        <w:t>потенциальный</w:t>
      </w:r>
      <w:proofErr w:type="gramEnd"/>
      <w:r w:rsidR="0063443B" w:rsidRPr="002B136D">
        <w:rPr>
          <w:rFonts w:cs="Times New Roman"/>
          <w:szCs w:val="28"/>
        </w:rPr>
        <w:t xml:space="preserve"> биомаркер для определения активности ЭОП. </w:t>
      </w:r>
    </w:p>
    <w:p w14:paraId="75CD32E6" w14:textId="259E37AD" w:rsidR="00530A65" w:rsidRPr="002B136D" w:rsidRDefault="001256A4" w:rsidP="002B136D">
      <w:pPr>
        <w:tabs>
          <w:tab w:val="left" w:pos="851"/>
        </w:tabs>
        <w:spacing w:after="0" w:line="240" w:lineRule="auto"/>
        <w:ind w:firstLine="567"/>
        <w:contextualSpacing/>
        <w:jc w:val="both"/>
        <w:rPr>
          <w:rFonts w:cs="Times New Roman"/>
          <w:szCs w:val="28"/>
        </w:rPr>
      </w:pPr>
      <w:r w:rsidRPr="002B136D">
        <w:rPr>
          <w:rFonts w:cs="Times New Roman"/>
          <w:szCs w:val="28"/>
        </w:rPr>
        <w:t>2.</w:t>
      </w:r>
      <w:r w:rsidR="0063443B" w:rsidRPr="002B136D">
        <w:rPr>
          <w:rFonts w:cs="Times New Roman"/>
          <w:szCs w:val="28"/>
        </w:rPr>
        <w:t xml:space="preserve"> </w:t>
      </w:r>
      <w:r w:rsidR="00530A65" w:rsidRPr="002B136D">
        <w:rPr>
          <w:rFonts w:cs="Times New Roman"/>
          <w:szCs w:val="28"/>
        </w:rPr>
        <w:t>Корреляционная связь уровней IL-17 и IL-38 с аутоиммунным процессом при эндокринной офтальмопатии была обоснована иммуногистохимическим анализом (</w:t>
      </w:r>
      <w:proofErr w:type="gramStart"/>
      <w:r w:rsidR="00530A65" w:rsidRPr="002B136D">
        <w:rPr>
          <w:rFonts w:cs="Times New Roman"/>
          <w:szCs w:val="28"/>
        </w:rPr>
        <w:t>р</w:t>
      </w:r>
      <w:proofErr w:type="gramEnd"/>
      <w:r w:rsidR="00530A65" w:rsidRPr="002B136D">
        <w:rPr>
          <w:rFonts w:cs="Times New Roman"/>
          <w:szCs w:val="28"/>
        </w:rPr>
        <w:t>=0,001). (Свидетельство о внесении сведений в государственный реестр прав на объекты, охраняемое авторским правом № 43185 от 16.02.2024 г.).</w:t>
      </w:r>
    </w:p>
    <w:p w14:paraId="3944B39D" w14:textId="19A3780E" w:rsidR="008627FD" w:rsidRPr="002B136D" w:rsidRDefault="001256A4" w:rsidP="002B136D">
      <w:pPr>
        <w:tabs>
          <w:tab w:val="left" w:pos="851"/>
        </w:tabs>
        <w:spacing w:after="0" w:line="240" w:lineRule="auto"/>
        <w:ind w:firstLine="567"/>
        <w:contextualSpacing/>
        <w:jc w:val="both"/>
        <w:rPr>
          <w:rFonts w:cs="Times New Roman"/>
          <w:szCs w:val="28"/>
        </w:rPr>
      </w:pPr>
      <w:r w:rsidRPr="002B136D">
        <w:rPr>
          <w:rFonts w:cs="Times New Roman"/>
          <w:szCs w:val="28"/>
        </w:rPr>
        <w:t>3</w:t>
      </w:r>
      <w:r w:rsidR="0063443B" w:rsidRPr="002B136D">
        <w:rPr>
          <w:rFonts w:cs="Times New Roman"/>
          <w:szCs w:val="28"/>
        </w:rPr>
        <w:t xml:space="preserve">. </w:t>
      </w:r>
      <w:r w:rsidR="008627FD" w:rsidRPr="002B136D">
        <w:rPr>
          <w:rFonts w:cs="Times New Roman"/>
          <w:szCs w:val="28"/>
        </w:rPr>
        <w:t>Впервые установлены ассоциации полиморфизма rs7570267(IL-38) с активностью (</w:t>
      </w:r>
      <w:proofErr w:type="gramStart"/>
      <w:r w:rsidR="008627FD" w:rsidRPr="002B136D">
        <w:rPr>
          <w:rFonts w:cs="Times New Roman"/>
          <w:szCs w:val="28"/>
        </w:rPr>
        <w:t>р</w:t>
      </w:r>
      <w:proofErr w:type="gramEnd"/>
      <w:r w:rsidR="008627FD" w:rsidRPr="002B136D">
        <w:rPr>
          <w:rFonts w:cs="Times New Roman"/>
          <w:szCs w:val="28"/>
        </w:rPr>
        <w:t xml:space="preserve">=0,02) и тяжестью (р=0,008) аутоиммунного процесса при ЭОП. </w:t>
      </w:r>
    </w:p>
    <w:p w14:paraId="4BDC4C48" w14:textId="02E88AC8" w:rsidR="0063443B" w:rsidRPr="002B136D" w:rsidRDefault="001256A4" w:rsidP="002B136D">
      <w:pPr>
        <w:tabs>
          <w:tab w:val="left" w:pos="851"/>
        </w:tabs>
        <w:spacing w:after="0" w:line="240" w:lineRule="auto"/>
        <w:ind w:firstLine="567"/>
        <w:contextualSpacing/>
        <w:jc w:val="both"/>
        <w:rPr>
          <w:rFonts w:cs="Times New Roman"/>
          <w:szCs w:val="28"/>
        </w:rPr>
      </w:pPr>
      <w:r w:rsidRPr="002B136D">
        <w:rPr>
          <w:rFonts w:cs="Times New Roman"/>
          <w:szCs w:val="28"/>
        </w:rPr>
        <w:t>4</w:t>
      </w:r>
      <w:r w:rsidR="0063443B" w:rsidRPr="002B136D">
        <w:rPr>
          <w:rFonts w:cs="Times New Roman"/>
          <w:szCs w:val="28"/>
        </w:rPr>
        <w:t xml:space="preserve">. Впервые выявлены ассоциации полиморфизма гена </w:t>
      </w:r>
      <w:r w:rsidR="009E1281" w:rsidRPr="002B136D">
        <w:rPr>
          <w:rFonts w:cs="Times New Roman"/>
          <w:szCs w:val="28"/>
        </w:rPr>
        <w:t>rs3811058/</w:t>
      </w:r>
      <w:r w:rsidR="0063443B" w:rsidRPr="002B136D">
        <w:rPr>
          <w:rFonts w:cs="Times New Roman"/>
          <w:szCs w:val="28"/>
        </w:rPr>
        <w:t>IL-38 с развитием ЭОП (</w:t>
      </w:r>
      <w:proofErr w:type="gramStart"/>
      <w:r w:rsidR="0063443B" w:rsidRPr="002B136D">
        <w:rPr>
          <w:rFonts w:cs="Times New Roman"/>
          <w:szCs w:val="28"/>
        </w:rPr>
        <w:t>р</w:t>
      </w:r>
      <w:proofErr w:type="gramEnd"/>
      <w:r w:rsidR="0063443B" w:rsidRPr="002B136D">
        <w:rPr>
          <w:rFonts w:cs="Times New Roman"/>
          <w:szCs w:val="28"/>
        </w:rPr>
        <w:t xml:space="preserve">=0,02, OR(CI) -2.7 (1.2; 6.4)) </w:t>
      </w:r>
      <w:r w:rsidR="00BC3435" w:rsidRPr="002B136D">
        <w:rPr>
          <w:rFonts w:cs="Times New Roman"/>
          <w:szCs w:val="28"/>
        </w:rPr>
        <w:t>у пациентов европеоидной этнической группы</w:t>
      </w:r>
      <w:r w:rsidR="0063443B" w:rsidRPr="002B136D">
        <w:rPr>
          <w:rFonts w:cs="Times New Roman"/>
          <w:szCs w:val="28"/>
        </w:rPr>
        <w:t>, что подтверждает влияние генетического фактора</w:t>
      </w:r>
      <w:r w:rsidR="001204D8">
        <w:rPr>
          <w:rFonts w:cs="Times New Roman"/>
          <w:szCs w:val="28"/>
        </w:rPr>
        <w:t xml:space="preserve"> на развитие данного заболевания</w:t>
      </w:r>
      <w:r w:rsidR="0063443B" w:rsidRPr="002B136D">
        <w:rPr>
          <w:rFonts w:cs="Times New Roman"/>
          <w:szCs w:val="28"/>
        </w:rPr>
        <w:t xml:space="preserve">. </w:t>
      </w:r>
    </w:p>
    <w:p w14:paraId="5D67397A" w14:textId="17CB3D02" w:rsidR="0063443B" w:rsidRPr="002B136D" w:rsidRDefault="001256A4" w:rsidP="002B136D">
      <w:pPr>
        <w:tabs>
          <w:tab w:val="left" w:pos="851"/>
        </w:tabs>
        <w:spacing w:after="0" w:line="240" w:lineRule="auto"/>
        <w:ind w:firstLine="567"/>
        <w:contextualSpacing/>
        <w:jc w:val="both"/>
        <w:rPr>
          <w:rFonts w:cs="Times New Roman"/>
          <w:b/>
          <w:szCs w:val="28"/>
        </w:rPr>
      </w:pPr>
      <w:r w:rsidRPr="002B136D">
        <w:rPr>
          <w:rFonts w:cs="Times New Roman"/>
          <w:szCs w:val="28"/>
        </w:rPr>
        <w:lastRenderedPageBreak/>
        <w:t>5</w:t>
      </w:r>
      <w:r w:rsidR="0063443B" w:rsidRPr="002B136D">
        <w:rPr>
          <w:rFonts w:cs="Times New Roman"/>
          <w:szCs w:val="28"/>
        </w:rPr>
        <w:t xml:space="preserve">. Впервые разработаны модели прогнозирования клинического течения  по активности и тяжести эндокринной офтальмопатии (свидетельство о внесении в госреестр прав на объекты, охраняемые  авторским правом № 44256 от 01.04.2024).                                             . </w:t>
      </w:r>
      <w:r w:rsidR="0063443B" w:rsidRPr="002B136D">
        <w:rPr>
          <w:rFonts w:cs="Times New Roman"/>
          <w:szCs w:val="28"/>
        </w:rPr>
        <w:br/>
      </w:r>
      <w:r w:rsidR="002B136D" w:rsidRPr="002B136D">
        <w:rPr>
          <w:rFonts w:cs="Times New Roman"/>
          <w:b/>
          <w:szCs w:val="28"/>
        </w:rPr>
        <w:t xml:space="preserve">        </w:t>
      </w:r>
      <w:r w:rsidR="0063443B" w:rsidRPr="002B136D">
        <w:rPr>
          <w:rFonts w:cs="Times New Roman"/>
          <w:b/>
          <w:szCs w:val="28"/>
        </w:rPr>
        <w:t>Практическая значимость</w:t>
      </w:r>
    </w:p>
    <w:p w14:paraId="5C14D68F"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1.</w:t>
      </w:r>
      <w:r w:rsidRPr="002B136D">
        <w:rPr>
          <w:rFonts w:cs="Times New Roman"/>
          <w:szCs w:val="28"/>
        </w:rPr>
        <w:tab/>
        <w:t>Определение концентрации IL-17 и IL-38 в тканях орбиты способствует повышению эффективности дифференциальной диагностики и лечения атипичных форм ЭОП</w:t>
      </w:r>
    </w:p>
    <w:p w14:paraId="2678129A"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2. Выявление IL-38 как потенциального биомаркера активности ЭОП открывает путь для разработки новых диагностических инструментов, которые могут упростить и уточнить процесс мониторинга и оценки тяжести заболевания.</w:t>
      </w:r>
    </w:p>
    <w:p w14:paraId="676E71F0"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3. Исследование взаимосвязи между цитокинами и клиническими проявлениями ЭОП может привести к разработке новых таргетных терапевтических подходов, направленных на коррекцию дисбаланса в иммунной системе.</w:t>
      </w:r>
    </w:p>
    <w:p w14:paraId="1315F5C8"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4. Определение связи между генетическими полиморфизмами и ЭОП обеспечит основу для персонализированного подхода в лечении и возможности для генетического консультирования пациентов с риском развития ЭОП.</w:t>
      </w:r>
    </w:p>
    <w:p w14:paraId="5A51734A" w14:textId="77777777" w:rsidR="00242C83" w:rsidRPr="002B136D" w:rsidRDefault="00311A7F" w:rsidP="002B136D">
      <w:pPr>
        <w:tabs>
          <w:tab w:val="left" w:pos="851"/>
        </w:tabs>
        <w:spacing w:after="0" w:line="240" w:lineRule="auto"/>
        <w:ind w:firstLine="567"/>
        <w:contextualSpacing/>
        <w:jc w:val="both"/>
        <w:rPr>
          <w:szCs w:val="28"/>
        </w:rPr>
      </w:pPr>
      <w:r w:rsidRPr="002B136D">
        <w:rPr>
          <w:rFonts w:cs="Times New Roman"/>
          <w:szCs w:val="28"/>
        </w:rPr>
        <w:t xml:space="preserve">5. </w:t>
      </w:r>
      <w:r w:rsidR="00242C83" w:rsidRPr="002B136D">
        <w:rPr>
          <w:szCs w:val="28"/>
        </w:rPr>
        <w:t xml:space="preserve">Разработка моделей клинического течения </w:t>
      </w:r>
      <w:proofErr w:type="gramStart"/>
      <w:r w:rsidR="00242C83" w:rsidRPr="002B136D">
        <w:rPr>
          <w:szCs w:val="28"/>
        </w:rPr>
        <w:t>эндокринной</w:t>
      </w:r>
      <w:proofErr w:type="gramEnd"/>
      <w:r w:rsidR="00242C83" w:rsidRPr="002B136D">
        <w:rPr>
          <w:szCs w:val="28"/>
        </w:rPr>
        <w:t xml:space="preserve"> офтальмопатии помогает прогнозировать исход заболевания и сформировать тактику лечения у пациентов с ЭОП, что способствует предотвращению осложнений офтальмопатии.</w:t>
      </w:r>
    </w:p>
    <w:p w14:paraId="4E552AB6" w14:textId="5E00A89D" w:rsidR="0063443B" w:rsidRPr="002B136D" w:rsidRDefault="0063443B" w:rsidP="002B136D">
      <w:pPr>
        <w:tabs>
          <w:tab w:val="left" w:pos="851"/>
        </w:tabs>
        <w:spacing w:after="0" w:line="240" w:lineRule="auto"/>
        <w:ind w:firstLine="567"/>
        <w:contextualSpacing/>
        <w:jc w:val="both"/>
        <w:rPr>
          <w:rFonts w:cs="Times New Roman"/>
          <w:b/>
          <w:szCs w:val="28"/>
        </w:rPr>
      </w:pPr>
      <w:r w:rsidRPr="002B136D">
        <w:rPr>
          <w:rFonts w:cs="Times New Roman"/>
          <w:b/>
          <w:szCs w:val="28"/>
        </w:rPr>
        <w:t>Основные положения диссертации, выносимые на защиту</w:t>
      </w:r>
    </w:p>
    <w:p w14:paraId="34545A04" w14:textId="2AFF939F"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1.</w:t>
      </w:r>
      <w:r w:rsidRPr="002B136D">
        <w:rPr>
          <w:rFonts w:cs="Times New Roman"/>
          <w:szCs w:val="28"/>
        </w:rPr>
        <w:tab/>
      </w:r>
      <w:r w:rsidR="00D51BA3" w:rsidRPr="002B136D">
        <w:rPr>
          <w:rFonts w:cs="Times New Roman"/>
          <w:szCs w:val="28"/>
        </w:rPr>
        <w:t>Клиническое т</w:t>
      </w:r>
      <w:r w:rsidRPr="002B136D">
        <w:rPr>
          <w:rFonts w:cs="Times New Roman"/>
          <w:szCs w:val="28"/>
        </w:rPr>
        <w:t>ечение эндокринной офтальмопатии сопровождается активацией аутоиммунного ответа, включающего изменение концентрации ИЛ-17 и ИЛ-38. Увеличение уровня IL-17 и снижение IL-38 в биологических средах и тканях (кровь, слеза, клетчатка) являются количественными маркерами активности и предиктором тяжелого течения эндокринной офтальмопатии.</w:t>
      </w:r>
    </w:p>
    <w:p w14:paraId="230E1363" w14:textId="04E69132"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2.</w:t>
      </w:r>
      <w:r w:rsidRPr="002B136D">
        <w:rPr>
          <w:rFonts w:cs="Times New Roman"/>
          <w:szCs w:val="28"/>
        </w:rPr>
        <w:tab/>
      </w:r>
      <w:r w:rsidR="00D51BA3" w:rsidRPr="002B136D">
        <w:rPr>
          <w:rFonts w:cs="Times New Roman"/>
          <w:szCs w:val="28"/>
        </w:rPr>
        <w:t>Г</w:t>
      </w:r>
      <w:r w:rsidRPr="002B136D">
        <w:rPr>
          <w:rFonts w:cs="Times New Roman"/>
          <w:szCs w:val="28"/>
        </w:rPr>
        <w:t xml:space="preserve">енетические вариации rs7570267 (IL-38) являются риском развития более тяжелого проявления эндокринной офтальмопатии, что подтверждает роль генетических факторов в патогенезе заболевания. Полиморфизм rs3811058 (IL-38) ассоцирован с развитием эндокринной офтальмопатии </w:t>
      </w:r>
      <w:r w:rsidR="00BC3435" w:rsidRPr="002B136D">
        <w:rPr>
          <w:rFonts w:cs="Times New Roman"/>
          <w:szCs w:val="28"/>
        </w:rPr>
        <w:t>у пациентов европеоидной этнической группы</w:t>
      </w:r>
      <w:r w:rsidR="008627FD" w:rsidRPr="002B136D">
        <w:rPr>
          <w:rFonts w:cs="Times New Roman"/>
          <w:szCs w:val="28"/>
        </w:rPr>
        <w:t xml:space="preserve"> </w:t>
      </w:r>
      <w:r w:rsidRPr="002B136D">
        <w:rPr>
          <w:rFonts w:cs="Times New Roman"/>
          <w:szCs w:val="28"/>
        </w:rPr>
        <w:t>с дисфункцией щитовидной железы.</w:t>
      </w:r>
    </w:p>
    <w:p w14:paraId="6E0A7ED3"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3.</w:t>
      </w:r>
      <w:r w:rsidRPr="002B136D">
        <w:rPr>
          <w:rFonts w:cs="Times New Roman"/>
          <w:szCs w:val="28"/>
        </w:rPr>
        <w:tab/>
        <w:t>Прогностические модели клинического течения эндокринной офтальмопатии позволяют выявлять пациентов с активной формой и тяжелым течением заболевания, обеспечивая своевременное начало лечения и предотвращая осложнения со стороны органа зрения.</w:t>
      </w:r>
    </w:p>
    <w:p w14:paraId="36C00260" w14:textId="15F17D6B" w:rsidR="0063443B" w:rsidRPr="002B136D" w:rsidRDefault="0063443B" w:rsidP="002B5069">
      <w:pPr>
        <w:tabs>
          <w:tab w:val="left" w:pos="851"/>
          <w:tab w:val="left" w:pos="5640"/>
        </w:tabs>
        <w:spacing w:after="0" w:line="240" w:lineRule="auto"/>
        <w:ind w:firstLine="567"/>
        <w:contextualSpacing/>
        <w:jc w:val="both"/>
        <w:rPr>
          <w:rFonts w:cs="Times New Roman"/>
          <w:b/>
          <w:szCs w:val="28"/>
        </w:rPr>
      </w:pPr>
      <w:r w:rsidRPr="002B136D">
        <w:rPr>
          <w:rFonts w:cs="Times New Roman"/>
          <w:b/>
          <w:szCs w:val="28"/>
        </w:rPr>
        <w:t>Апробация результатов диссертации</w:t>
      </w:r>
      <w:r w:rsidR="002B5069">
        <w:rPr>
          <w:rFonts w:cs="Times New Roman"/>
          <w:b/>
          <w:szCs w:val="28"/>
        </w:rPr>
        <w:tab/>
      </w:r>
    </w:p>
    <w:p w14:paraId="7F27F8E2" w14:textId="6AF03411" w:rsidR="0063443B" w:rsidRPr="002932C4" w:rsidRDefault="0063443B" w:rsidP="002B136D">
      <w:pPr>
        <w:tabs>
          <w:tab w:val="left" w:pos="851"/>
        </w:tabs>
        <w:spacing w:after="0" w:line="240" w:lineRule="auto"/>
        <w:ind w:firstLine="567"/>
        <w:contextualSpacing/>
        <w:jc w:val="both"/>
        <w:rPr>
          <w:rFonts w:cs="Times New Roman"/>
          <w:b/>
          <w:szCs w:val="28"/>
        </w:rPr>
      </w:pPr>
      <w:r w:rsidRPr="002B136D">
        <w:rPr>
          <w:rFonts w:cs="Times New Roman"/>
          <w:b/>
          <w:szCs w:val="28"/>
        </w:rPr>
        <w:t>Основные положения и результаты диссертации были представлены на следующих мероприятиях</w:t>
      </w:r>
    </w:p>
    <w:p w14:paraId="3B83F867"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 Международная конференция «Традиции и инновации в офтальмологии» к 90-летию КазНИИ ГБ, 22-23.09.2023, Алматы. Доклад: «Особенности ИЛ-17 в патогенезе эндокринной офтальмопатии».</w:t>
      </w:r>
    </w:p>
    <w:p w14:paraId="50DD5C76"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lastRenderedPageBreak/>
        <w:t xml:space="preserve">- Конференция с международным участием «Стратегические проблемы современной офтальмологии РК. Пути их решения», 31.05.2024, Алматы. Доклад: </w:t>
      </w:r>
      <w:proofErr w:type="gramStart"/>
      <w:r w:rsidRPr="002B136D">
        <w:rPr>
          <w:rFonts w:cs="Times New Roman"/>
          <w:szCs w:val="28"/>
        </w:rPr>
        <w:t>«Иммунологические особенности эндокринной офтальмопатии».</w:t>
      </w:r>
      <w:proofErr w:type="gramEnd"/>
    </w:p>
    <w:p w14:paraId="5730FAED" w14:textId="068F4B05"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 xml:space="preserve">- Заседание Научного Комитета по направлению «Хирургические заболевания» НАО «КазНМУ» им. С. Д. Асфендиярова, </w:t>
      </w:r>
      <w:r w:rsidR="00FB55DD" w:rsidRPr="002B136D">
        <w:rPr>
          <w:rFonts w:cs="Times New Roman"/>
          <w:szCs w:val="28"/>
        </w:rPr>
        <w:t xml:space="preserve">№6, от </w:t>
      </w:r>
      <w:r w:rsidRPr="002B136D">
        <w:rPr>
          <w:rFonts w:cs="Times New Roman"/>
          <w:szCs w:val="28"/>
        </w:rPr>
        <w:t>03.05.2024, Алматы.</w:t>
      </w:r>
    </w:p>
    <w:p w14:paraId="0D172AB2" w14:textId="474A28DC" w:rsidR="0063443B" w:rsidRPr="002B136D" w:rsidRDefault="0063443B" w:rsidP="002B136D">
      <w:pPr>
        <w:tabs>
          <w:tab w:val="left" w:pos="851"/>
        </w:tabs>
        <w:spacing w:after="0" w:line="240" w:lineRule="auto"/>
        <w:ind w:firstLine="567"/>
        <w:contextualSpacing/>
        <w:jc w:val="both"/>
        <w:rPr>
          <w:rFonts w:cs="Times New Roman"/>
          <w:szCs w:val="28"/>
          <w:lang w:val="kk-KZ"/>
        </w:rPr>
      </w:pPr>
      <w:r w:rsidRPr="002B136D">
        <w:rPr>
          <w:rFonts w:cs="Times New Roman"/>
          <w:szCs w:val="28"/>
        </w:rPr>
        <w:t xml:space="preserve">- Заседание Ученого совета НАО «Казахский национальный медицинский университет имени С.Д. Асфендиярова», </w:t>
      </w:r>
      <w:r w:rsidR="008F6A38">
        <w:rPr>
          <w:rFonts w:cs="Times New Roman"/>
          <w:szCs w:val="28"/>
        </w:rPr>
        <w:t xml:space="preserve">№10, от </w:t>
      </w:r>
      <w:r w:rsidRPr="002B136D">
        <w:rPr>
          <w:rFonts w:cs="Times New Roman"/>
          <w:szCs w:val="28"/>
        </w:rPr>
        <w:t>28.03.2024</w:t>
      </w:r>
      <w:r w:rsidR="008F6A38">
        <w:rPr>
          <w:rFonts w:cs="Times New Roman"/>
          <w:szCs w:val="28"/>
        </w:rPr>
        <w:t xml:space="preserve"> г</w:t>
      </w:r>
      <w:r w:rsidRPr="002B136D">
        <w:rPr>
          <w:rFonts w:cs="Times New Roman"/>
          <w:szCs w:val="28"/>
        </w:rPr>
        <w:t>.</w:t>
      </w:r>
    </w:p>
    <w:p w14:paraId="094CC31F" w14:textId="68535EB6" w:rsidR="00C14917" w:rsidRPr="002B136D" w:rsidRDefault="00C14917" w:rsidP="002B136D">
      <w:pPr>
        <w:tabs>
          <w:tab w:val="left" w:pos="851"/>
        </w:tabs>
        <w:spacing w:after="0" w:line="240" w:lineRule="auto"/>
        <w:ind w:firstLine="567"/>
        <w:contextualSpacing/>
        <w:jc w:val="both"/>
        <w:rPr>
          <w:rFonts w:cs="Times New Roman"/>
          <w:szCs w:val="28"/>
          <w:lang w:val="kk-KZ"/>
        </w:rPr>
      </w:pPr>
      <w:r w:rsidRPr="002B136D">
        <w:rPr>
          <w:rFonts w:cs="Times New Roman"/>
          <w:szCs w:val="28"/>
          <w:lang w:val="kk-KZ"/>
        </w:rPr>
        <w:t>- Заседание Научного совета</w:t>
      </w:r>
      <w:r w:rsidR="007B6815" w:rsidRPr="002B136D">
        <w:rPr>
          <w:rFonts w:cs="Times New Roman"/>
          <w:szCs w:val="28"/>
          <w:lang w:val="kk-KZ"/>
        </w:rPr>
        <w:t xml:space="preserve"> </w:t>
      </w:r>
      <w:r w:rsidR="00FB55DD" w:rsidRPr="002B136D">
        <w:rPr>
          <w:rFonts w:cs="Times New Roman"/>
          <w:szCs w:val="28"/>
          <w:lang w:val="kk-KZ"/>
        </w:rPr>
        <w:t xml:space="preserve">по специальности </w:t>
      </w:r>
      <w:r w:rsidR="00FB55DD" w:rsidRPr="002B136D">
        <w:rPr>
          <w:rFonts w:cs="Times New Roman"/>
          <w:szCs w:val="28"/>
        </w:rPr>
        <w:t>8</w:t>
      </w:r>
      <w:r w:rsidR="00FB55DD" w:rsidRPr="002B136D">
        <w:rPr>
          <w:rFonts w:cs="Times New Roman"/>
          <w:szCs w:val="28"/>
          <w:lang w:val="en-US"/>
        </w:rPr>
        <w:t>D</w:t>
      </w:r>
      <w:r w:rsidR="00FB55DD" w:rsidRPr="002B136D">
        <w:rPr>
          <w:rFonts w:cs="Times New Roman"/>
          <w:szCs w:val="28"/>
        </w:rPr>
        <w:t xml:space="preserve">1010103 - «Медицина» </w:t>
      </w:r>
      <w:r w:rsidR="00F17B7E" w:rsidRPr="002B136D">
        <w:rPr>
          <w:rFonts w:cs="Times New Roman"/>
          <w:szCs w:val="28"/>
        </w:rPr>
        <w:t xml:space="preserve"> </w:t>
      </w:r>
      <w:r w:rsidRPr="002B136D">
        <w:rPr>
          <w:rFonts w:cs="Times New Roman"/>
          <w:szCs w:val="28"/>
          <w:lang w:val="kk-KZ"/>
        </w:rPr>
        <w:t>Казахстанского медицинского университета «Высшая школа общественного здравоохранения»,</w:t>
      </w:r>
      <w:r w:rsidR="00FB55DD" w:rsidRPr="002B136D">
        <w:rPr>
          <w:rFonts w:cs="Times New Roman"/>
          <w:szCs w:val="28"/>
          <w:lang w:val="kk-KZ"/>
        </w:rPr>
        <w:t xml:space="preserve"> №</w:t>
      </w:r>
      <w:r w:rsidR="009776EB" w:rsidRPr="002B136D">
        <w:rPr>
          <w:rFonts w:cs="Times New Roman"/>
          <w:szCs w:val="28"/>
          <w:lang w:val="kk-KZ"/>
        </w:rPr>
        <w:t>2</w:t>
      </w:r>
      <w:r w:rsidR="00FB55DD" w:rsidRPr="002B136D">
        <w:rPr>
          <w:rFonts w:cs="Times New Roman"/>
          <w:szCs w:val="28"/>
          <w:lang w:val="kk-KZ"/>
        </w:rPr>
        <w:t>, от</w:t>
      </w:r>
      <w:r w:rsidRPr="002B136D">
        <w:rPr>
          <w:rFonts w:cs="Times New Roman"/>
          <w:szCs w:val="28"/>
          <w:lang w:val="kk-KZ"/>
        </w:rPr>
        <w:t xml:space="preserve"> 20.02.2025 г.</w:t>
      </w:r>
    </w:p>
    <w:p w14:paraId="4CCDA4E9" w14:textId="1C0A4ED0" w:rsidR="0063443B" w:rsidRPr="002B136D" w:rsidRDefault="0063443B" w:rsidP="002B136D">
      <w:pPr>
        <w:tabs>
          <w:tab w:val="left" w:pos="851"/>
          <w:tab w:val="left" w:pos="6327"/>
        </w:tabs>
        <w:spacing w:after="0" w:line="240" w:lineRule="auto"/>
        <w:ind w:firstLine="567"/>
        <w:contextualSpacing/>
        <w:jc w:val="both"/>
        <w:rPr>
          <w:rFonts w:cs="Times New Roman"/>
          <w:b/>
          <w:szCs w:val="28"/>
        </w:rPr>
      </w:pPr>
      <w:r w:rsidRPr="002B136D">
        <w:rPr>
          <w:rFonts w:cs="Times New Roman"/>
          <w:b/>
          <w:szCs w:val="28"/>
        </w:rPr>
        <w:t>Личный вклад докторанта</w:t>
      </w:r>
      <w:r w:rsidR="00D53EAD" w:rsidRPr="002B136D">
        <w:rPr>
          <w:rFonts w:cs="Times New Roman"/>
          <w:b/>
          <w:szCs w:val="28"/>
        </w:rPr>
        <w:tab/>
      </w:r>
    </w:p>
    <w:p w14:paraId="083C6BF8" w14:textId="77777777" w:rsidR="0063443B" w:rsidRPr="002B136D" w:rsidRDefault="0063443B" w:rsidP="002B136D">
      <w:pPr>
        <w:tabs>
          <w:tab w:val="left" w:pos="851"/>
        </w:tabs>
        <w:spacing w:after="0" w:line="240" w:lineRule="auto"/>
        <w:ind w:firstLine="567"/>
        <w:contextualSpacing/>
        <w:jc w:val="both"/>
        <w:rPr>
          <w:rFonts w:cs="Times New Roman"/>
          <w:szCs w:val="28"/>
        </w:rPr>
      </w:pPr>
      <w:r w:rsidRPr="002B136D">
        <w:rPr>
          <w:rFonts w:cs="Times New Roman"/>
          <w:szCs w:val="28"/>
        </w:rPr>
        <w:t>Автор активно участвовала во всех этапах исследования: от постановки цели и задач до теоретической и практической реализации. Практическая часть включала в себя сбор материала, включая беседы с пациентами для получения информированного согласия, сбор анамнеза, проведение инструментальных исследований, интерпретацию данных, а также выполнение иммунологических, иммуногистохимических и генетических исследований. Автор также провела литературный обзор по теме исследования, создала базу данных, провела статистическую обработку данных, проинтерпретировала результаты и разработала прогностическую модель.</w:t>
      </w:r>
    </w:p>
    <w:p w14:paraId="79D85996" w14:textId="527E44EC" w:rsidR="000E53B2" w:rsidRPr="002932C4" w:rsidRDefault="000E53B2" w:rsidP="002B136D">
      <w:pPr>
        <w:tabs>
          <w:tab w:val="left" w:pos="851"/>
        </w:tabs>
        <w:spacing w:after="0" w:line="240" w:lineRule="auto"/>
        <w:ind w:firstLine="567"/>
        <w:contextualSpacing/>
        <w:jc w:val="both"/>
        <w:rPr>
          <w:rFonts w:cs="Times New Roman"/>
          <w:b/>
          <w:szCs w:val="28"/>
        </w:rPr>
      </w:pPr>
      <w:r w:rsidRPr="002B136D">
        <w:rPr>
          <w:rFonts w:cs="Times New Roman"/>
          <w:b/>
          <w:szCs w:val="28"/>
        </w:rPr>
        <w:t>Публикации по теме диссертации</w:t>
      </w:r>
    </w:p>
    <w:p w14:paraId="7B513B35" w14:textId="77777777" w:rsidR="0044499C" w:rsidRDefault="0044499C" w:rsidP="002B136D">
      <w:pPr>
        <w:shd w:val="clear" w:color="000000" w:fill="FFFFFF"/>
        <w:tabs>
          <w:tab w:val="left" w:pos="851"/>
        </w:tabs>
        <w:spacing w:after="0" w:line="240" w:lineRule="auto"/>
        <w:ind w:firstLine="567"/>
        <w:jc w:val="both"/>
        <w:rPr>
          <w:rFonts w:cs="Times New Roman"/>
          <w:szCs w:val="28"/>
        </w:rPr>
      </w:pPr>
      <w:proofErr w:type="gramStart"/>
      <w:r w:rsidRPr="0044499C">
        <w:rPr>
          <w:rFonts w:cs="Times New Roman"/>
          <w:szCs w:val="28"/>
        </w:rPr>
        <w:t xml:space="preserve">По теме диссертации опубликовано 8 научных работ, включая: 2 статьи  в международных журналах, индексируемых Web of Science и Scopus; 3 в журналах, входящих в Перечень изданий, рекомендованных Комитетом по обеспечению качества в сфере науки и высшего образования МНВО РК; и 3 авторских свидетельств о внесении сведений в государственный реестр прав на объекты, охраняемые авторским правом. </w:t>
      </w:r>
      <w:proofErr w:type="gramEnd"/>
    </w:p>
    <w:p w14:paraId="05CDEB51" w14:textId="77777777" w:rsidR="00D41B45" w:rsidRDefault="005E21A1" w:rsidP="00D41B45">
      <w:pPr>
        <w:shd w:val="clear" w:color="000000" w:fill="FFFFFF"/>
        <w:tabs>
          <w:tab w:val="left" w:pos="851"/>
        </w:tabs>
        <w:spacing w:after="0" w:line="240" w:lineRule="auto"/>
        <w:ind w:firstLine="567"/>
        <w:jc w:val="both"/>
        <w:rPr>
          <w:rFonts w:cs="Times New Roman"/>
          <w:b/>
          <w:szCs w:val="28"/>
        </w:rPr>
      </w:pPr>
      <w:r w:rsidRPr="002B136D">
        <w:rPr>
          <w:rFonts w:cs="Times New Roman"/>
          <w:b/>
          <w:szCs w:val="28"/>
        </w:rPr>
        <w:t>Вне</w:t>
      </w:r>
      <w:r w:rsidR="00D41B45">
        <w:rPr>
          <w:rFonts w:cs="Times New Roman"/>
          <w:b/>
          <w:szCs w:val="28"/>
        </w:rPr>
        <w:t>дрение результатов исследования</w:t>
      </w:r>
    </w:p>
    <w:p w14:paraId="1805952D" w14:textId="5CE46965" w:rsidR="00E23B25" w:rsidRPr="00D41B45" w:rsidRDefault="00AD50B3" w:rsidP="00D41B45">
      <w:pPr>
        <w:shd w:val="clear" w:color="000000" w:fill="FFFFFF"/>
        <w:tabs>
          <w:tab w:val="left" w:pos="851"/>
        </w:tabs>
        <w:spacing w:after="0" w:line="240" w:lineRule="auto"/>
        <w:ind w:firstLine="567"/>
        <w:jc w:val="both"/>
        <w:rPr>
          <w:rFonts w:cs="Times New Roman"/>
          <w:b/>
          <w:szCs w:val="28"/>
        </w:rPr>
      </w:pPr>
      <w:r w:rsidRPr="00D41B45">
        <w:rPr>
          <w:rFonts w:cs="Times New Roman"/>
          <w:szCs w:val="28"/>
        </w:rPr>
        <w:t>Акт внедрения</w:t>
      </w:r>
      <w:r w:rsidR="005E21A1" w:rsidRPr="00D41B45">
        <w:rPr>
          <w:rFonts w:cs="Times New Roman"/>
          <w:szCs w:val="28"/>
        </w:rPr>
        <w:t>:</w:t>
      </w:r>
      <w:r w:rsidRPr="00D41B45">
        <w:rPr>
          <w:rFonts w:cs="Times New Roman"/>
          <w:szCs w:val="28"/>
        </w:rPr>
        <w:t xml:space="preserve"> </w:t>
      </w:r>
      <w:r w:rsidR="00A50A9F" w:rsidRPr="00D41B45">
        <w:rPr>
          <w:rFonts w:cs="Times New Roman"/>
          <w:szCs w:val="28"/>
          <w:lang w:val="kk-KZ"/>
        </w:rPr>
        <w:t>№135 от 18</w:t>
      </w:r>
      <w:r w:rsidR="00A27234" w:rsidRPr="00D41B45">
        <w:rPr>
          <w:rFonts w:cs="Times New Roman"/>
          <w:szCs w:val="28"/>
          <w:lang w:val="kk-KZ"/>
        </w:rPr>
        <w:t>.03.</w:t>
      </w:r>
      <w:r w:rsidR="00A50A9F" w:rsidRPr="00D41B45">
        <w:rPr>
          <w:rFonts w:cs="Times New Roman"/>
          <w:szCs w:val="28"/>
          <w:lang w:val="kk-KZ"/>
        </w:rPr>
        <w:t>2025г. в ТОО «Казахский научно-исследовательский институт глазных болезней»</w:t>
      </w:r>
      <w:r w:rsidR="00E23B25" w:rsidRPr="00D41B45">
        <w:rPr>
          <w:rFonts w:cs="Times New Roman"/>
          <w:szCs w:val="28"/>
          <w:lang w:val="kk-KZ"/>
        </w:rPr>
        <w:t>,</w:t>
      </w:r>
      <w:r w:rsidR="00A50A9F" w:rsidRPr="00D41B45">
        <w:rPr>
          <w:rFonts w:cs="Times New Roman"/>
          <w:szCs w:val="28"/>
          <w:lang w:val="kk-KZ"/>
        </w:rPr>
        <w:t xml:space="preserve"> «</w:t>
      </w:r>
      <w:r w:rsidR="00A50A9F" w:rsidRPr="00D41B45">
        <w:rPr>
          <w:rFonts w:cs="Times New Roman"/>
          <w:szCs w:val="28"/>
        </w:rPr>
        <w:t>Разработка прогностической модели развития эндокринной офтальмопатии</w:t>
      </w:r>
      <w:r w:rsidR="00A50A9F" w:rsidRPr="00D41B45">
        <w:rPr>
          <w:rFonts w:cs="Times New Roman"/>
          <w:szCs w:val="28"/>
          <w:lang w:val="kk-KZ"/>
        </w:rPr>
        <w:t>»</w:t>
      </w:r>
      <w:r w:rsidR="00E23B25" w:rsidRPr="00D41B45">
        <w:rPr>
          <w:rFonts w:cs="Times New Roman"/>
          <w:szCs w:val="28"/>
          <w:lang w:val="kk-KZ"/>
        </w:rPr>
        <w:t xml:space="preserve">; </w:t>
      </w:r>
      <w:r w:rsidR="00A50A9F" w:rsidRPr="00D41B45">
        <w:rPr>
          <w:rFonts w:cs="Times New Roman"/>
          <w:szCs w:val="28"/>
        </w:rPr>
        <w:t xml:space="preserve">№ </w:t>
      </w:r>
      <w:r w:rsidR="00FE18F0" w:rsidRPr="00D41B45">
        <w:rPr>
          <w:rFonts w:cs="Times New Roman"/>
          <w:szCs w:val="28"/>
        </w:rPr>
        <w:t>2</w:t>
      </w:r>
      <w:r w:rsidR="00D7006C">
        <w:rPr>
          <w:rFonts w:cs="Times New Roman"/>
          <w:szCs w:val="28"/>
        </w:rPr>
        <w:t xml:space="preserve"> </w:t>
      </w:r>
      <w:r w:rsidR="00A50A9F" w:rsidRPr="00D41B45">
        <w:rPr>
          <w:rFonts w:cs="Times New Roman"/>
          <w:szCs w:val="28"/>
        </w:rPr>
        <w:t>от</w:t>
      </w:r>
      <w:r w:rsidR="00FE18F0" w:rsidRPr="00D41B45">
        <w:rPr>
          <w:rFonts w:cs="Times New Roman"/>
          <w:szCs w:val="28"/>
        </w:rPr>
        <w:t xml:space="preserve"> 03.03.</w:t>
      </w:r>
      <w:r w:rsidR="00A50A9F" w:rsidRPr="00D41B45">
        <w:rPr>
          <w:rFonts w:cs="Times New Roman"/>
          <w:szCs w:val="28"/>
        </w:rPr>
        <w:t xml:space="preserve"> 2025г. </w:t>
      </w:r>
      <w:r w:rsidR="00A50A9F" w:rsidRPr="00D41B45">
        <w:rPr>
          <w:rFonts w:cs="Times New Roman"/>
          <w:szCs w:val="28"/>
          <w:lang w:val="kk-KZ"/>
        </w:rPr>
        <w:t>ТОО “Институт эндокринологии” г. Алматы</w:t>
      </w:r>
      <w:r w:rsidR="00E23B25" w:rsidRPr="00D41B45">
        <w:rPr>
          <w:rFonts w:cs="Times New Roman"/>
          <w:szCs w:val="28"/>
          <w:lang w:val="kk-KZ"/>
        </w:rPr>
        <w:t>, «</w:t>
      </w:r>
      <w:r w:rsidR="00E23B25" w:rsidRPr="00D41B45">
        <w:rPr>
          <w:rFonts w:cs="Times New Roman"/>
          <w:szCs w:val="28"/>
        </w:rPr>
        <w:t xml:space="preserve">Прогностическая модель развития </w:t>
      </w:r>
      <w:r w:rsidR="00E23B25" w:rsidRPr="00D41B45">
        <w:rPr>
          <w:rFonts w:cs="Times New Roman"/>
          <w:szCs w:val="28"/>
          <w:lang w:val="kk-KZ"/>
        </w:rPr>
        <w:t xml:space="preserve">эндокринной офтальмопатии»; в </w:t>
      </w:r>
      <w:r w:rsidR="00E23B25" w:rsidRPr="00D41B45">
        <w:rPr>
          <w:rFonts w:cs="Times New Roman"/>
          <w:bCs/>
          <w:szCs w:val="28"/>
        </w:rPr>
        <w:t>ГКП на ПХВ «Алматинская Многопрофильная Клиническая Больница»,</w:t>
      </w:r>
      <w:r w:rsidR="00E23B25" w:rsidRPr="00D41B45">
        <w:rPr>
          <w:rFonts w:cs="Times New Roman"/>
          <w:szCs w:val="28"/>
          <w:lang w:val="kk-KZ"/>
        </w:rPr>
        <w:t xml:space="preserve"> </w:t>
      </w:r>
      <w:r w:rsidR="00E23B25" w:rsidRPr="00D41B45">
        <w:rPr>
          <w:rFonts w:cs="Times New Roman"/>
          <w:bCs/>
          <w:szCs w:val="28"/>
          <w:lang w:val="kk-KZ"/>
        </w:rPr>
        <w:t>«</w:t>
      </w:r>
      <w:r w:rsidR="00E23B25" w:rsidRPr="00D41B45">
        <w:rPr>
          <w:rFonts w:cs="Times New Roman"/>
          <w:bCs/>
          <w:szCs w:val="28"/>
        </w:rPr>
        <w:t xml:space="preserve">Прогностическая модель развития </w:t>
      </w:r>
      <w:r w:rsidR="00E23B25" w:rsidRPr="00D41B45">
        <w:rPr>
          <w:rFonts w:cs="Times New Roman"/>
          <w:bCs/>
          <w:szCs w:val="28"/>
          <w:lang w:val="kk-KZ"/>
        </w:rPr>
        <w:t>эндокринной офтальмопатии»</w:t>
      </w:r>
      <w:r w:rsidR="00234DC9" w:rsidRPr="00D41B45">
        <w:rPr>
          <w:rFonts w:cs="Times New Roman"/>
          <w:bCs/>
          <w:szCs w:val="28"/>
          <w:lang w:val="kk-KZ"/>
        </w:rPr>
        <w:t xml:space="preserve">; </w:t>
      </w:r>
      <w:r w:rsidR="00D7006C">
        <w:rPr>
          <w:rFonts w:cs="Times New Roman"/>
          <w:szCs w:val="28"/>
        </w:rPr>
        <w:t xml:space="preserve">в </w:t>
      </w:r>
      <w:r w:rsidR="00234DC9" w:rsidRPr="00D41B45">
        <w:rPr>
          <w:rFonts w:cs="Times New Roman"/>
          <w:szCs w:val="28"/>
        </w:rPr>
        <w:t xml:space="preserve">Казахский национальный университет имени Аль-Фараби, «Разработка прогностической модели развития эндокринной офтальмопатии» </w:t>
      </w:r>
      <w:r w:rsidR="00E23B25" w:rsidRPr="00D41B45">
        <w:rPr>
          <w:rFonts w:cs="Times New Roman"/>
          <w:bCs/>
          <w:szCs w:val="28"/>
          <w:lang w:val="kk-KZ"/>
        </w:rPr>
        <w:t>(</w:t>
      </w:r>
      <w:r w:rsidR="00A27234" w:rsidRPr="00D41B45">
        <w:rPr>
          <w:rFonts w:cs="Times New Roman"/>
          <w:bCs/>
          <w:szCs w:val="28"/>
        </w:rPr>
        <w:t>П</w:t>
      </w:r>
      <w:r w:rsidR="002932C4" w:rsidRPr="00D41B45">
        <w:rPr>
          <w:rFonts w:cs="Times New Roman"/>
          <w:bCs/>
          <w:szCs w:val="28"/>
        </w:rPr>
        <w:t xml:space="preserve">риложение </w:t>
      </w:r>
      <w:r w:rsidR="00A27234" w:rsidRPr="00D41B45">
        <w:rPr>
          <w:rFonts w:cs="Times New Roman"/>
          <w:bCs/>
          <w:szCs w:val="28"/>
        </w:rPr>
        <w:t>Г,Д,Е,Ж</w:t>
      </w:r>
      <w:r w:rsidR="00E23B25" w:rsidRPr="00D41B45">
        <w:rPr>
          <w:rFonts w:cs="Times New Roman"/>
          <w:bCs/>
          <w:szCs w:val="28"/>
          <w:lang w:val="kk-KZ"/>
        </w:rPr>
        <w:t>).</w:t>
      </w:r>
    </w:p>
    <w:p w14:paraId="4A026BCD" w14:textId="102EA094" w:rsidR="000E53B2" w:rsidRPr="002B136D" w:rsidRDefault="000E53B2" w:rsidP="002B136D">
      <w:pPr>
        <w:pStyle w:val="a3"/>
        <w:tabs>
          <w:tab w:val="left" w:pos="851"/>
          <w:tab w:val="left" w:pos="6024"/>
        </w:tabs>
        <w:spacing w:after="0" w:line="240" w:lineRule="auto"/>
        <w:ind w:left="0" w:firstLine="567"/>
        <w:jc w:val="both"/>
        <w:rPr>
          <w:rFonts w:cs="Times New Roman"/>
          <w:b/>
          <w:szCs w:val="28"/>
        </w:rPr>
      </w:pPr>
      <w:r w:rsidRPr="002B136D">
        <w:rPr>
          <w:rFonts w:cs="Times New Roman"/>
          <w:b/>
          <w:szCs w:val="28"/>
        </w:rPr>
        <w:t>Объем и структура диссертации</w:t>
      </w:r>
      <w:r w:rsidR="00F61760" w:rsidRPr="002B136D">
        <w:rPr>
          <w:rFonts w:cs="Times New Roman"/>
          <w:b/>
          <w:szCs w:val="28"/>
        </w:rPr>
        <w:tab/>
      </w:r>
    </w:p>
    <w:p w14:paraId="59EE664C" w14:textId="42F30030" w:rsidR="000E53B2" w:rsidRPr="002B136D" w:rsidRDefault="000E53B2" w:rsidP="002B136D">
      <w:pPr>
        <w:tabs>
          <w:tab w:val="left" w:pos="851"/>
        </w:tabs>
        <w:spacing w:after="0" w:line="240" w:lineRule="auto"/>
        <w:ind w:firstLine="567"/>
        <w:contextualSpacing/>
        <w:jc w:val="both"/>
        <w:rPr>
          <w:rFonts w:cs="Times New Roman"/>
          <w:szCs w:val="28"/>
        </w:rPr>
      </w:pPr>
      <w:r w:rsidRPr="002B136D">
        <w:rPr>
          <w:rFonts w:cs="Times New Roman"/>
          <w:szCs w:val="28"/>
        </w:rPr>
        <w:t>Диссертация изложена на 1</w:t>
      </w:r>
      <w:r w:rsidR="00573FD1">
        <w:rPr>
          <w:rFonts w:cs="Times New Roman"/>
          <w:szCs w:val="28"/>
        </w:rPr>
        <w:t>15</w:t>
      </w:r>
      <w:r w:rsidRPr="002B136D">
        <w:rPr>
          <w:rFonts w:cs="Times New Roman"/>
          <w:szCs w:val="28"/>
        </w:rPr>
        <w:t xml:space="preserve"> страницах машинописного текста</w:t>
      </w:r>
      <w:r w:rsidR="00D41B45">
        <w:rPr>
          <w:rFonts w:cs="Times New Roman"/>
          <w:szCs w:val="28"/>
        </w:rPr>
        <w:t xml:space="preserve"> </w:t>
      </w:r>
      <w:r w:rsidR="00D41B45" w:rsidRPr="00D41B45">
        <w:rPr>
          <w:rFonts w:cs="Times New Roman"/>
          <w:szCs w:val="28"/>
        </w:rPr>
        <w:t>без учета приложений</w:t>
      </w:r>
      <w:r w:rsidRPr="002B136D">
        <w:rPr>
          <w:rFonts w:cs="Times New Roman"/>
          <w:szCs w:val="28"/>
        </w:rPr>
        <w:t xml:space="preserve"> и состоит из списка сокращений и обозначений, введения, обзора литературы, описания материалов и методов, результатов собственных исследований, заключения, включающего выводы, практические рекомендации </w:t>
      </w:r>
      <w:r w:rsidRPr="002B136D">
        <w:rPr>
          <w:rFonts w:cs="Times New Roman"/>
          <w:szCs w:val="28"/>
        </w:rPr>
        <w:lastRenderedPageBreak/>
        <w:t>и список лите</w:t>
      </w:r>
      <w:r w:rsidR="009959DC" w:rsidRPr="002B136D">
        <w:rPr>
          <w:rFonts w:cs="Times New Roman"/>
          <w:szCs w:val="28"/>
        </w:rPr>
        <w:t>ратуры. Работа иллюстрирована 2</w:t>
      </w:r>
      <w:r w:rsidR="00D53EAD" w:rsidRPr="002B136D">
        <w:rPr>
          <w:rFonts w:cs="Times New Roman"/>
          <w:szCs w:val="28"/>
          <w:lang w:val="kk-KZ"/>
        </w:rPr>
        <w:t xml:space="preserve">6 </w:t>
      </w:r>
      <w:r w:rsidR="009959DC" w:rsidRPr="002B136D">
        <w:rPr>
          <w:rFonts w:cs="Times New Roman"/>
          <w:szCs w:val="28"/>
        </w:rPr>
        <w:t xml:space="preserve">рисунками, </w:t>
      </w:r>
      <w:r w:rsidR="00EB72C6" w:rsidRPr="002B136D">
        <w:rPr>
          <w:rFonts w:cs="Times New Roman"/>
          <w:szCs w:val="28"/>
        </w:rPr>
        <w:t>23</w:t>
      </w:r>
      <w:r w:rsidRPr="002B136D">
        <w:rPr>
          <w:rFonts w:cs="Times New Roman"/>
          <w:szCs w:val="28"/>
        </w:rPr>
        <w:t xml:space="preserve"> таблицами. Библиогр</w:t>
      </w:r>
      <w:r w:rsidR="00D53EAD" w:rsidRPr="002B136D">
        <w:rPr>
          <w:rFonts w:cs="Times New Roman"/>
          <w:szCs w:val="28"/>
        </w:rPr>
        <w:t>афический указатель включает 1</w:t>
      </w:r>
      <w:r w:rsidR="00F25157" w:rsidRPr="002B136D">
        <w:rPr>
          <w:rFonts w:cs="Times New Roman"/>
          <w:szCs w:val="28"/>
          <w:lang w:val="kk-KZ"/>
        </w:rPr>
        <w:t>77</w:t>
      </w:r>
      <w:r w:rsidR="00D53EAD" w:rsidRPr="002B136D">
        <w:rPr>
          <w:rFonts w:cs="Times New Roman"/>
          <w:szCs w:val="28"/>
          <w:lang w:val="kk-KZ"/>
        </w:rPr>
        <w:t xml:space="preserve"> </w:t>
      </w:r>
      <w:r w:rsidRPr="002B136D">
        <w:rPr>
          <w:rFonts w:cs="Times New Roman"/>
          <w:szCs w:val="28"/>
        </w:rPr>
        <w:t>источников.</w:t>
      </w:r>
    </w:p>
    <w:p w14:paraId="7276D139" w14:textId="77777777" w:rsidR="00CB47BA" w:rsidRPr="002B136D" w:rsidRDefault="00CB47BA" w:rsidP="002B136D">
      <w:pPr>
        <w:tabs>
          <w:tab w:val="left" w:pos="851"/>
        </w:tabs>
        <w:spacing w:after="0" w:line="240" w:lineRule="auto"/>
        <w:ind w:firstLine="567"/>
        <w:contextualSpacing/>
        <w:jc w:val="both"/>
        <w:rPr>
          <w:rFonts w:cs="Times New Roman"/>
          <w:b/>
          <w:szCs w:val="28"/>
        </w:rPr>
      </w:pPr>
    </w:p>
    <w:p w14:paraId="53456088" w14:textId="77777777" w:rsidR="00CB47BA" w:rsidRPr="002B136D" w:rsidRDefault="00CB47BA" w:rsidP="00167A90">
      <w:pPr>
        <w:spacing w:after="0" w:line="240" w:lineRule="auto"/>
        <w:ind w:firstLine="709"/>
        <w:contextualSpacing/>
        <w:jc w:val="both"/>
        <w:rPr>
          <w:rFonts w:cs="Times New Roman"/>
          <w:b/>
          <w:szCs w:val="28"/>
        </w:rPr>
      </w:pPr>
    </w:p>
    <w:p w14:paraId="5B87696A" w14:textId="77777777" w:rsidR="00E23B25" w:rsidRPr="002B136D" w:rsidRDefault="00E23B25" w:rsidP="00167A90">
      <w:pPr>
        <w:spacing w:after="0" w:line="240" w:lineRule="auto"/>
        <w:ind w:firstLine="709"/>
        <w:contextualSpacing/>
        <w:jc w:val="both"/>
        <w:rPr>
          <w:rFonts w:cs="Times New Roman"/>
          <w:b/>
          <w:szCs w:val="28"/>
        </w:rPr>
      </w:pPr>
    </w:p>
    <w:p w14:paraId="74E3FC9E" w14:textId="77777777" w:rsidR="00E23B25" w:rsidRDefault="00E23B25" w:rsidP="00167A90">
      <w:pPr>
        <w:spacing w:after="0" w:line="240" w:lineRule="auto"/>
        <w:ind w:firstLine="709"/>
        <w:contextualSpacing/>
        <w:jc w:val="both"/>
        <w:rPr>
          <w:rFonts w:cs="Times New Roman"/>
          <w:b/>
          <w:szCs w:val="28"/>
        </w:rPr>
      </w:pPr>
    </w:p>
    <w:p w14:paraId="730424E0" w14:textId="77777777" w:rsidR="00713B55" w:rsidRDefault="00713B55" w:rsidP="00167A90">
      <w:pPr>
        <w:spacing w:after="0" w:line="240" w:lineRule="auto"/>
        <w:ind w:firstLine="709"/>
        <w:contextualSpacing/>
        <w:jc w:val="both"/>
        <w:rPr>
          <w:rFonts w:cs="Times New Roman"/>
          <w:b/>
          <w:szCs w:val="28"/>
        </w:rPr>
      </w:pPr>
    </w:p>
    <w:p w14:paraId="0107A7FB" w14:textId="77777777" w:rsidR="00713B55" w:rsidRDefault="00713B55" w:rsidP="00167A90">
      <w:pPr>
        <w:spacing w:after="0" w:line="240" w:lineRule="auto"/>
        <w:ind w:firstLine="709"/>
        <w:contextualSpacing/>
        <w:jc w:val="both"/>
        <w:rPr>
          <w:rFonts w:cs="Times New Roman"/>
          <w:b/>
          <w:szCs w:val="28"/>
        </w:rPr>
      </w:pPr>
    </w:p>
    <w:p w14:paraId="1DC3EC60" w14:textId="77777777" w:rsidR="00713B55" w:rsidRDefault="00713B55" w:rsidP="00167A90">
      <w:pPr>
        <w:spacing w:after="0" w:line="240" w:lineRule="auto"/>
        <w:ind w:firstLine="709"/>
        <w:contextualSpacing/>
        <w:jc w:val="both"/>
        <w:rPr>
          <w:rFonts w:cs="Times New Roman"/>
          <w:b/>
          <w:szCs w:val="28"/>
        </w:rPr>
      </w:pPr>
    </w:p>
    <w:p w14:paraId="004FEE74" w14:textId="77777777" w:rsidR="00713B55" w:rsidRDefault="00713B55" w:rsidP="00167A90">
      <w:pPr>
        <w:spacing w:after="0" w:line="240" w:lineRule="auto"/>
        <w:ind w:firstLine="709"/>
        <w:contextualSpacing/>
        <w:jc w:val="both"/>
        <w:rPr>
          <w:rFonts w:cs="Times New Roman"/>
          <w:b/>
          <w:szCs w:val="28"/>
        </w:rPr>
      </w:pPr>
    </w:p>
    <w:p w14:paraId="157B9360" w14:textId="77777777" w:rsidR="00713B55" w:rsidRDefault="00713B55" w:rsidP="00167A90">
      <w:pPr>
        <w:spacing w:after="0" w:line="240" w:lineRule="auto"/>
        <w:ind w:firstLine="709"/>
        <w:contextualSpacing/>
        <w:jc w:val="both"/>
        <w:rPr>
          <w:rFonts w:cs="Times New Roman"/>
          <w:b/>
          <w:szCs w:val="28"/>
        </w:rPr>
      </w:pPr>
    </w:p>
    <w:p w14:paraId="40D180B0" w14:textId="77777777" w:rsidR="00713B55" w:rsidRDefault="00713B55" w:rsidP="00167A90">
      <w:pPr>
        <w:spacing w:after="0" w:line="240" w:lineRule="auto"/>
        <w:ind w:firstLine="709"/>
        <w:contextualSpacing/>
        <w:jc w:val="both"/>
        <w:rPr>
          <w:rFonts w:cs="Times New Roman"/>
          <w:b/>
          <w:szCs w:val="28"/>
        </w:rPr>
      </w:pPr>
    </w:p>
    <w:p w14:paraId="4042AFFB" w14:textId="77777777" w:rsidR="00713B55" w:rsidRDefault="00713B55" w:rsidP="00167A90">
      <w:pPr>
        <w:spacing w:after="0" w:line="240" w:lineRule="auto"/>
        <w:ind w:firstLine="709"/>
        <w:contextualSpacing/>
        <w:jc w:val="both"/>
        <w:rPr>
          <w:rFonts w:cs="Times New Roman"/>
          <w:b/>
          <w:szCs w:val="28"/>
        </w:rPr>
      </w:pPr>
    </w:p>
    <w:p w14:paraId="596601DB" w14:textId="77777777" w:rsidR="00713B55" w:rsidRDefault="00713B55" w:rsidP="00167A90">
      <w:pPr>
        <w:spacing w:after="0" w:line="240" w:lineRule="auto"/>
        <w:ind w:firstLine="709"/>
        <w:contextualSpacing/>
        <w:jc w:val="both"/>
        <w:rPr>
          <w:rFonts w:cs="Times New Roman"/>
          <w:b/>
          <w:szCs w:val="28"/>
        </w:rPr>
      </w:pPr>
    </w:p>
    <w:p w14:paraId="396207F3" w14:textId="77777777" w:rsidR="00713B55" w:rsidRDefault="00713B55" w:rsidP="00167A90">
      <w:pPr>
        <w:spacing w:after="0" w:line="240" w:lineRule="auto"/>
        <w:ind w:firstLine="709"/>
        <w:contextualSpacing/>
        <w:jc w:val="both"/>
        <w:rPr>
          <w:rFonts w:cs="Times New Roman"/>
          <w:b/>
          <w:szCs w:val="28"/>
        </w:rPr>
      </w:pPr>
    </w:p>
    <w:p w14:paraId="00D7C382" w14:textId="77777777" w:rsidR="00713B55" w:rsidRDefault="00713B55" w:rsidP="00167A90">
      <w:pPr>
        <w:spacing w:after="0" w:line="240" w:lineRule="auto"/>
        <w:ind w:firstLine="709"/>
        <w:contextualSpacing/>
        <w:jc w:val="both"/>
        <w:rPr>
          <w:rFonts w:cs="Times New Roman"/>
          <w:b/>
          <w:szCs w:val="28"/>
        </w:rPr>
      </w:pPr>
    </w:p>
    <w:p w14:paraId="7073F79D" w14:textId="77777777" w:rsidR="00713B55" w:rsidRDefault="00713B55" w:rsidP="00167A90">
      <w:pPr>
        <w:spacing w:after="0" w:line="240" w:lineRule="auto"/>
        <w:ind w:firstLine="709"/>
        <w:contextualSpacing/>
        <w:jc w:val="both"/>
        <w:rPr>
          <w:rFonts w:cs="Times New Roman"/>
          <w:b/>
          <w:szCs w:val="28"/>
        </w:rPr>
      </w:pPr>
    </w:p>
    <w:p w14:paraId="2BEF3461" w14:textId="77777777" w:rsidR="00713B55" w:rsidRDefault="00713B55" w:rsidP="00167A90">
      <w:pPr>
        <w:spacing w:after="0" w:line="240" w:lineRule="auto"/>
        <w:ind w:firstLine="709"/>
        <w:contextualSpacing/>
        <w:jc w:val="both"/>
        <w:rPr>
          <w:rFonts w:cs="Times New Roman"/>
          <w:b/>
          <w:szCs w:val="28"/>
        </w:rPr>
      </w:pPr>
    </w:p>
    <w:p w14:paraId="12B9334D" w14:textId="77777777" w:rsidR="00713B55" w:rsidRDefault="00713B55" w:rsidP="00167A90">
      <w:pPr>
        <w:spacing w:after="0" w:line="240" w:lineRule="auto"/>
        <w:ind w:firstLine="709"/>
        <w:contextualSpacing/>
        <w:jc w:val="both"/>
        <w:rPr>
          <w:rFonts w:cs="Times New Roman"/>
          <w:b/>
          <w:szCs w:val="28"/>
        </w:rPr>
      </w:pPr>
    </w:p>
    <w:p w14:paraId="65F1BE14" w14:textId="77777777" w:rsidR="00713B55" w:rsidRDefault="00713B55" w:rsidP="00167A90">
      <w:pPr>
        <w:spacing w:after="0" w:line="240" w:lineRule="auto"/>
        <w:ind w:firstLine="709"/>
        <w:contextualSpacing/>
        <w:jc w:val="both"/>
        <w:rPr>
          <w:rFonts w:cs="Times New Roman"/>
          <w:b/>
          <w:szCs w:val="28"/>
        </w:rPr>
      </w:pPr>
    </w:p>
    <w:p w14:paraId="0615EC72" w14:textId="77777777" w:rsidR="00713B55" w:rsidRDefault="00713B55" w:rsidP="00167A90">
      <w:pPr>
        <w:spacing w:after="0" w:line="240" w:lineRule="auto"/>
        <w:ind w:firstLine="709"/>
        <w:contextualSpacing/>
        <w:jc w:val="both"/>
        <w:rPr>
          <w:rFonts w:cs="Times New Roman"/>
          <w:b/>
          <w:szCs w:val="28"/>
        </w:rPr>
      </w:pPr>
    </w:p>
    <w:p w14:paraId="121C8977" w14:textId="77777777" w:rsidR="00713B55" w:rsidRDefault="00713B55" w:rsidP="00167A90">
      <w:pPr>
        <w:spacing w:after="0" w:line="240" w:lineRule="auto"/>
        <w:ind w:firstLine="709"/>
        <w:contextualSpacing/>
        <w:jc w:val="both"/>
        <w:rPr>
          <w:rFonts w:cs="Times New Roman"/>
          <w:b/>
          <w:szCs w:val="28"/>
        </w:rPr>
      </w:pPr>
    </w:p>
    <w:p w14:paraId="6BD2489C" w14:textId="77777777" w:rsidR="00713B55" w:rsidRDefault="00713B55" w:rsidP="00167A90">
      <w:pPr>
        <w:spacing w:after="0" w:line="240" w:lineRule="auto"/>
        <w:ind w:firstLine="709"/>
        <w:contextualSpacing/>
        <w:jc w:val="both"/>
        <w:rPr>
          <w:rFonts w:cs="Times New Roman"/>
          <w:b/>
          <w:szCs w:val="28"/>
        </w:rPr>
      </w:pPr>
    </w:p>
    <w:p w14:paraId="7D387337" w14:textId="77777777" w:rsidR="00713B55" w:rsidRDefault="00713B55" w:rsidP="00167A90">
      <w:pPr>
        <w:spacing w:after="0" w:line="240" w:lineRule="auto"/>
        <w:ind w:firstLine="709"/>
        <w:contextualSpacing/>
        <w:jc w:val="both"/>
        <w:rPr>
          <w:rFonts w:cs="Times New Roman"/>
          <w:b/>
          <w:szCs w:val="28"/>
        </w:rPr>
      </w:pPr>
    </w:p>
    <w:p w14:paraId="79A9106B" w14:textId="77777777" w:rsidR="00713B55" w:rsidRDefault="00713B55" w:rsidP="00167A90">
      <w:pPr>
        <w:spacing w:after="0" w:line="240" w:lineRule="auto"/>
        <w:ind w:firstLine="709"/>
        <w:contextualSpacing/>
        <w:jc w:val="both"/>
        <w:rPr>
          <w:rFonts w:cs="Times New Roman"/>
          <w:b/>
          <w:szCs w:val="28"/>
        </w:rPr>
      </w:pPr>
    </w:p>
    <w:p w14:paraId="65E7DA6C" w14:textId="77777777" w:rsidR="00713B55" w:rsidRDefault="00713B55" w:rsidP="00167A90">
      <w:pPr>
        <w:spacing w:after="0" w:line="240" w:lineRule="auto"/>
        <w:ind w:firstLine="709"/>
        <w:contextualSpacing/>
        <w:jc w:val="both"/>
        <w:rPr>
          <w:rFonts w:cs="Times New Roman"/>
          <w:b/>
          <w:szCs w:val="28"/>
        </w:rPr>
      </w:pPr>
    </w:p>
    <w:p w14:paraId="0AB33D53" w14:textId="77777777" w:rsidR="00713B55" w:rsidRDefault="00713B55" w:rsidP="00167A90">
      <w:pPr>
        <w:spacing w:after="0" w:line="240" w:lineRule="auto"/>
        <w:ind w:firstLine="709"/>
        <w:contextualSpacing/>
        <w:jc w:val="both"/>
        <w:rPr>
          <w:rFonts w:cs="Times New Roman"/>
          <w:b/>
          <w:szCs w:val="28"/>
        </w:rPr>
      </w:pPr>
    </w:p>
    <w:p w14:paraId="194455B2" w14:textId="77777777" w:rsidR="00713B55" w:rsidRDefault="00713B55" w:rsidP="00167A90">
      <w:pPr>
        <w:spacing w:after="0" w:line="240" w:lineRule="auto"/>
        <w:ind w:firstLine="709"/>
        <w:contextualSpacing/>
        <w:jc w:val="both"/>
        <w:rPr>
          <w:rFonts w:cs="Times New Roman"/>
          <w:b/>
          <w:szCs w:val="28"/>
        </w:rPr>
      </w:pPr>
    </w:p>
    <w:p w14:paraId="6D985E82" w14:textId="77777777" w:rsidR="00713B55" w:rsidRDefault="00713B55" w:rsidP="00167A90">
      <w:pPr>
        <w:spacing w:after="0" w:line="240" w:lineRule="auto"/>
        <w:ind w:firstLine="709"/>
        <w:contextualSpacing/>
        <w:jc w:val="both"/>
        <w:rPr>
          <w:rFonts w:cs="Times New Roman"/>
          <w:b/>
          <w:szCs w:val="28"/>
        </w:rPr>
      </w:pPr>
    </w:p>
    <w:p w14:paraId="096EA10F" w14:textId="77777777" w:rsidR="00713B55" w:rsidRDefault="00713B55" w:rsidP="00167A90">
      <w:pPr>
        <w:spacing w:after="0" w:line="240" w:lineRule="auto"/>
        <w:ind w:firstLine="709"/>
        <w:contextualSpacing/>
        <w:jc w:val="both"/>
        <w:rPr>
          <w:rFonts w:cs="Times New Roman"/>
          <w:b/>
          <w:szCs w:val="28"/>
        </w:rPr>
      </w:pPr>
    </w:p>
    <w:p w14:paraId="74256B47" w14:textId="77777777" w:rsidR="00713B55" w:rsidRDefault="00713B55" w:rsidP="00167A90">
      <w:pPr>
        <w:spacing w:after="0" w:line="240" w:lineRule="auto"/>
        <w:ind w:firstLine="709"/>
        <w:contextualSpacing/>
        <w:jc w:val="both"/>
        <w:rPr>
          <w:rFonts w:cs="Times New Roman"/>
          <w:b/>
          <w:szCs w:val="28"/>
        </w:rPr>
      </w:pPr>
    </w:p>
    <w:p w14:paraId="5A9170C9" w14:textId="77777777" w:rsidR="00713B55" w:rsidRDefault="00713B55" w:rsidP="00167A90">
      <w:pPr>
        <w:spacing w:after="0" w:line="240" w:lineRule="auto"/>
        <w:ind w:firstLine="709"/>
        <w:contextualSpacing/>
        <w:jc w:val="both"/>
        <w:rPr>
          <w:rFonts w:cs="Times New Roman"/>
          <w:b/>
          <w:szCs w:val="28"/>
        </w:rPr>
      </w:pPr>
    </w:p>
    <w:p w14:paraId="18A0C1BD" w14:textId="77777777" w:rsidR="00713B55" w:rsidRDefault="00713B55" w:rsidP="00167A90">
      <w:pPr>
        <w:spacing w:after="0" w:line="240" w:lineRule="auto"/>
        <w:ind w:firstLine="709"/>
        <w:contextualSpacing/>
        <w:jc w:val="both"/>
        <w:rPr>
          <w:rFonts w:cs="Times New Roman"/>
          <w:b/>
          <w:szCs w:val="28"/>
        </w:rPr>
      </w:pPr>
    </w:p>
    <w:p w14:paraId="6A3526A8" w14:textId="77777777" w:rsidR="00713B55" w:rsidRDefault="00713B55" w:rsidP="00167A90">
      <w:pPr>
        <w:spacing w:after="0" w:line="240" w:lineRule="auto"/>
        <w:ind w:firstLine="709"/>
        <w:contextualSpacing/>
        <w:jc w:val="both"/>
        <w:rPr>
          <w:rFonts w:cs="Times New Roman"/>
          <w:b/>
          <w:szCs w:val="28"/>
        </w:rPr>
      </w:pPr>
    </w:p>
    <w:p w14:paraId="1418E150" w14:textId="77777777" w:rsidR="00713B55" w:rsidRDefault="00713B55" w:rsidP="00167A90">
      <w:pPr>
        <w:spacing w:after="0" w:line="240" w:lineRule="auto"/>
        <w:ind w:firstLine="709"/>
        <w:contextualSpacing/>
        <w:jc w:val="both"/>
        <w:rPr>
          <w:rFonts w:cs="Times New Roman"/>
          <w:b/>
          <w:szCs w:val="28"/>
        </w:rPr>
      </w:pPr>
    </w:p>
    <w:p w14:paraId="19886B38" w14:textId="77777777" w:rsidR="00713B55" w:rsidRPr="002B136D" w:rsidRDefault="00713B55" w:rsidP="00167A90">
      <w:pPr>
        <w:spacing w:after="0" w:line="240" w:lineRule="auto"/>
        <w:ind w:firstLine="709"/>
        <w:contextualSpacing/>
        <w:jc w:val="both"/>
        <w:rPr>
          <w:rFonts w:cs="Times New Roman"/>
          <w:b/>
          <w:szCs w:val="28"/>
        </w:rPr>
      </w:pPr>
    </w:p>
    <w:p w14:paraId="695F35ED" w14:textId="77777777" w:rsidR="00E23B25" w:rsidRPr="002B136D" w:rsidRDefault="00E23B25" w:rsidP="00167A90">
      <w:pPr>
        <w:spacing w:after="0" w:line="240" w:lineRule="auto"/>
        <w:ind w:firstLine="709"/>
        <w:contextualSpacing/>
        <w:jc w:val="both"/>
        <w:rPr>
          <w:rFonts w:cs="Times New Roman"/>
          <w:b/>
          <w:szCs w:val="28"/>
        </w:rPr>
      </w:pPr>
    </w:p>
    <w:p w14:paraId="04A4C0F5" w14:textId="77777777" w:rsidR="00E23B25" w:rsidRPr="002B136D" w:rsidRDefault="00E23B25" w:rsidP="00167A90">
      <w:pPr>
        <w:spacing w:after="0" w:line="240" w:lineRule="auto"/>
        <w:ind w:firstLine="709"/>
        <w:contextualSpacing/>
        <w:jc w:val="both"/>
        <w:rPr>
          <w:rFonts w:cs="Times New Roman"/>
          <w:b/>
          <w:szCs w:val="28"/>
        </w:rPr>
      </w:pPr>
    </w:p>
    <w:p w14:paraId="3F8B3425" w14:textId="77777777" w:rsidR="00E23B25" w:rsidRPr="002B136D" w:rsidRDefault="00E23B25" w:rsidP="00167A90">
      <w:pPr>
        <w:spacing w:after="0" w:line="240" w:lineRule="auto"/>
        <w:ind w:firstLine="709"/>
        <w:contextualSpacing/>
        <w:jc w:val="both"/>
        <w:rPr>
          <w:rFonts w:cs="Times New Roman"/>
          <w:b/>
          <w:szCs w:val="28"/>
        </w:rPr>
      </w:pPr>
    </w:p>
    <w:p w14:paraId="5A5C51AC" w14:textId="77777777" w:rsidR="00E23B25" w:rsidRPr="002B136D" w:rsidRDefault="00E23B25" w:rsidP="00167A90">
      <w:pPr>
        <w:spacing w:after="0" w:line="240" w:lineRule="auto"/>
        <w:ind w:firstLine="709"/>
        <w:contextualSpacing/>
        <w:jc w:val="both"/>
        <w:rPr>
          <w:rFonts w:cs="Times New Roman"/>
          <w:b/>
          <w:szCs w:val="28"/>
        </w:rPr>
      </w:pPr>
    </w:p>
    <w:p w14:paraId="22B61259" w14:textId="77777777" w:rsidR="00E23B25" w:rsidRPr="002B136D" w:rsidRDefault="00E23B25" w:rsidP="00167A90">
      <w:pPr>
        <w:spacing w:after="0" w:line="240" w:lineRule="auto"/>
        <w:ind w:firstLine="709"/>
        <w:contextualSpacing/>
        <w:jc w:val="both"/>
        <w:rPr>
          <w:rFonts w:cs="Times New Roman"/>
          <w:b/>
          <w:szCs w:val="28"/>
        </w:rPr>
      </w:pPr>
    </w:p>
    <w:p w14:paraId="3DEA9229" w14:textId="77777777" w:rsidR="00E23B25" w:rsidRPr="002B136D" w:rsidRDefault="00E23B25" w:rsidP="00167A90">
      <w:pPr>
        <w:spacing w:after="0" w:line="240" w:lineRule="auto"/>
        <w:ind w:firstLine="709"/>
        <w:contextualSpacing/>
        <w:jc w:val="both"/>
        <w:rPr>
          <w:rFonts w:cs="Times New Roman"/>
          <w:b/>
          <w:szCs w:val="28"/>
        </w:rPr>
      </w:pPr>
    </w:p>
    <w:p w14:paraId="6AF600B7" w14:textId="77777777" w:rsidR="00E23B25" w:rsidRPr="002B136D" w:rsidRDefault="00E23B25" w:rsidP="00167A90">
      <w:pPr>
        <w:spacing w:after="0" w:line="240" w:lineRule="auto"/>
        <w:ind w:firstLine="709"/>
        <w:contextualSpacing/>
        <w:jc w:val="both"/>
        <w:rPr>
          <w:rFonts w:cs="Times New Roman"/>
          <w:b/>
          <w:szCs w:val="28"/>
        </w:rPr>
      </w:pPr>
    </w:p>
    <w:p w14:paraId="049875FD" w14:textId="0C641ACE" w:rsidR="00B633A7" w:rsidRPr="002B136D" w:rsidRDefault="00B633A7" w:rsidP="002B136D">
      <w:pPr>
        <w:spacing w:after="0" w:line="240" w:lineRule="auto"/>
        <w:ind w:firstLine="567"/>
        <w:contextualSpacing/>
        <w:jc w:val="both"/>
        <w:rPr>
          <w:rFonts w:cs="Times New Roman"/>
          <w:b/>
          <w:szCs w:val="28"/>
          <w:lang w:val="kk-KZ"/>
        </w:rPr>
      </w:pPr>
      <w:r w:rsidRPr="002B136D">
        <w:rPr>
          <w:rFonts w:cs="Times New Roman"/>
          <w:b/>
          <w:szCs w:val="28"/>
        </w:rPr>
        <w:lastRenderedPageBreak/>
        <w:t xml:space="preserve">1 КЛИНИЧЕСКИЕ И ИММУНОГЕНЕТИЧЕСКИЕ АСПЕКТЫ ЭНДОКРИННОЙ ОФТАЛЬМОПАТИИ </w:t>
      </w:r>
      <w:r w:rsidR="00AB7EA5" w:rsidRPr="002B136D">
        <w:rPr>
          <w:rFonts w:cs="Times New Roman"/>
          <w:b/>
          <w:szCs w:val="28"/>
        </w:rPr>
        <w:t>(обзор литературы)</w:t>
      </w:r>
    </w:p>
    <w:p w14:paraId="021B9784" w14:textId="77777777" w:rsidR="00FC1A05" w:rsidRPr="002B136D" w:rsidRDefault="00FC1A05" w:rsidP="002B136D">
      <w:pPr>
        <w:spacing w:after="0" w:line="240" w:lineRule="auto"/>
        <w:ind w:firstLine="567"/>
        <w:contextualSpacing/>
        <w:jc w:val="both"/>
        <w:rPr>
          <w:rFonts w:cs="Times New Roman"/>
          <w:b/>
          <w:szCs w:val="28"/>
          <w:lang w:val="kk-KZ"/>
        </w:rPr>
      </w:pPr>
    </w:p>
    <w:p w14:paraId="5675BD62" w14:textId="67F31252" w:rsidR="00491D06" w:rsidRPr="002B136D" w:rsidRDefault="00491D06" w:rsidP="002B136D">
      <w:pPr>
        <w:spacing w:after="0" w:line="240" w:lineRule="auto"/>
        <w:ind w:firstLine="567"/>
        <w:contextualSpacing/>
        <w:jc w:val="both"/>
        <w:rPr>
          <w:rFonts w:cs="Times New Roman"/>
          <w:b/>
          <w:szCs w:val="28"/>
        </w:rPr>
      </w:pPr>
      <w:proofErr w:type="gramStart"/>
      <w:r w:rsidRPr="002B136D">
        <w:rPr>
          <w:rFonts w:cs="Times New Roman"/>
          <w:b/>
          <w:szCs w:val="28"/>
        </w:rPr>
        <w:t>1.1 Эп</w:t>
      </w:r>
      <w:r w:rsidR="00C903D7" w:rsidRPr="002B136D">
        <w:rPr>
          <w:rFonts w:cs="Times New Roman"/>
          <w:b/>
          <w:szCs w:val="28"/>
        </w:rPr>
        <w:t>идемиологические особенности эндокринной офтальмопатии</w:t>
      </w:r>
      <w:proofErr w:type="gramEnd"/>
    </w:p>
    <w:p w14:paraId="1970412F" w14:textId="15869C70" w:rsidR="00D51D40" w:rsidRDefault="00DD4244" w:rsidP="002B136D">
      <w:pPr>
        <w:spacing w:after="0" w:line="240" w:lineRule="auto"/>
        <w:ind w:firstLine="567"/>
        <w:contextualSpacing/>
        <w:jc w:val="both"/>
        <w:rPr>
          <w:rFonts w:cs="Times New Roman"/>
          <w:szCs w:val="28"/>
        </w:rPr>
      </w:pPr>
      <w:r w:rsidRPr="002B136D">
        <w:rPr>
          <w:rFonts w:cs="Times New Roman"/>
          <w:szCs w:val="28"/>
        </w:rPr>
        <w:t>Э</w:t>
      </w:r>
      <w:r w:rsidR="00B0686C">
        <w:rPr>
          <w:rFonts w:cs="Times New Roman"/>
          <w:szCs w:val="28"/>
        </w:rPr>
        <w:t>ндокринная офтальмопатия (ЭОП) –</w:t>
      </w:r>
      <w:r w:rsidR="00CD2E9B" w:rsidRPr="002B136D">
        <w:rPr>
          <w:rFonts w:cs="Times New Roman"/>
          <w:szCs w:val="28"/>
        </w:rPr>
        <w:t xml:space="preserve"> </w:t>
      </w:r>
      <w:r w:rsidR="001E618B" w:rsidRPr="002B136D">
        <w:rPr>
          <w:rFonts w:cs="Times New Roman"/>
          <w:szCs w:val="28"/>
        </w:rPr>
        <w:t>является аутоиммунным</w:t>
      </w:r>
      <w:r w:rsidRPr="002B136D">
        <w:rPr>
          <w:rFonts w:cs="Times New Roman"/>
          <w:szCs w:val="28"/>
        </w:rPr>
        <w:t xml:space="preserve"> заболеванием,</w:t>
      </w:r>
      <w:r w:rsidR="00D77B6D" w:rsidRPr="002B136D">
        <w:rPr>
          <w:rFonts w:cs="Times New Roman"/>
          <w:szCs w:val="28"/>
        </w:rPr>
        <w:t xml:space="preserve"> </w:t>
      </w:r>
      <w:r w:rsidR="00E75194" w:rsidRPr="002B136D">
        <w:rPr>
          <w:rFonts w:cs="Times New Roman"/>
          <w:szCs w:val="28"/>
        </w:rPr>
        <w:t>затрагивающим</w:t>
      </w:r>
      <w:r w:rsidR="00883BD8" w:rsidRPr="002B136D">
        <w:rPr>
          <w:rFonts w:cs="Times New Roman"/>
          <w:szCs w:val="28"/>
        </w:rPr>
        <w:t xml:space="preserve"> ретробульбарную</w:t>
      </w:r>
      <w:r w:rsidR="00D77B6D" w:rsidRPr="002B136D">
        <w:rPr>
          <w:rFonts w:cs="Times New Roman"/>
          <w:szCs w:val="28"/>
        </w:rPr>
        <w:t xml:space="preserve"> </w:t>
      </w:r>
      <w:r w:rsidRPr="002B136D">
        <w:rPr>
          <w:rFonts w:cs="Times New Roman"/>
          <w:szCs w:val="28"/>
        </w:rPr>
        <w:t>клетчатку</w:t>
      </w:r>
      <w:r w:rsidR="00D77B6D" w:rsidRPr="002B136D">
        <w:rPr>
          <w:rFonts w:cs="Times New Roman"/>
          <w:szCs w:val="28"/>
        </w:rPr>
        <w:t xml:space="preserve"> </w:t>
      </w:r>
      <w:r w:rsidRPr="002B136D">
        <w:rPr>
          <w:rFonts w:cs="Times New Roman"/>
          <w:szCs w:val="28"/>
        </w:rPr>
        <w:t>и</w:t>
      </w:r>
      <w:r w:rsidR="00D77B6D" w:rsidRPr="002B136D">
        <w:rPr>
          <w:rFonts w:cs="Times New Roman"/>
          <w:szCs w:val="28"/>
        </w:rPr>
        <w:t xml:space="preserve"> </w:t>
      </w:r>
      <w:r w:rsidRPr="002B136D">
        <w:rPr>
          <w:rFonts w:cs="Times New Roman"/>
          <w:szCs w:val="28"/>
        </w:rPr>
        <w:t>экстраокулярные</w:t>
      </w:r>
      <w:r w:rsidR="00D77B6D" w:rsidRPr="002B136D">
        <w:rPr>
          <w:rFonts w:cs="Times New Roman"/>
          <w:szCs w:val="28"/>
        </w:rPr>
        <w:t xml:space="preserve"> </w:t>
      </w:r>
      <w:r w:rsidRPr="002B136D">
        <w:rPr>
          <w:rFonts w:cs="Times New Roman"/>
          <w:szCs w:val="28"/>
        </w:rPr>
        <w:t>мышцы, которые</w:t>
      </w:r>
      <w:r w:rsidR="00D77B6D" w:rsidRPr="002B136D">
        <w:rPr>
          <w:rFonts w:cs="Times New Roman"/>
          <w:szCs w:val="28"/>
        </w:rPr>
        <w:t xml:space="preserve"> </w:t>
      </w:r>
      <w:r w:rsidRPr="002B136D">
        <w:rPr>
          <w:rFonts w:cs="Times New Roman"/>
          <w:szCs w:val="28"/>
        </w:rPr>
        <w:t>имеют</w:t>
      </w:r>
      <w:r w:rsidR="00D77B6D" w:rsidRPr="002B136D">
        <w:rPr>
          <w:rFonts w:cs="Times New Roman"/>
          <w:szCs w:val="28"/>
        </w:rPr>
        <w:t xml:space="preserve"> </w:t>
      </w:r>
      <w:r w:rsidRPr="002B136D">
        <w:rPr>
          <w:rFonts w:cs="Times New Roman"/>
          <w:szCs w:val="28"/>
        </w:rPr>
        <w:t>тесную</w:t>
      </w:r>
      <w:r w:rsidR="00D77B6D" w:rsidRPr="002B136D">
        <w:rPr>
          <w:rFonts w:cs="Times New Roman"/>
          <w:szCs w:val="28"/>
        </w:rPr>
        <w:t xml:space="preserve"> </w:t>
      </w:r>
      <w:r w:rsidRPr="002B136D">
        <w:rPr>
          <w:rFonts w:cs="Times New Roman"/>
          <w:szCs w:val="28"/>
        </w:rPr>
        <w:t>связь с</w:t>
      </w:r>
      <w:r w:rsidR="00D77B6D" w:rsidRPr="002B136D">
        <w:rPr>
          <w:rFonts w:cs="Times New Roman"/>
          <w:szCs w:val="28"/>
        </w:rPr>
        <w:t xml:space="preserve"> </w:t>
      </w:r>
      <w:r w:rsidRPr="002B136D">
        <w:rPr>
          <w:rFonts w:cs="Times New Roman"/>
          <w:szCs w:val="28"/>
        </w:rPr>
        <w:t>аномальной секрецией</w:t>
      </w:r>
      <w:r w:rsidR="00D77B6D" w:rsidRPr="002B136D">
        <w:rPr>
          <w:rFonts w:cs="Times New Roman"/>
          <w:szCs w:val="28"/>
        </w:rPr>
        <w:t xml:space="preserve"> </w:t>
      </w:r>
      <w:r w:rsidRPr="002B136D">
        <w:rPr>
          <w:rFonts w:cs="Times New Roman"/>
          <w:szCs w:val="28"/>
        </w:rPr>
        <w:t>воспалительных</w:t>
      </w:r>
      <w:r w:rsidR="00D77B6D" w:rsidRPr="002B136D">
        <w:rPr>
          <w:rFonts w:cs="Times New Roman"/>
          <w:szCs w:val="28"/>
        </w:rPr>
        <w:t xml:space="preserve"> </w:t>
      </w:r>
      <w:r w:rsidRPr="002B136D">
        <w:rPr>
          <w:rFonts w:cs="Times New Roman"/>
          <w:szCs w:val="28"/>
        </w:rPr>
        <w:t>цитокинов,</w:t>
      </w:r>
      <w:r w:rsidR="00D77B6D" w:rsidRPr="002B136D">
        <w:rPr>
          <w:rFonts w:cs="Times New Roman"/>
          <w:szCs w:val="28"/>
        </w:rPr>
        <w:t xml:space="preserve"> </w:t>
      </w:r>
      <w:r w:rsidRPr="002B136D">
        <w:rPr>
          <w:rFonts w:cs="Times New Roman"/>
          <w:szCs w:val="28"/>
        </w:rPr>
        <w:t>инфильтрацией</w:t>
      </w:r>
      <w:r w:rsidR="00D77B6D" w:rsidRPr="002B136D">
        <w:rPr>
          <w:rFonts w:cs="Times New Roman"/>
          <w:szCs w:val="28"/>
        </w:rPr>
        <w:t xml:space="preserve"> </w:t>
      </w:r>
      <w:proofErr w:type="gramStart"/>
      <w:r w:rsidRPr="002B136D">
        <w:rPr>
          <w:rFonts w:cs="Times New Roman"/>
          <w:szCs w:val="28"/>
        </w:rPr>
        <w:t>Т-</w:t>
      </w:r>
      <w:proofErr w:type="gramEnd"/>
      <w:r w:rsidRPr="002B136D">
        <w:rPr>
          <w:rFonts w:cs="Times New Roman"/>
          <w:szCs w:val="28"/>
        </w:rPr>
        <w:t xml:space="preserve"> </w:t>
      </w:r>
      <w:r w:rsidR="007D0314" w:rsidRPr="002B136D">
        <w:rPr>
          <w:rFonts w:cs="Times New Roman"/>
          <w:szCs w:val="28"/>
        </w:rPr>
        <w:t>лимфоцитов</w:t>
      </w:r>
      <w:r w:rsidR="00D77B6D" w:rsidRPr="002B136D">
        <w:rPr>
          <w:rFonts w:cs="Times New Roman"/>
          <w:szCs w:val="28"/>
        </w:rPr>
        <w:t xml:space="preserve"> </w:t>
      </w:r>
      <w:r w:rsidRPr="002B136D">
        <w:rPr>
          <w:rFonts w:cs="Times New Roman"/>
          <w:szCs w:val="28"/>
        </w:rPr>
        <w:t xml:space="preserve">и </w:t>
      </w:r>
      <w:r w:rsidR="00883BD8" w:rsidRPr="002B136D">
        <w:rPr>
          <w:rFonts w:cs="Times New Roman"/>
          <w:szCs w:val="28"/>
        </w:rPr>
        <w:t>глико</w:t>
      </w:r>
      <w:r w:rsidRPr="002B136D">
        <w:rPr>
          <w:rFonts w:cs="Times New Roman"/>
          <w:szCs w:val="28"/>
        </w:rPr>
        <w:t>замингликанов,</w:t>
      </w:r>
      <w:r w:rsidR="00D77B6D" w:rsidRPr="002B136D">
        <w:rPr>
          <w:rFonts w:cs="Times New Roman"/>
          <w:szCs w:val="28"/>
        </w:rPr>
        <w:t xml:space="preserve"> </w:t>
      </w:r>
      <w:r w:rsidRPr="002B136D">
        <w:rPr>
          <w:rFonts w:cs="Times New Roman"/>
          <w:szCs w:val="28"/>
        </w:rPr>
        <w:t>приводящих</w:t>
      </w:r>
      <w:r w:rsidR="00D77B6D" w:rsidRPr="002B136D">
        <w:rPr>
          <w:rFonts w:cs="Times New Roman"/>
          <w:szCs w:val="28"/>
        </w:rPr>
        <w:t xml:space="preserve"> </w:t>
      </w:r>
      <w:r w:rsidRPr="002B136D">
        <w:rPr>
          <w:rFonts w:cs="Times New Roman"/>
          <w:szCs w:val="28"/>
        </w:rPr>
        <w:t>к</w:t>
      </w:r>
      <w:r w:rsidR="00D77B6D" w:rsidRPr="002B136D">
        <w:rPr>
          <w:rFonts w:cs="Times New Roman"/>
          <w:szCs w:val="28"/>
        </w:rPr>
        <w:t xml:space="preserve"> </w:t>
      </w:r>
      <w:r w:rsidRPr="002B136D">
        <w:rPr>
          <w:rFonts w:cs="Times New Roman"/>
          <w:szCs w:val="28"/>
        </w:rPr>
        <w:t>неоадипогенезу и</w:t>
      </w:r>
      <w:r w:rsidR="00A8016A" w:rsidRPr="002B136D">
        <w:rPr>
          <w:rFonts w:cs="Times New Roman"/>
          <w:szCs w:val="28"/>
        </w:rPr>
        <w:t xml:space="preserve"> фиброзу глазодвигательных мышц </w:t>
      </w:r>
      <w:r w:rsidR="00A8016A" w:rsidRPr="002B136D">
        <w:rPr>
          <w:rFonts w:cs="Times New Roman"/>
          <w:szCs w:val="28"/>
        </w:rPr>
        <w:fldChar w:fldCharType="begin"/>
      </w:r>
      <w:r w:rsidR="00A6759A" w:rsidRPr="002B136D">
        <w:rPr>
          <w:rFonts w:cs="Times New Roman"/>
          <w:szCs w:val="28"/>
        </w:rPr>
        <w:instrText xml:space="preserve"> ADDIN ZOTERO_ITEM CSL_CITATION {"citationID":"45hwg4WS","properties":{"formattedCitation":"[25]","plainCitation":"[25]","noteIndex":0},"citationItems":[{"id":264,"uris":["http://zotero.org/users/8237658/items/UQWAF4ML"],"itemData":{"id":264,"type":"book","title":"Bartalena L, Baldeschi L, Boboridis K, et al. The 2016 European Thyroid Association/European Group on Graves’ Orbitopathy Guidelines for the Management of Graves’ Orbitopathy. Eur Thyroid J. 2016;5(1):9-26. doi: https://doi.org/10.1159/000443828."}}],"schema":"https://github.com/citation-style-language/schema/raw/master/csl-citation.json"} </w:instrText>
      </w:r>
      <w:r w:rsidR="00A8016A" w:rsidRPr="002B136D">
        <w:rPr>
          <w:rFonts w:cs="Times New Roman"/>
          <w:szCs w:val="28"/>
        </w:rPr>
        <w:fldChar w:fldCharType="separate"/>
      </w:r>
      <w:r w:rsidR="00A6759A" w:rsidRPr="002B136D">
        <w:rPr>
          <w:rFonts w:cs="Times New Roman"/>
        </w:rPr>
        <w:t>[25]</w:t>
      </w:r>
      <w:r w:rsidR="00A8016A" w:rsidRPr="002B136D">
        <w:rPr>
          <w:rFonts w:cs="Times New Roman"/>
          <w:szCs w:val="28"/>
        </w:rPr>
        <w:fldChar w:fldCharType="end"/>
      </w:r>
      <w:r w:rsidR="00A8016A" w:rsidRPr="002B136D">
        <w:rPr>
          <w:rFonts w:cs="Times New Roman"/>
          <w:szCs w:val="28"/>
        </w:rPr>
        <w:t>.</w:t>
      </w:r>
    </w:p>
    <w:p w14:paraId="7DEF30A4" w14:textId="09D3B26A" w:rsidR="007C5CEA" w:rsidRPr="002B136D" w:rsidRDefault="009D4D41" w:rsidP="002B136D">
      <w:pPr>
        <w:spacing w:after="0" w:line="240" w:lineRule="auto"/>
        <w:ind w:firstLine="567"/>
        <w:contextualSpacing/>
        <w:jc w:val="both"/>
        <w:rPr>
          <w:rFonts w:cs="Times New Roman"/>
          <w:szCs w:val="28"/>
        </w:rPr>
      </w:pPr>
      <w:r w:rsidRPr="002B136D">
        <w:rPr>
          <w:rFonts w:cs="Times New Roman"/>
          <w:szCs w:val="28"/>
        </w:rPr>
        <w:t>Главным стимулятором развития ЭОП является анти</w:t>
      </w:r>
      <w:r w:rsidR="002D4967" w:rsidRPr="002B136D">
        <w:rPr>
          <w:rFonts w:cs="Times New Roman"/>
          <w:szCs w:val="28"/>
        </w:rPr>
        <w:t>тела к рецептору ТТГ (анти</w:t>
      </w:r>
      <w:r w:rsidRPr="002B136D">
        <w:rPr>
          <w:rFonts w:cs="Times New Roman"/>
          <w:szCs w:val="28"/>
        </w:rPr>
        <w:t>-рТТГ</w:t>
      </w:r>
      <w:r w:rsidR="002D4967" w:rsidRPr="002B136D">
        <w:rPr>
          <w:rFonts w:cs="Times New Roman"/>
          <w:szCs w:val="28"/>
        </w:rPr>
        <w:t>)</w:t>
      </w:r>
      <w:r w:rsidRPr="002B136D">
        <w:rPr>
          <w:rFonts w:cs="Times New Roman"/>
          <w:szCs w:val="28"/>
        </w:rPr>
        <w:t>, продуцируемыми иммунными</w:t>
      </w:r>
      <w:r w:rsidR="00D77B6D" w:rsidRPr="002B136D">
        <w:rPr>
          <w:rFonts w:cs="Times New Roman"/>
          <w:szCs w:val="28"/>
        </w:rPr>
        <w:t xml:space="preserve"> </w:t>
      </w:r>
      <w:r w:rsidRPr="002B136D">
        <w:rPr>
          <w:rFonts w:cs="Times New Roman"/>
          <w:szCs w:val="28"/>
        </w:rPr>
        <w:t>клетками к данным рецепторам,</w:t>
      </w:r>
      <w:r w:rsidR="006C5016" w:rsidRPr="002B136D">
        <w:rPr>
          <w:rFonts w:cs="Times New Roman"/>
          <w:szCs w:val="28"/>
        </w:rPr>
        <w:t xml:space="preserve"> которые имеются на поверхности</w:t>
      </w:r>
      <w:r w:rsidRPr="002B136D">
        <w:rPr>
          <w:rFonts w:cs="Times New Roman"/>
          <w:szCs w:val="28"/>
        </w:rPr>
        <w:t xml:space="preserve"> орбитальных </w:t>
      </w:r>
      <w:proofErr w:type="gramStart"/>
      <w:r w:rsidRPr="002B136D">
        <w:rPr>
          <w:rFonts w:cs="Times New Roman"/>
          <w:szCs w:val="28"/>
        </w:rPr>
        <w:t>фибробластов</w:t>
      </w:r>
      <w:proofErr w:type="gramEnd"/>
      <w:r w:rsidRPr="002B136D">
        <w:rPr>
          <w:rFonts w:cs="Times New Roman"/>
          <w:szCs w:val="28"/>
        </w:rPr>
        <w:t xml:space="preserve"> как и на мембране клеток ЩЖ. </w:t>
      </w:r>
      <w:r w:rsidR="00216F09" w:rsidRPr="002B136D">
        <w:rPr>
          <w:rFonts w:cs="Times New Roman"/>
          <w:szCs w:val="28"/>
        </w:rPr>
        <w:t xml:space="preserve">Заболевания ЩЖ занимают второе место среди эндокринных нарушений после сахарного диабета и демонстрируют ежегодный прирост заболеваемости на 5% </w:t>
      </w:r>
      <w:r w:rsidR="004232BE" w:rsidRPr="002B136D">
        <w:rPr>
          <w:rFonts w:cs="Times New Roman"/>
          <w:szCs w:val="28"/>
        </w:rPr>
        <w:fldChar w:fldCharType="begin"/>
      </w:r>
      <w:r w:rsidR="00A6759A" w:rsidRPr="002B136D">
        <w:rPr>
          <w:rFonts w:cs="Times New Roman"/>
          <w:szCs w:val="28"/>
        </w:rPr>
        <w:instrText xml:space="preserve"> ADDIN ZOTERO_ITEM CSL_CITATION {"citationID":"8MSLQrtG","properties":{"formattedCitation":"[26]","plainCitation":"[26]","noteIndex":0},"citationItems":[{"id":622,"uris":["http://zotero.org/users/8237658/items/9M84V6PM"],"itemData":{"id":622,"type":"book","title":"Марковская Н.В.; Скляр Х.А.; Семенова Е.С. Распространенность заболеваний щитовидной железы. Вестник научных конференций. ООО Консалтинговая компания Юком. 2019;11–3:49–50. [Markovskaya N.V.; Sklyar H.A.; Semenova E.S. Prevalence of thyroid diseases. Bull Sci Conference. LLC Consulting Company Yukom. 2019;11–3:49–50. (In Russ.)]."}}],"schema":"https://github.com/citation-style-language/schema/raw/master/csl-citation.json"} </w:instrText>
      </w:r>
      <w:r w:rsidR="004232BE" w:rsidRPr="002B136D">
        <w:rPr>
          <w:rFonts w:cs="Times New Roman"/>
          <w:szCs w:val="28"/>
        </w:rPr>
        <w:fldChar w:fldCharType="separate"/>
      </w:r>
      <w:r w:rsidR="00A6759A" w:rsidRPr="002B136D">
        <w:rPr>
          <w:rFonts w:cs="Times New Roman"/>
        </w:rPr>
        <w:t>[26]</w:t>
      </w:r>
      <w:r w:rsidR="004232BE" w:rsidRPr="002B136D">
        <w:rPr>
          <w:rFonts w:cs="Times New Roman"/>
          <w:szCs w:val="28"/>
        </w:rPr>
        <w:fldChar w:fldCharType="end"/>
      </w:r>
      <w:r w:rsidR="00CB1451" w:rsidRPr="002B136D">
        <w:rPr>
          <w:rFonts w:cs="Times New Roman"/>
          <w:szCs w:val="28"/>
        </w:rPr>
        <w:t>.</w:t>
      </w:r>
    </w:p>
    <w:p w14:paraId="3B9E73FC" w14:textId="48D45EC5" w:rsidR="00D51D40" w:rsidRDefault="00CB1451" w:rsidP="002B136D">
      <w:pPr>
        <w:spacing w:after="0" w:line="240" w:lineRule="auto"/>
        <w:ind w:firstLine="567"/>
        <w:contextualSpacing/>
        <w:jc w:val="both"/>
        <w:rPr>
          <w:rFonts w:cs="Times New Roman"/>
          <w:szCs w:val="28"/>
        </w:rPr>
      </w:pPr>
      <w:r w:rsidRPr="002B136D">
        <w:rPr>
          <w:rFonts w:cs="Times New Roman"/>
          <w:szCs w:val="28"/>
        </w:rPr>
        <w:t xml:space="preserve">В </w:t>
      </w:r>
      <w:r w:rsidR="00E44D3E" w:rsidRPr="002B136D">
        <w:rPr>
          <w:rFonts w:cs="Times New Roman"/>
          <w:szCs w:val="28"/>
          <w:lang w:val="kk-KZ"/>
        </w:rPr>
        <w:t>50</w:t>
      </w:r>
      <w:r w:rsidR="006C5016" w:rsidRPr="002B136D">
        <w:rPr>
          <w:rFonts w:cs="Times New Roman"/>
          <w:szCs w:val="28"/>
        </w:rPr>
        <w:t>% случаях</w:t>
      </w:r>
      <w:r w:rsidRPr="002B136D">
        <w:rPr>
          <w:rFonts w:cs="Times New Roman"/>
          <w:szCs w:val="28"/>
        </w:rPr>
        <w:t xml:space="preserve"> патологи</w:t>
      </w:r>
      <w:r w:rsidR="006C5016" w:rsidRPr="002B136D">
        <w:rPr>
          <w:rFonts w:cs="Times New Roman"/>
          <w:szCs w:val="28"/>
        </w:rPr>
        <w:t>я</w:t>
      </w:r>
      <w:r w:rsidRPr="002B136D">
        <w:rPr>
          <w:rFonts w:cs="Times New Roman"/>
          <w:szCs w:val="28"/>
        </w:rPr>
        <w:t xml:space="preserve"> щитовидной железы </w:t>
      </w:r>
      <w:r w:rsidR="007D0314" w:rsidRPr="002B136D">
        <w:rPr>
          <w:rFonts w:cs="Times New Roman"/>
          <w:szCs w:val="28"/>
        </w:rPr>
        <w:t>протекает с развитием</w:t>
      </w:r>
      <w:r w:rsidRPr="002B136D">
        <w:rPr>
          <w:rFonts w:cs="Times New Roman"/>
          <w:szCs w:val="28"/>
        </w:rPr>
        <w:t xml:space="preserve"> ЭОП. Кроме того,</w:t>
      </w:r>
      <w:r w:rsidR="007D0314" w:rsidRPr="002B136D">
        <w:rPr>
          <w:rFonts w:cs="Times New Roman"/>
          <w:szCs w:val="28"/>
        </w:rPr>
        <w:t xml:space="preserve"> при хронологическом изучении ЭОП у </w:t>
      </w:r>
      <w:r w:rsidR="0038552C" w:rsidRPr="002B136D">
        <w:rPr>
          <w:rFonts w:cs="Times New Roman"/>
          <w:szCs w:val="28"/>
        </w:rPr>
        <w:t>пациентов</w:t>
      </w:r>
      <w:r w:rsidR="007D0314" w:rsidRPr="002B136D">
        <w:rPr>
          <w:rFonts w:cs="Times New Roman"/>
          <w:szCs w:val="28"/>
        </w:rPr>
        <w:t xml:space="preserve"> с дисфункцией ЩЖ, обнаружено, что ЭОП может манифестировать как совместно с патологией ЩЖ, так и до или после постановки диагноза.</w:t>
      </w:r>
      <w:r w:rsidR="00D77B6D" w:rsidRPr="002B136D">
        <w:rPr>
          <w:rFonts w:cs="Times New Roman"/>
          <w:szCs w:val="28"/>
        </w:rPr>
        <w:t xml:space="preserve"> </w:t>
      </w:r>
      <w:r w:rsidR="007D0314" w:rsidRPr="002B136D">
        <w:rPr>
          <w:rFonts w:cs="Times New Roman"/>
          <w:szCs w:val="28"/>
        </w:rPr>
        <w:t xml:space="preserve">Тем самым, </w:t>
      </w:r>
      <w:r w:rsidRPr="002B136D">
        <w:rPr>
          <w:rFonts w:cs="Times New Roman"/>
          <w:szCs w:val="28"/>
        </w:rPr>
        <w:t xml:space="preserve">ЭОП </w:t>
      </w:r>
      <w:r w:rsidR="007D0314" w:rsidRPr="002B136D">
        <w:rPr>
          <w:rFonts w:cs="Times New Roman"/>
          <w:szCs w:val="28"/>
        </w:rPr>
        <w:t xml:space="preserve">может </w:t>
      </w:r>
      <w:r w:rsidR="000402A6" w:rsidRPr="002B136D">
        <w:rPr>
          <w:rFonts w:cs="Times New Roman"/>
          <w:szCs w:val="28"/>
        </w:rPr>
        <w:t>проявля</w:t>
      </w:r>
      <w:r w:rsidR="000402A6" w:rsidRPr="002B136D">
        <w:rPr>
          <w:rFonts w:cs="Times New Roman"/>
          <w:szCs w:val="28"/>
          <w:lang w:val="kk-KZ"/>
        </w:rPr>
        <w:t>ть</w:t>
      </w:r>
      <w:r w:rsidR="006C5016" w:rsidRPr="002B136D">
        <w:rPr>
          <w:rFonts w:cs="Times New Roman"/>
          <w:szCs w:val="28"/>
        </w:rPr>
        <w:t>ся при эутиреоидном состоянии</w:t>
      </w:r>
      <w:r w:rsidRPr="002B136D">
        <w:rPr>
          <w:rFonts w:cs="Times New Roman"/>
          <w:szCs w:val="28"/>
        </w:rPr>
        <w:t xml:space="preserve"> организма, когда </w:t>
      </w:r>
      <w:r w:rsidR="007D0314" w:rsidRPr="002B136D">
        <w:rPr>
          <w:rFonts w:cs="Times New Roman"/>
          <w:szCs w:val="28"/>
        </w:rPr>
        <w:t>в организме функци</w:t>
      </w:r>
      <w:r w:rsidR="006C5016" w:rsidRPr="002B136D">
        <w:rPr>
          <w:rFonts w:cs="Times New Roman"/>
          <w:szCs w:val="28"/>
        </w:rPr>
        <w:t>и</w:t>
      </w:r>
      <w:r w:rsidR="007D0314" w:rsidRPr="002B136D">
        <w:rPr>
          <w:rFonts w:cs="Times New Roman"/>
          <w:szCs w:val="28"/>
        </w:rPr>
        <w:t xml:space="preserve"> </w:t>
      </w:r>
      <w:r w:rsidR="003F080E" w:rsidRPr="002B136D">
        <w:rPr>
          <w:rFonts w:cs="Times New Roman"/>
          <w:szCs w:val="28"/>
        </w:rPr>
        <w:t>данной железы</w:t>
      </w:r>
      <w:r w:rsidR="007D0314" w:rsidRPr="002B136D">
        <w:rPr>
          <w:rFonts w:cs="Times New Roman"/>
          <w:szCs w:val="28"/>
        </w:rPr>
        <w:t xml:space="preserve"> в норме</w:t>
      </w:r>
      <w:r w:rsidR="00D51D40">
        <w:rPr>
          <w:rFonts w:cs="Times New Roman"/>
          <w:szCs w:val="28"/>
        </w:rPr>
        <w:t xml:space="preserve"> </w:t>
      </w:r>
      <w:r w:rsidR="00735D10" w:rsidRPr="002B136D">
        <w:rPr>
          <w:rFonts w:cs="Times New Roman"/>
          <w:szCs w:val="28"/>
        </w:rPr>
        <w:fldChar w:fldCharType="begin"/>
      </w:r>
      <w:r w:rsidR="00A6759A" w:rsidRPr="002B136D">
        <w:rPr>
          <w:rFonts w:cs="Times New Roman"/>
          <w:szCs w:val="28"/>
        </w:rPr>
        <w:instrText xml:space="preserve"> ADDIN ZOTERO_ITEM CSL_CITATION {"citationID":"r44xzLf5","properties":{"formattedCitation":"[27]","plainCitation":"[27]","noteIndex":0},"citationItems":[{"id":619,"uris":["http://zotero.org/users/8237658/items/GWSBFH5Y"],"itemData":{"id":619,"type":"book","title":"Мартиросян, A.С., Петунина, A.А., Трухина, A.В., Саакян, A.В., &amp; Пантелеева, A.Г. (2015). Тактика ведения пациентов с эндокринной офтальмопатией и болезнью Грейвса: результаты опроса врачей-эндокринологов и офтальмологов России. Журнал «Медицинский совет» -2015 г. №7. https://doi.org/10.21518/2079-701X-2015-7-44-47"}}],"schema":"https://github.com/citation-style-language/schema/raw/master/csl-citation.json"} </w:instrText>
      </w:r>
      <w:r w:rsidR="00735D10" w:rsidRPr="002B136D">
        <w:rPr>
          <w:rFonts w:cs="Times New Roman"/>
          <w:szCs w:val="28"/>
        </w:rPr>
        <w:fldChar w:fldCharType="separate"/>
      </w:r>
      <w:r w:rsidR="00A6759A" w:rsidRPr="002B136D">
        <w:rPr>
          <w:rFonts w:cs="Times New Roman"/>
        </w:rPr>
        <w:t>[27]</w:t>
      </w:r>
      <w:r w:rsidR="00735D10" w:rsidRPr="002B136D">
        <w:rPr>
          <w:rFonts w:cs="Times New Roman"/>
          <w:szCs w:val="28"/>
        </w:rPr>
        <w:fldChar w:fldCharType="end"/>
      </w:r>
      <w:r w:rsidR="007D0314" w:rsidRPr="002B136D">
        <w:rPr>
          <w:rFonts w:cs="Times New Roman"/>
          <w:szCs w:val="28"/>
        </w:rPr>
        <w:t xml:space="preserve">. </w:t>
      </w:r>
    </w:p>
    <w:p w14:paraId="5C62E81A" w14:textId="77777777" w:rsidR="00D51D40" w:rsidRDefault="007D0314" w:rsidP="002B136D">
      <w:pPr>
        <w:spacing w:after="0" w:line="240" w:lineRule="auto"/>
        <w:ind w:firstLine="567"/>
        <w:contextualSpacing/>
        <w:jc w:val="both"/>
        <w:rPr>
          <w:rFonts w:cs="Times New Roman"/>
          <w:szCs w:val="28"/>
        </w:rPr>
      </w:pPr>
      <w:r w:rsidRPr="002B136D">
        <w:rPr>
          <w:rFonts w:cs="Times New Roman"/>
          <w:szCs w:val="28"/>
        </w:rPr>
        <w:t xml:space="preserve">Соответственно, данный тип ЭОП </w:t>
      </w:r>
      <w:r w:rsidR="00CB1451" w:rsidRPr="002B136D">
        <w:rPr>
          <w:rFonts w:cs="Times New Roman"/>
          <w:szCs w:val="28"/>
        </w:rPr>
        <w:t>требует ранней дифференциальной диагностики и</w:t>
      </w:r>
      <w:r w:rsidR="00D77B6D" w:rsidRPr="002B136D">
        <w:rPr>
          <w:rFonts w:cs="Times New Roman"/>
          <w:szCs w:val="28"/>
        </w:rPr>
        <w:t xml:space="preserve"> </w:t>
      </w:r>
      <w:r w:rsidR="00CB1451" w:rsidRPr="002B136D">
        <w:rPr>
          <w:rFonts w:cs="Times New Roman"/>
          <w:szCs w:val="28"/>
        </w:rPr>
        <w:t xml:space="preserve">оптимальной терапии. </w:t>
      </w:r>
      <w:r w:rsidR="0041386D" w:rsidRPr="002B136D">
        <w:rPr>
          <w:rFonts w:cs="Times New Roman"/>
          <w:szCs w:val="28"/>
        </w:rPr>
        <w:t>Так как п</w:t>
      </w:r>
      <w:r w:rsidR="00CB1451" w:rsidRPr="002B136D">
        <w:rPr>
          <w:rFonts w:cs="Times New Roman"/>
          <w:szCs w:val="28"/>
        </w:rPr>
        <w:t>о данным эпидемиологического анализа 2014 г.</w:t>
      </w:r>
      <w:r w:rsidR="00415F9F" w:rsidRPr="002B136D">
        <w:rPr>
          <w:rFonts w:cs="Times New Roman"/>
          <w:szCs w:val="28"/>
        </w:rPr>
        <w:t xml:space="preserve"> только в</w:t>
      </w:r>
      <w:r w:rsidR="00CB1451" w:rsidRPr="002B136D">
        <w:rPr>
          <w:rFonts w:cs="Times New Roman"/>
          <w:szCs w:val="28"/>
        </w:rPr>
        <w:t xml:space="preserve"> Восточно-Казахстанской обл</w:t>
      </w:r>
      <w:r w:rsidR="009D4D41" w:rsidRPr="002B136D">
        <w:rPr>
          <w:rFonts w:cs="Times New Roman"/>
          <w:szCs w:val="28"/>
        </w:rPr>
        <w:t>асти</w:t>
      </w:r>
      <w:r w:rsidR="00D77B6D" w:rsidRPr="002B136D">
        <w:rPr>
          <w:rFonts w:cs="Times New Roman"/>
          <w:szCs w:val="28"/>
        </w:rPr>
        <w:t xml:space="preserve"> </w:t>
      </w:r>
      <w:r w:rsidR="009D4D41" w:rsidRPr="002B136D">
        <w:rPr>
          <w:rFonts w:cs="Times New Roman"/>
          <w:szCs w:val="28"/>
        </w:rPr>
        <w:t>38,1% из</w:t>
      </w:r>
      <w:r w:rsidR="0038552C" w:rsidRPr="002B136D">
        <w:rPr>
          <w:rFonts w:cs="Times New Roman"/>
          <w:szCs w:val="28"/>
        </w:rPr>
        <w:t xml:space="preserve"> 4083 пациентам</w:t>
      </w:r>
      <w:r w:rsidR="00CB1451" w:rsidRPr="002B136D">
        <w:rPr>
          <w:rFonts w:cs="Times New Roman"/>
          <w:szCs w:val="28"/>
        </w:rPr>
        <w:t xml:space="preserve"> диагностирован диффузный эутироидный зоб в ходе скрининговых исследовании </w:t>
      </w:r>
      <w:r w:rsidR="00CB1451" w:rsidRPr="002B136D">
        <w:rPr>
          <w:rFonts w:cs="Times New Roman"/>
          <w:szCs w:val="28"/>
        </w:rPr>
        <w:fldChar w:fldCharType="begin"/>
      </w:r>
      <w:r w:rsidR="00A6759A" w:rsidRPr="002B136D">
        <w:rPr>
          <w:rFonts w:cs="Times New Roman"/>
          <w:szCs w:val="28"/>
        </w:rPr>
        <w:instrText xml:space="preserve"> ADDIN ZOTERO_ITEM CSL_CITATION {"citationID":"66RZQNXU","properties":{"formattedCitation":"[28]","plainCitation":"[28]","noteIndex":0},"citationItems":[{"id":227,"uris":["http://zotero.org/users/8237658/items/Q7WAHNUR"],"itemData":{"id":227,"type":"book","title":"М.Ж. Еспенбетова, Ж.К. Заманбекова,  Ж.С. Уватаева,  Г.С. Сарсебаева, А.Т. Шайхина,  Г.К. Сембаева, О.В. Таратутина СОСТОЯНИЕ ЩИТОВИДНОЙ ЖЕЛЕЗЫ У НАСЕЛЕНИЯ РАЙОНОВ, ПРИЛЕГАЮЩИХ К БЫВШЕМУ СЕМИПАЛАТИНСКОМУ ИСПЫТАТЕЛЬНОМУ ЯДЕРНОМУ ПОЛИГОНУ. Наука и здравоохранение, №5, 2014"}}],"schema":"https://github.com/citation-style-language/schema/raw/master/csl-citation.json"} </w:instrText>
      </w:r>
      <w:r w:rsidR="00CB1451" w:rsidRPr="002B136D">
        <w:rPr>
          <w:rFonts w:cs="Times New Roman"/>
          <w:szCs w:val="28"/>
        </w:rPr>
        <w:fldChar w:fldCharType="separate"/>
      </w:r>
      <w:r w:rsidR="00A6759A" w:rsidRPr="002B136D">
        <w:rPr>
          <w:rFonts w:cs="Times New Roman"/>
        </w:rPr>
        <w:t>[28]</w:t>
      </w:r>
      <w:r w:rsidR="00CB1451" w:rsidRPr="002B136D">
        <w:rPr>
          <w:rFonts w:cs="Times New Roman"/>
          <w:szCs w:val="28"/>
        </w:rPr>
        <w:fldChar w:fldCharType="end"/>
      </w:r>
      <w:r w:rsidR="00CB1451" w:rsidRPr="002B136D">
        <w:rPr>
          <w:rFonts w:cs="Times New Roman"/>
          <w:szCs w:val="28"/>
        </w:rPr>
        <w:t>.</w:t>
      </w:r>
      <w:r w:rsidR="004111C4" w:rsidRPr="002B136D">
        <w:rPr>
          <w:rFonts w:cs="Times New Roman"/>
          <w:szCs w:val="28"/>
        </w:rPr>
        <w:t xml:space="preserve"> </w:t>
      </w:r>
    </w:p>
    <w:p w14:paraId="37831639" w14:textId="16447C58" w:rsidR="00015474" w:rsidRPr="002B136D" w:rsidRDefault="004111C4" w:rsidP="002B136D">
      <w:pPr>
        <w:spacing w:after="0" w:line="240" w:lineRule="auto"/>
        <w:ind w:firstLine="567"/>
        <w:contextualSpacing/>
        <w:jc w:val="both"/>
        <w:rPr>
          <w:rFonts w:cs="Times New Roman"/>
          <w:szCs w:val="28"/>
        </w:rPr>
      </w:pPr>
      <w:r w:rsidRPr="002B136D">
        <w:rPr>
          <w:rFonts w:cs="Times New Roman"/>
          <w:szCs w:val="28"/>
        </w:rPr>
        <w:t xml:space="preserve">К сожалению, конкретные обстоятельства, которые вызывают у пациентов с болезнью </w:t>
      </w:r>
      <w:r w:rsidRPr="002B136D">
        <w:rPr>
          <w:rFonts w:cs="Times New Roman"/>
          <w:szCs w:val="28"/>
          <w:lang w:val="kk-KZ"/>
        </w:rPr>
        <w:t xml:space="preserve">ЩЖ </w:t>
      </w:r>
      <w:r w:rsidRPr="002B136D">
        <w:rPr>
          <w:rFonts w:cs="Times New Roman"/>
          <w:szCs w:val="28"/>
        </w:rPr>
        <w:t>развитие орбитопатии, остаются неясными.</w:t>
      </w:r>
      <w:r w:rsidR="00015474" w:rsidRPr="002B136D">
        <w:rPr>
          <w:rFonts w:cs="Times New Roman"/>
          <w:szCs w:val="28"/>
        </w:rPr>
        <w:t xml:space="preserve"> В 2015 году патологии щитовидной железы составили 22,3% всех эндокринных заболеваний в Казахстане </w:t>
      </w:r>
      <w:r w:rsidR="00015474" w:rsidRPr="002B136D">
        <w:rPr>
          <w:rFonts w:cs="Times New Roman"/>
          <w:szCs w:val="28"/>
        </w:rPr>
        <w:fldChar w:fldCharType="begin"/>
      </w:r>
      <w:r w:rsidR="00A6759A" w:rsidRPr="002B136D">
        <w:rPr>
          <w:rFonts w:cs="Times New Roman"/>
          <w:szCs w:val="28"/>
        </w:rPr>
        <w:instrText xml:space="preserve"> ADDIN ZOTERO_ITEM CSL_CITATION {"citationID":"GR0HnFdV","properties":{"formattedCitation":"[29]","plainCitation":"[29]","noteIndex":0},"citationItems":[{"id":596,"uris":["http://zotero.org/users/8237658/items/N3RZD5L3"],"itemData":{"id":596,"type":"book","title":"Еспенбетова М.Ж., Ахметова В.Т., Заманбекова Ж.К., Жуманбаева Ж.М., Крыкпаева А.С., Жаканбаева А.С., Амренова К.Ш. Частота выявляемости аутоиммунных заболевании щитовидной железы в Восточно-Казахстанской области, Астана медициналық журналы №1(103), 2020, MPHTИ 76.33.43+76.03.55 crp-123-l3I"}}],"schema":"https://github.com/citation-style-language/schema/raw/master/csl-citation.json"} </w:instrText>
      </w:r>
      <w:r w:rsidR="00015474" w:rsidRPr="002B136D">
        <w:rPr>
          <w:rFonts w:cs="Times New Roman"/>
          <w:szCs w:val="28"/>
        </w:rPr>
        <w:fldChar w:fldCharType="separate"/>
      </w:r>
      <w:r w:rsidR="00A6759A" w:rsidRPr="002B136D">
        <w:rPr>
          <w:rFonts w:cs="Times New Roman"/>
        </w:rPr>
        <w:t>[29]</w:t>
      </w:r>
      <w:r w:rsidR="00015474" w:rsidRPr="002B136D">
        <w:rPr>
          <w:rFonts w:cs="Times New Roman"/>
          <w:szCs w:val="28"/>
        </w:rPr>
        <w:fldChar w:fldCharType="end"/>
      </w:r>
      <w:r w:rsidR="00015474" w:rsidRPr="002B136D">
        <w:rPr>
          <w:rFonts w:cs="Times New Roman"/>
          <w:szCs w:val="28"/>
        </w:rPr>
        <w:t>.</w:t>
      </w:r>
    </w:p>
    <w:p w14:paraId="3B42BAAF" w14:textId="037D17DB" w:rsidR="00550BDA" w:rsidRPr="002B136D" w:rsidRDefault="005C602B" w:rsidP="002B136D">
      <w:pPr>
        <w:spacing w:after="0" w:line="240" w:lineRule="auto"/>
        <w:ind w:firstLine="567"/>
        <w:contextualSpacing/>
        <w:jc w:val="both"/>
        <w:rPr>
          <w:rFonts w:cs="Times New Roman"/>
          <w:szCs w:val="28"/>
        </w:rPr>
      </w:pPr>
      <w:proofErr w:type="gramStart"/>
      <w:r w:rsidRPr="002B136D">
        <w:rPr>
          <w:rFonts w:cs="Times New Roman"/>
          <w:szCs w:val="28"/>
        </w:rPr>
        <w:t xml:space="preserve">Согласно офтальмологическим данным, ЭОП в 80% случаев развивается при болезни Грейвса, в 10% – при аутоиммунном тиреоидите, и в 10% – у эутиреоидных/гипотиреоидных пациентов или при нормальном уровне тиреоидных гормонов и ТТГ без аутоиммунной патологии в анамнезе </w:t>
      </w:r>
      <w:proofErr w:type="gramEnd"/>
      <w:r w:rsidR="003728F9" w:rsidRPr="002B136D">
        <w:rPr>
          <w:rFonts w:cs="Times New Roman"/>
          <w:szCs w:val="28"/>
        </w:rPr>
        <w:fldChar w:fldCharType="begin"/>
      </w:r>
      <w:r w:rsidR="004B40F7" w:rsidRPr="002B136D">
        <w:rPr>
          <w:rFonts w:cs="Times New Roman"/>
          <w:szCs w:val="28"/>
        </w:rPr>
        <w:instrText xml:space="preserve"> ADDIN ZOTERO_ITEM CSL_CITATION {"citationID":"1lhX3qtP","properties":{"formattedCitation":"[3]","plainCitation":"[3]","noteIndex":0},"citationItems":[{"id":230,"uris":["http://zotero.org/users/8237658/items/72XH5997"],"itemData":{"id":230,"type":"book","title":"Федеральные клинические рекомендации по диагностике и лечению эндокринной офтальмопатии при аутоиммунной патологии щитовидной железы /И. И. Дедов [и др.] // Проблемы эндокринологии. –2015. – № 1 – С. 61-74"}}],"schema":"https://github.com/citation-style-language/schema/raw/master/csl-citation.json"} </w:instrText>
      </w:r>
      <w:r w:rsidR="003728F9" w:rsidRPr="002B136D">
        <w:rPr>
          <w:rFonts w:cs="Times New Roman"/>
          <w:szCs w:val="28"/>
        </w:rPr>
        <w:fldChar w:fldCharType="separate"/>
      </w:r>
      <w:r w:rsidR="004B40F7" w:rsidRPr="002B136D">
        <w:rPr>
          <w:rFonts w:cs="Times New Roman"/>
        </w:rPr>
        <w:t>[3</w:t>
      </w:r>
      <w:r w:rsidR="002932C4">
        <w:rPr>
          <w:rFonts w:cs="Times New Roman"/>
        </w:rPr>
        <w:t>,с. 61</w:t>
      </w:r>
      <w:r w:rsidR="004B40F7" w:rsidRPr="002B136D">
        <w:rPr>
          <w:rFonts w:cs="Times New Roman"/>
        </w:rPr>
        <w:t>]</w:t>
      </w:r>
      <w:r w:rsidR="003728F9" w:rsidRPr="002B136D">
        <w:rPr>
          <w:rFonts w:cs="Times New Roman"/>
          <w:szCs w:val="28"/>
        </w:rPr>
        <w:fldChar w:fldCharType="end"/>
      </w:r>
      <w:proofErr w:type="gramStart"/>
      <w:r w:rsidR="00DD4244" w:rsidRPr="002B136D">
        <w:rPr>
          <w:rFonts w:cs="Times New Roman"/>
          <w:szCs w:val="28"/>
        </w:rPr>
        <w:t>. Обычно, больше страдают женщины, чем мужчины, также данная патолог</w:t>
      </w:r>
      <w:r w:rsidR="009D4D41" w:rsidRPr="002B136D">
        <w:rPr>
          <w:rFonts w:cs="Times New Roman"/>
          <w:szCs w:val="28"/>
        </w:rPr>
        <w:t>ия</w:t>
      </w:r>
      <w:r w:rsidR="00D77B6D" w:rsidRPr="002B136D">
        <w:rPr>
          <w:rFonts w:cs="Times New Roman"/>
          <w:szCs w:val="28"/>
        </w:rPr>
        <w:t xml:space="preserve"> </w:t>
      </w:r>
      <w:r w:rsidR="009D4D41" w:rsidRPr="002B136D">
        <w:rPr>
          <w:rFonts w:cs="Times New Roman"/>
          <w:szCs w:val="28"/>
        </w:rPr>
        <w:t>встречается и среди детей</w:t>
      </w:r>
      <w:r w:rsidR="00852C3D" w:rsidRPr="002B136D">
        <w:rPr>
          <w:rFonts w:cs="Times New Roman"/>
          <w:szCs w:val="28"/>
        </w:rPr>
        <w:t xml:space="preserve"> </w:t>
      </w:r>
      <w:proofErr w:type="gramEnd"/>
      <w:r w:rsidR="00CA07D5" w:rsidRPr="002B136D">
        <w:rPr>
          <w:rFonts w:cs="Times New Roman"/>
          <w:szCs w:val="28"/>
        </w:rPr>
        <w:fldChar w:fldCharType="begin"/>
      </w:r>
      <w:r w:rsidR="00A6759A" w:rsidRPr="002B136D">
        <w:rPr>
          <w:rFonts w:cs="Times New Roman"/>
          <w:szCs w:val="28"/>
        </w:rPr>
        <w:instrText xml:space="preserve"> ADDIN ZOTERO_ITEM CSL_CITATION {"citationID":"SR0RaQdw","properties":{"formattedCitation":"[30]","plainCitation":"[30]","noteIndex":0},"citationItems":[{"id":315,"uris":["http://zotero.org/users/8237658/items/6WXE2EXC"],"itemData":{"id":315,"type":"book","title":"Szczapa-Jagustyn J, Gotz-Więckowska A, Kocięcki J. An update on thyroid-associated ophthalmopathy in children and adolescents. J Pediatr Endocrinol Metab. 2016 Oct 1;29(10):1115-1122. doi: 10.1515/jpem-2016-0122. PMID: 27682712."}}],"schema":"https://github.com/citation-style-language/schema/raw/master/csl-citation.json"} </w:instrText>
      </w:r>
      <w:r w:rsidR="00CA07D5" w:rsidRPr="002B136D">
        <w:rPr>
          <w:rFonts w:cs="Times New Roman"/>
          <w:szCs w:val="28"/>
        </w:rPr>
        <w:fldChar w:fldCharType="separate"/>
      </w:r>
      <w:r w:rsidR="00A6759A" w:rsidRPr="002B136D">
        <w:rPr>
          <w:rFonts w:cs="Times New Roman"/>
        </w:rPr>
        <w:t>[30]</w:t>
      </w:r>
      <w:r w:rsidR="00CA07D5" w:rsidRPr="002B136D">
        <w:rPr>
          <w:rFonts w:cs="Times New Roman"/>
          <w:szCs w:val="28"/>
        </w:rPr>
        <w:fldChar w:fldCharType="end"/>
      </w:r>
      <w:proofErr w:type="gramStart"/>
      <w:r w:rsidR="009D4D41" w:rsidRPr="002B136D">
        <w:rPr>
          <w:rFonts w:cs="Times New Roman"/>
          <w:szCs w:val="28"/>
        </w:rPr>
        <w:t>.</w:t>
      </w:r>
      <w:r w:rsidR="003728F9" w:rsidRPr="002B136D">
        <w:rPr>
          <w:rFonts w:cs="Times New Roman"/>
          <w:szCs w:val="28"/>
        </w:rPr>
        <w:t xml:space="preserve"> </w:t>
      </w:r>
      <w:r w:rsidRPr="002B136D">
        <w:rPr>
          <w:rFonts w:cs="Times New Roman"/>
          <w:szCs w:val="28"/>
        </w:rPr>
        <w:t>Годовая заболеваемость составляет 16 случаев на 100</w:t>
      </w:r>
      <w:proofErr w:type="gramEnd"/>
      <w:r w:rsidRPr="002B136D">
        <w:rPr>
          <w:rFonts w:cs="Times New Roman"/>
          <w:szCs w:val="28"/>
        </w:rPr>
        <w:t xml:space="preserve"> 000 женщин и 2,9 случая на 100 000 мужчин </w:t>
      </w:r>
      <w:r w:rsidR="003728F9" w:rsidRPr="002B136D">
        <w:rPr>
          <w:rFonts w:cs="Times New Roman"/>
          <w:szCs w:val="28"/>
        </w:rPr>
        <w:fldChar w:fldCharType="begin"/>
      </w:r>
      <w:r w:rsidR="00937F46" w:rsidRPr="002B136D">
        <w:rPr>
          <w:rFonts w:cs="Times New Roman"/>
          <w:szCs w:val="28"/>
        </w:rPr>
        <w:instrText xml:space="preserve"> ADDIN ZOTERO_ITEM CSL_CITATION {"citationID":"AvVv7BZT","properties":{"formattedCitation":"[1]","plainCitation":"[1]","noteIndex":0},"citationItems":[{"id":231,"uris":["http://zotero.org/users/8237658/items/AJ54QDTU"],"itemData":{"id":231,"type":"book","title":"Bartley G.B. The epidemiologic characteristics and clinical course of ophthalmopathy associated with autoimmune thyroid disease in Olmsted County, Minnesota. Trans. Am Ophthalmol Soc 1994; 92: 477—588"}}],"schema":"https://github.com/citation-style-language/schema/raw/master/csl-citation.json"} </w:instrText>
      </w:r>
      <w:r w:rsidR="003728F9" w:rsidRPr="002B136D">
        <w:rPr>
          <w:rFonts w:cs="Times New Roman"/>
          <w:szCs w:val="28"/>
        </w:rPr>
        <w:fldChar w:fldCharType="separate"/>
      </w:r>
      <w:r w:rsidR="00937F46" w:rsidRPr="002B136D">
        <w:rPr>
          <w:rFonts w:cs="Times New Roman"/>
        </w:rPr>
        <w:t>[1</w:t>
      </w:r>
      <w:r w:rsidR="002932C4">
        <w:rPr>
          <w:rFonts w:cs="Times New Roman"/>
        </w:rPr>
        <w:t>,р. 477</w:t>
      </w:r>
      <w:r w:rsidR="00937F46" w:rsidRPr="002B136D">
        <w:rPr>
          <w:rFonts w:cs="Times New Roman"/>
        </w:rPr>
        <w:t>]</w:t>
      </w:r>
      <w:r w:rsidR="003728F9" w:rsidRPr="002B136D">
        <w:rPr>
          <w:rFonts w:cs="Times New Roman"/>
          <w:szCs w:val="28"/>
        </w:rPr>
        <w:fldChar w:fldCharType="end"/>
      </w:r>
      <w:r w:rsidRPr="002B136D">
        <w:rPr>
          <w:rFonts w:cs="Times New Roman"/>
          <w:szCs w:val="28"/>
        </w:rPr>
        <w:t>,</w:t>
      </w:r>
      <w:r w:rsidR="00D77B6D" w:rsidRPr="002B136D">
        <w:rPr>
          <w:rFonts w:cs="Times New Roman"/>
          <w:szCs w:val="28"/>
        </w:rPr>
        <w:t xml:space="preserve"> </w:t>
      </w:r>
      <w:r w:rsidRPr="002B136D">
        <w:rPr>
          <w:rFonts w:cs="Times New Roman"/>
          <w:szCs w:val="28"/>
        </w:rPr>
        <w:t xml:space="preserve">с двумя возрастными пиками, различающимися по полу: 40-44 и 60-64 года у женщин, и 45-49 и 65-69 лет у мужчин. </w:t>
      </w:r>
      <w:r w:rsidR="00DB40BB" w:rsidRPr="002B136D">
        <w:rPr>
          <w:rFonts w:cs="Times New Roman"/>
          <w:szCs w:val="28"/>
        </w:rPr>
        <w:t>Кроме того, ЭОП средней и тяжелой степени реже встречается у пациентов моложе 40 лет, при этом средний возраст пациентов с тя</w:t>
      </w:r>
      <w:r w:rsidR="00B0686C">
        <w:rPr>
          <w:rFonts w:cs="Times New Roman"/>
          <w:szCs w:val="28"/>
        </w:rPr>
        <w:t>желыми формами ЭОП составили 50-</w:t>
      </w:r>
      <w:r w:rsidR="00DB40BB" w:rsidRPr="002B136D">
        <w:rPr>
          <w:rFonts w:cs="Times New Roman"/>
          <w:szCs w:val="28"/>
        </w:rPr>
        <w:t xml:space="preserve">56 лет </w:t>
      </w:r>
      <w:r w:rsidR="00DB40BB" w:rsidRPr="002B136D">
        <w:rPr>
          <w:rFonts w:cs="Times New Roman"/>
          <w:szCs w:val="28"/>
        </w:rPr>
        <w:fldChar w:fldCharType="begin"/>
      </w:r>
      <w:r w:rsidR="00A6759A" w:rsidRPr="002B136D">
        <w:rPr>
          <w:rFonts w:cs="Times New Roman"/>
          <w:szCs w:val="28"/>
        </w:rPr>
        <w:instrText xml:space="preserve"> ADDIN ZOTERO_ITEM CSL_CITATION {"citationID":"3NseNZzE","properties":{"formattedCitation":"[31]","plainCitation":"[31]","noteIndex":0},"citationItems":[{"id":580,"uris":["http://zotero.org/users/8237658/items/6G6H2AZG"],"itemData":{"id":580,"type":"book","title":"Dedov I.I., Melnichenko G.A., Sviridenko N.Yu., Troshina E.A., Fadeev V.V., Belovalova I.M., Sheremeta M.S., Rumyantsev P.L., Petunina N.A., Grineva E.N., Strongin L.G., Neroyev V.V., Katargina L.A., Saakian S.V., Panteleeva O.G., Valsky V.V., Brovkina A.F., Atarshikov D.S., Bessmertnaya E.G., Lipatov D.V., Astakhov Yu.S., Saydasheva E.I., Zolotarev A.V., Dogadova L.I. Federal clinical recommendations on diagnostics and treatment of endocrine ophthalmopathy associated with autoimmune thyroid pathology. Problems of Endocrinology. 2015;61(1):61-74. (In Russ.)"}}],"schema":"https://github.com/citation-style-language/schema/raw/master/csl-citation.json"} </w:instrText>
      </w:r>
      <w:r w:rsidR="00DB40BB" w:rsidRPr="002B136D">
        <w:rPr>
          <w:rFonts w:cs="Times New Roman"/>
          <w:szCs w:val="28"/>
        </w:rPr>
        <w:fldChar w:fldCharType="separate"/>
      </w:r>
      <w:r w:rsidR="00A6759A" w:rsidRPr="002B136D">
        <w:rPr>
          <w:rFonts w:cs="Times New Roman"/>
        </w:rPr>
        <w:t>[31]</w:t>
      </w:r>
      <w:r w:rsidR="00DB40BB" w:rsidRPr="002B136D">
        <w:rPr>
          <w:rFonts w:cs="Times New Roman"/>
          <w:szCs w:val="28"/>
        </w:rPr>
        <w:fldChar w:fldCharType="end"/>
      </w:r>
      <w:r w:rsidR="00DB40BB" w:rsidRPr="002B136D">
        <w:rPr>
          <w:rFonts w:cs="Times New Roman"/>
          <w:szCs w:val="28"/>
        </w:rPr>
        <w:t>. Хотя ЭОП выявляется часто у женщин, гендерные различия ослабевают при тяжелой форме заболевания. </w:t>
      </w:r>
      <w:r w:rsidR="00E64D9F" w:rsidRPr="002B136D">
        <w:rPr>
          <w:rFonts w:cs="Times New Roman"/>
          <w:szCs w:val="28"/>
          <w:lang w:val="kk-KZ"/>
        </w:rPr>
        <w:t xml:space="preserve">По последним данным, у </w:t>
      </w:r>
      <w:r w:rsidR="00DB40BB" w:rsidRPr="002B136D">
        <w:rPr>
          <w:rFonts w:cs="Times New Roman"/>
          <w:szCs w:val="28"/>
        </w:rPr>
        <w:t xml:space="preserve">пациентов с </w:t>
      </w:r>
      <w:r w:rsidR="00B4177E" w:rsidRPr="002B136D">
        <w:rPr>
          <w:rFonts w:cs="Times New Roman"/>
          <w:szCs w:val="28"/>
          <w:lang w:val="kk-KZ"/>
        </w:rPr>
        <w:t>БГ</w:t>
      </w:r>
      <w:r w:rsidR="00DB40BB" w:rsidRPr="002B136D">
        <w:rPr>
          <w:rFonts w:cs="Times New Roman"/>
          <w:szCs w:val="28"/>
        </w:rPr>
        <w:t xml:space="preserve"> клинически значимые симптомы орбитопатии были обнаружен примерно у половины женщин и мужчин, но </w:t>
      </w:r>
      <w:r w:rsidR="00DB40BB" w:rsidRPr="002B136D">
        <w:rPr>
          <w:rFonts w:cs="Times New Roman"/>
          <w:szCs w:val="28"/>
        </w:rPr>
        <w:lastRenderedPageBreak/>
        <w:t>пациентами с средней и тяжелой степенями</w:t>
      </w:r>
      <w:r w:rsidR="00D77B6D" w:rsidRPr="002B136D">
        <w:rPr>
          <w:rFonts w:cs="Times New Roman"/>
          <w:szCs w:val="28"/>
        </w:rPr>
        <w:t xml:space="preserve"> </w:t>
      </w:r>
      <w:r w:rsidR="00DB40BB" w:rsidRPr="002B136D">
        <w:rPr>
          <w:rFonts w:cs="Times New Roman"/>
          <w:szCs w:val="28"/>
        </w:rPr>
        <w:t xml:space="preserve">ЭОП чаще </w:t>
      </w:r>
      <w:r w:rsidR="00E64D9F" w:rsidRPr="002B136D">
        <w:rPr>
          <w:rFonts w:cs="Times New Roman"/>
          <w:szCs w:val="28"/>
        </w:rPr>
        <w:t>были мужчины</w:t>
      </w:r>
      <w:r w:rsidR="00E64D9F" w:rsidRPr="002B136D">
        <w:rPr>
          <w:rFonts w:cs="Times New Roman"/>
          <w:szCs w:val="28"/>
          <w:lang w:val="kk-KZ"/>
        </w:rPr>
        <w:t xml:space="preserve"> пожилого возраста</w:t>
      </w:r>
      <w:r w:rsidR="00DB40BB" w:rsidRPr="002B136D">
        <w:rPr>
          <w:rFonts w:cs="Times New Roman"/>
          <w:szCs w:val="28"/>
        </w:rPr>
        <w:t xml:space="preserve"> </w:t>
      </w:r>
      <w:r w:rsidR="00DB40BB" w:rsidRPr="002B136D">
        <w:rPr>
          <w:rFonts w:cs="Times New Roman"/>
          <w:szCs w:val="28"/>
        </w:rPr>
        <w:fldChar w:fldCharType="begin"/>
      </w:r>
      <w:r w:rsidR="00A6759A" w:rsidRPr="002B136D">
        <w:rPr>
          <w:rFonts w:cs="Times New Roman"/>
          <w:szCs w:val="28"/>
        </w:rPr>
        <w:instrText xml:space="preserve"> ADDIN ZOTERO_ITEM CSL_CITATION {"citationID":"tvjDabqk","properties":{"formattedCitation":"[32]","plainCitation":"[32]","noteIndex":0},"citationItems":[{"id":411,"uris":["http://zotero.org/users/8237658/items/8RTRGEM7"],"itemData":{"id":411,"type":"book","title":"Bartalena L, Piantanida E, Gallo D, Lai A, Tanda ML. Epidemiology, natural history, risk factors, and prevention of Graves’ orbitopathy. Front Endocrinol. 2020;11:615993. 10.3389/fendo.2020.615993"}}],"schema":"https://github.com/citation-style-language/schema/raw/master/csl-citation.json"} </w:instrText>
      </w:r>
      <w:r w:rsidR="00DB40BB" w:rsidRPr="002B136D">
        <w:rPr>
          <w:rFonts w:cs="Times New Roman"/>
          <w:szCs w:val="28"/>
        </w:rPr>
        <w:fldChar w:fldCharType="separate"/>
      </w:r>
      <w:r w:rsidR="00A6759A" w:rsidRPr="002B136D">
        <w:rPr>
          <w:rFonts w:cs="Times New Roman"/>
        </w:rPr>
        <w:t>[32]</w:t>
      </w:r>
      <w:r w:rsidR="00DB40BB" w:rsidRPr="002B136D">
        <w:rPr>
          <w:rFonts w:cs="Times New Roman"/>
          <w:szCs w:val="28"/>
        </w:rPr>
        <w:fldChar w:fldCharType="end"/>
      </w:r>
      <w:r w:rsidR="00DB40BB" w:rsidRPr="002B136D">
        <w:rPr>
          <w:rFonts w:cs="Times New Roman"/>
          <w:szCs w:val="28"/>
        </w:rPr>
        <w:t>. </w:t>
      </w:r>
      <w:r w:rsidR="00550BDA" w:rsidRPr="002B136D">
        <w:rPr>
          <w:rFonts w:cs="Times New Roman"/>
          <w:szCs w:val="28"/>
        </w:rPr>
        <w:t xml:space="preserve"> </w:t>
      </w:r>
    </w:p>
    <w:p w14:paraId="0A0096E1" w14:textId="34013800" w:rsidR="009D4D41" w:rsidRPr="002B136D" w:rsidRDefault="00A6759A" w:rsidP="002B136D">
      <w:pPr>
        <w:spacing w:after="0" w:line="240" w:lineRule="auto"/>
        <w:ind w:firstLine="567"/>
        <w:contextualSpacing/>
        <w:jc w:val="both"/>
        <w:rPr>
          <w:rFonts w:cs="Times New Roman"/>
          <w:szCs w:val="28"/>
        </w:rPr>
      </w:pPr>
      <w:r w:rsidRPr="002B136D">
        <w:rPr>
          <w:rFonts w:cs="Times New Roman"/>
          <w:szCs w:val="28"/>
        </w:rPr>
        <w:t xml:space="preserve">ЭОП часто протекает в легкой форме, </w:t>
      </w:r>
      <w:proofErr w:type="gramStart"/>
      <w:r w:rsidRPr="002B136D">
        <w:rPr>
          <w:rFonts w:cs="Times New Roman"/>
          <w:szCs w:val="28"/>
        </w:rPr>
        <w:t>но</w:t>
      </w:r>
      <w:proofErr w:type="gramEnd"/>
      <w:r w:rsidRPr="002B136D">
        <w:rPr>
          <w:rFonts w:cs="Times New Roman"/>
          <w:szCs w:val="28"/>
        </w:rPr>
        <w:t xml:space="preserve"> тем не менее клинически значимые симптомы наблюдаются у 20–50 % пациентов, а потеря зрения из-за оптической нейропатии или по</w:t>
      </w:r>
      <w:r w:rsidR="00B0686C">
        <w:rPr>
          <w:rFonts w:cs="Times New Roman"/>
          <w:szCs w:val="28"/>
        </w:rPr>
        <w:t>ражения роговицы происходит в 3-</w:t>
      </w:r>
      <w:r w:rsidRPr="002B136D">
        <w:rPr>
          <w:rFonts w:cs="Times New Roman"/>
          <w:szCs w:val="28"/>
        </w:rPr>
        <w:t>6 % случаев</w:t>
      </w:r>
      <w:r w:rsidR="002675F5" w:rsidRPr="002B136D">
        <w:rPr>
          <w:rFonts w:cs="Times New Roman"/>
          <w:szCs w:val="28"/>
        </w:rPr>
        <w:t xml:space="preserve"> </w:t>
      </w:r>
      <w:r w:rsidR="002675F5" w:rsidRPr="002B136D">
        <w:rPr>
          <w:rFonts w:cs="Times New Roman"/>
          <w:szCs w:val="28"/>
        </w:rPr>
        <w:fldChar w:fldCharType="begin"/>
      </w:r>
      <w:r w:rsidRPr="002B136D">
        <w:rPr>
          <w:rFonts w:cs="Times New Roman"/>
          <w:szCs w:val="28"/>
        </w:rPr>
        <w:instrText xml:space="preserve"> ADDIN ZOTERO_ITEM CSL_CITATION {"citationID":"u9O4QCwN","properties":{"formattedCitation":"[33]","plainCitation":"[33]","noteIndex":0},"citationItems":[{"id":621,"uris":["http://zotero.org/users/8237658/items/PU9GW752"],"itemData":{"id":621,"type":"book","title":"Taskina, Elizaveta &amp; Charinzeva, Svetlana &amp; Charinzev, Vladimir &amp; Serkin, Dmitriy. (2017). New opportunities in endocrine ophthalmopathy diagnostics (review). Clinical and experimental thyroidology. 13. 20-28. 10.14341/ket2017320-28."}}],"schema":"https://github.com/citation-style-language/schema/raw/master/csl-citation.json"} </w:instrText>
      </w:r>
      <w:r w:rsidR="002675F5" w:rsidRPr="002B136D">
        <w:rPr>
          <w:rFonts w:cs="Times New Roman"/>
          <w:szCs w:val="28"/>
        </w:rPr>
        <w:fldChar w:fldCharType="separate"/>
      </w:r>
      <w:r w:rsidRPr="002B136D">
        <w:rPr>
          <w:rFonts w:cs="Times New Roman"/>
        </w:rPr>
        <w:t>[33]</w:t>
      </w:r>
      <w:r w:rsidR="002675F5" w:rsidRPr="002B136D">
        <w:rPr>
          <w:rFonts w:cs="Times New Roman"/>
          <w:szCs w:val="28"/>
        </w:rPr>
        <w:fldChar w:fldCharType="end"/>
      </w:r>
      <w:r w:rsidR="002675F5" w:rsidRPr="002B136D">
        <w:rPr>
          <w:rFonts w:cs="Times New Roman"/>
          <w:szCs w:val="28"/>
        </w:rPr>
        <w:t xml:space="preserve">. </w:t>
      </w:r>
    </w:p>
    <w:p w14:paraId="53A8FE45" w14:textId="1863C97B" w:rsidR="007C5CEA" w:rsidRPr="002B136D" w:rsidRDefault="00BF5334" w:rsidP="002B136D">
      <w:pPr>
        <w:spacing w:after="0" w:line="240" w:lineRule="auto"/>
        <w:ind w:firstLine="567"/>
        <w:contextualSpacing/>
        <w:jc w:val="both"/>
        <w:rPr>
          <w:rFonts w:cs="Times New Roman"/>
          <w:szCs w:val="28"/>
        </w:rPr>
      </w:pPr>
      <w:r w:rsidRPr="002B136D">
        <w:rPr>
          <w:rFonts w:cs="Times New Roman"/>
          <w:szCs w:val="28"/>
        </w:rPr>
        <w:t xml:space="preserve">Также, учеными доказаны различия в распространённости ЭОП по этническим показателям </w:t>
      </w:r>
      <w:r w:rsidRPr="002B136D">
        <w:rPr>
          <w:rFonts w:cs="Times New Roman"/>
          <w:szCs w:val="28"/>
        </w:rPr>
        <w:fldChar w:fldCharType="begin"/>
      </w:r>
      <w:r w:rsidR="00A6759A" w:rsidRPr="002B136D">
        <w:rPr>
          <w:rFonts w:cs="Times New Roman"/>
          <w:szCs w:val="28"/>
        </w:rPr>
        <w:instrText xml:space="preserve"> ADDIN ZOTERO_ITEM CSL_CITATION {"citationID":"rupynJLT","properties":{"formattedCitation":"[34]","plainCitation":"[34]","noteIndex":0},"citationItems":[{"id":406,"uris":["http://zotero.org/users/8237658/items/V3WT2TZC"],"itemData":{"id":406,"type":"book","title":"Chin YH, Ng CH, Lee MH, Koh JWH, Kiew J, Yang SP, Sundar G, Khoo CM. Prevalence of thyroid eye disease in Graves' disease: A meta-analysis and systematic review. Clin Endocrinol (Oxf). 2020 Oct;93(4):363-374. doi: 10.1111/cen.14296. Epub 2020 Aug 10. PMID: 32691849."}}],"schema":"https://github.com/citation-style-language/schema/raw/master/csl-citation.json"} </w:instrText>
      </w:r>
      <w:r w:rsidRPr="002B136D">
        <w:rPr>
          <w:rFonts w:cs="Times New Roman"/>
          <w:szCs w:val="28"/>
        </w:rPr>
        <w:fldChar w:fldCharType="separate"/>
      </w:r>
      <w:r w:rsidR="00A6759A" w:rsidRPr="002B136D">
        <w:rPr>
          <w:rFonts w:cs="Times New Roman"/>
        </w:rPr>
        <w:t>[34]</w:t>
      </w:r>
      <w:r w:rsidRPr="002B136D">
        <w:rPr>
          <w:rFonts w:cs="Times New Roman"/>
          <w:szCs w:val="28"/>
        </w:rPr>
        <w:fldChar w:fldCharType="end"/>
      </w:r>
      <w:r w:rsidR="00E24B09" w:rsidRPr="002B136D">
        <w:rPr>
          <w:rFonts w:cs="Times New Roman"/>
          <w:szCs w:val="28"/>
        </w:rPr>
        <w:t>. По данным</w:t>
      </w:r>
      <w:r w:rsidRPr="002B136D">
        <w:rPr>
          <w:rFonts w:cs="Times New Roman"/>
          <w:szCs w:val="28"/>
        </w:rPr>
        <w:t xml:space="preserve"> </w:t>
      </w:r>
      <w:proofErr w:type="gramStart"/>
      <w:r w:rsidRPr="002B136D">
        <w:rPr>
          <w:rFonts w:cs="Times New Roman"/>
          <w:szCs w:val="28"/>
        </w:rPr>
        <w:t>мета-анализа</w:t>
      </w:r>
      <w:proofErr w:type="gramEnd"/>
      <w:r w:rsidRPr="002B136D">
        <w:rPr>
          <w:rFonts w:cs="Times New Roman"/>
          <w:szCs w:val="28"/>
        </w:rPr>
        <w:t>,</w:t>
      </w:r>
      <w:r w:rsidR="00D77B6D" w:rsidRPr="002B136D">
        <w:rPr>
          <w:rFonts w:cs="Times New Roman"/>
          <w:szCs w:val="28"/>
        </w:rPr>
        <w:t xml:space="preserve"> </w:t>
      </w:r>
      <w:r w:rsidRPr="002B136D">
        <w:rPr>
          <w:rFonts w:cs="Times New Roman"/>
          <w:szCs w:val="28"/>
        </w:rPr>
        <w:t xml:space="preserve">из 26804 пациентов с диагнозом </w:t>
      </w:r>
      <w:r w:rsidR="00B4177E" w:rsidRPr="002B136D">
        <w:rPr>
          <w:rFonts w:cs="Times New Roman"/>
          <w:szCs w:val="28"/>
        </w:rPr>
        <w:t>БГ</w:t>
      </w:r>
      <w:r w:rsidRPr="002B136D">
        <w:rPr>
          <w:rFonts w:cs="Times New Roman"/>
          <w:szCs w:val="28"/>
        </w:rPr>
        <w:t xml:space="preserve"> в среднем около 40% страдали ЭОП</w:t>
      </w:r>
      <w:r w:rsidR="00D77B6D" w:rsidRPr="002B136D">
        <w:rPr>
          <w:rFonts w:cs="Times New Roman"/>
          <w:szCs w:val="28"/>
        </w:rPr>
        <w:t xml:space="preserve"> </w:t>
      </w:r>
      <w:r w:rsidRPr="002B136D">
        <w:rPr>
          <w:rFonts w:cs="Times New Roman"/>
          <w:szCs w:val="28"/>
        </w:rPr>
        <w:t>с выраженными клиническими симптомами.</w:t>
      </w:r>
      <w:r w:rsidR="00D77B6D" w:rsidRPr="002B136D">
        <w:rPr>
          <w:rFonts w:cs="Times New Roman"/>
          <w:szCs w:val="28"/>
        </w:rPr>
        <w:t xml:space="preserve"> </w:t>
      </w:r>
      <w:r w:rsidR="00712526" w:rsidRPr="002B136D">
        <w:rPr>
          <w:rFonts w:cs="Times New Roman"/>
          <w:szCs w:val="28"/>
        </w:rPr>
        <w:t xml:space="preserve">Анализ подгрупп показал, что в регионах с преобладанием представителей европеоидной расы (37%; ДИ: от 0,28 до 0,46) распространенность ЭОП ниже по сравнению с азиатами (45%, ДИ: 0,33-0,58). Общая распространенность ретракции век составила 57 </w:t>
      </w:r>
      <w:r w:rsidR="00B0686C">
        <w:rPr>
          <w:rFonts w:cs="Times New Roman"/>
          <w:szCs w:val="28"/>
        </w:rPr>
        <w:t>% (ДИ: 0,39-0,74), экзофтальма – 57 % (ДИ: 0,48-0,65), диплопии – 36 % (ДИ: 0,24-</w:t>
      </w:r>
      <w:r w:rsidR="00712526" w:rsidRPr="002B136D">
        <w:rPr>
          <w:rFonts w:cs="Times New Roman"/>
          <w:szCs w:val="28"/>
        </w:rPr>
        <w:t>0,48) и внутриг</w:t>
      </w:r>
      <w:r w:rsidR="00B0686C">
        <w:rPr>
          <w:rFonts w:cs="Times New Roman"/>
          <w:szCs w:val="28"/>
        </w:rPr>
        <w:t>лазной гипертензии –</w:t>
      </w:r>
      <w:r w:rsidR="00712526" w:rsidRPr="002B136D">
        <w:rPr>
          <w:rFonts w:cs="Times New Roman"/>
          <w:szCs w:val="28"/>
        </w:rPr>
        <w:t xml:space="preserve"> 13 % (ДИ: 0,06</w:t>
      </w:r>
      <w:r w:rsidR="00B0686C">
        <w:rPr>
          <w:rFonts w:cs="Times New Roman"/>
          <w:szCs w:val="28"/>
        </w:rPr>
        <w:t>-</w:t>
      </w:r>
      <w:r w:rsidR="00712526" w:rsidRPr="002B136D">
        <w:rPr>
          <w:rFonts w:cs="Times New Roman"/>
          <w:szCs w:val="28"/>
        </w:rPr>
        <w:t>0,19).</w:t>
      </w:r>
      <w:r w:rsidR="00D77B6D" w:rsidRPr="002B136D">
        <w:rPr>
          <w:rFonts w:cs="Times New Roman"/>
          <w:szCs w:val="28"/>
        </w:rPr>
        <w:t xml:space="preserve"> </w:t>
      </w:r>
      <w:r w:rsidRPr="002B136D">
        <w:rPr>
          <w:rFonts w:cs="Times New Roman"/>
          <w:szCs w:val="28"/>
        </w:rPr>
        <w:t>А легкое</w:t>
      </w:r>
      <w:r w:rsidR="00277BDA" w:rsidRPr="002B136D">
        <w:rPr>
          <w:rFonts w:cs="Times New Roman"/>
          <w:szCs w:val="28"/>
          <w:lang w:val="kk-KZ"/>
        </w:rPr>
        <w:t xml:space="preserve"> течение</w:t>
      </w:r>
      <w:r w:rsidRPr="002B136D">
        <w:rPr>
          <w:rFonts w:cs="Times New Roman"/>
          <w:szCs w:val="28"/>
        </w:rPr>
        <w:t xml:space="preserve"> и субклинические признаки не были включены в исследования, в связи с трудностями дифференциальной диагностики</w:t>
      </w:r>
      <w:r w:rsidR="00C13D4D" w:rsidRPr="002B136D">
        <w:rPr>
          <w:rFonts w:cs="Times New Roman"/>
          <w:szCs w:val="28"/>
        </w:rPr>
        <w:t xml:space="preserve"> или же</w:t>
      </w:r>
      <w:r w:rsidR="00D77B6D" w:rsidRPr="002B136D">
        <w:rPr>
          <w:rFonts w:cs="Times New Roman"/>
          <w:szCs w:val="28"/>
        </w:rPr>
        <w:t xml:space="preserve"> </w:t>
      </w:r>
      <w:r w:rsidR="00C13D4D" w:rsidRPr="002B136D">
        <w:rPr>
          <w:rFonts w:cs="Times New Roman"/>
          <w:szCs w:val="28"/>
        </w:rPr>
        <w:t xml:space="preserve">низкой </w:t>
      </w:r>
      <w:r w:rsidR="00DB40BB" w:rsidRPr="002B136D">
        <w:rPr>
          <w:rFonts w:cs="Times New Roman"/>
          <w:szCs w:val="28"/>
        </w:rPr>
        <w:t>обращаемостью</w:t>
      </w:r>
      <w:r w:rsidR="00C13D4D" w:rsidRPr="002B136D">
        <w:rPr>
          <w:rFonts w:cs="Times New Roman"/>
          <w:szCs w:val="28"/>
        </w:rPr>
        <w:t xml:space="preserve"> за консультацией с легкими формами ЭОП,</w:t>
      </w:r>
      <w:r w:rsidR="00D77B6D" w:rsidRPr="002B136D">
        <w:rPr>
          <w:rFonts w:cs="Times New Roman"/>
          <w:szCs w:val="28"/>
        </w:rPr>
        <w:t xml:space="preserve"> </w:t>
      </w:r>
      <w:r w:rsidR="00C13D4D" w:rsidRPr="002B136D">
        <w:rPr>
          <w:rFonts w:cs="Times New Roman"/>
          <w:szCs w:val="28"/>
        </w:rPr>
        <w:t>что приводит к недооценке всех новых случаев.</w:t>
      </w:r>
      <w:r w:rsidR="00D77B6D" w:rsidRPr="002B136D">
        <w:rPr>
          <w:rFonts w:cs="Times New Roman"/>
          <w:szCs w:val="28"/>
        </w:rPr>
        <w:t xml:space="preserve"> </w:t>
      </w:r>
    </w:p>
    <w:p w14:paraId="3794D42D" w14:textId="77777777" w:rsidR="00D51D40" w:rsidRDefault="00C13D4D" w:rsidP="002B136D">
      <w:pPr>
        <w:spacing w:after="0" w:line="240" w:lineRule="auto"/>
        <w:ind w:firstLine="567"/>
        <w:contextualSpacing/>
        <w:jc w:val="both"/>
        <w:rPr>
          <w:rFonts w:cs="Times New Roman"/>
          <w:szCs w:val="28"/>
        </w:rPr>
      </w:pPr>
      <w:r w:rsidRPr="002B136D">
        <w:rPr>
          <w:rFonts w:cs="Times New Roman"/>
          <w:szCs w:val="28"/>
        </w:rPr>
        <w:t xml:space="preserve">Исследование, проведенное в Швеции и охватившее более 3 500 000 человек, впервые диагностированных случаев </w:t>
      </w:r>
      <w:r w:rsidR="00B4177E" w:rsidRPr="002B136D">
        <w:rPr>
          <w:rFonts w:cs="Times New Roman"/>
          <w:szCs w:val="28"/>
        </w:rPr>
        <w:t>БГ</w:t>
      </w:r>
      <w:r w:rsidRPr="002B136D">
        <w:rPr>
          <w:rFonts w:cs="Times New Roman"/>
          <w:szCs w:val="28"/>
        </w:rPr>
        <w:t>,</w:t>
      </w:r>
      <w:r w:rsidR="00D77B6D" w:rsidRPr="002B136D">
        <w:rPr>
          <w:rFonts w:cs="Times New Roman"/>
          <w:szCs w:val="28"/>
        </w:rPr>
        <w:t xml:space="preserve"> </w:t>
      </w:r>
      <w:r w:rsidRPr="002B136D">
        <w:rPr>
          <w:rFonts w:cs="Times New Roman"/>
          <w:szCs w:val="28"/>
        </w:rPr>
        <w:t>с 2003 по 2005 г. было 2 200 случаев ЭОП.</w:t>
      </w:r>
      <w:r w:rsidR="00D77B6D" w:rsidRPr="002B136D">
        <w:rPr>
          <w:rFonts w:cs="Times New Roman"/>
          <w:szCs w:val="28"/>
        </w:rPr>
        <w:t xml:space="preserve"> </w:t>
      </w:r>
      <w:proofErr w:type="gramStart"/>
      <w:r w:rsidRPr="002B136D">
        <w:rPr>
          <w:rFonts w:cs="Times New Roman"/>
          <w:szCs w:val="28"/>
        </w:rPr>
        <w:t>Заболеваемость</w:t>
      </w:r>
      <w:r w:rsidR="00D77B6D" w:rsidRPr="002B136D">
        <w:rPr>
          <w:rFonts w:cs="Times New Roman"/>
          <w:szCs w:val="28"/>
        </w:rPr>
        <w:t xml:space="preserve"> </w:t>
      </w:r>
      <w:r w:rsidRPr="002B136D">
        <w:rPr>
          <w:rFonts w:cs="Times New Roman"/>
          <w:szCs w:val="28"/>
        </w:rPr>
        <w:t xml:space="preserve">составила 21/100 000 населения в год; из них 20,1% имели выраженные клинические признаки (4,9% от умеренной до тяжелой) с общей частотой ЭОП 4,2/100 000 населения/год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{"citationID":"kFUQHAt9","properties":{"formattedCitation":"[35]","plainCitation":"[35]","noteIndex":0},"citationItems":[{"id":407,"uris":["http://zotero.org/users/8237658/items/UB893G22"],"itemData":{"id":407,"type":"book","title":"Abraham-Nordling M, Byström K, Törring O, Lantz M, Berg G, Calissendorff J, Nyström HF, Jansson S, Jörneskog G, Karlsson FA, Nyström E, Ohrling H, Orn T, Hallengren B, Wallin G. Incidence of hyperthyroidism in Sweden. Eur J Endocrinol. 2011 Dec;165(6):899-905. doi: 10.1530/EJE-11-0548. Epub 2011 Sep 9. PMID: 21908653."}}],"schema":"https://github.com/citation-style-language/schema/raw/master/csl-citation.json"} </w:instrText>
      </w:r>
      <w:r w:rsidRPr="002B136D">
        <w:rPr>
          <w:rFonts w:cs="Times New Roman"/>
          <w:szCs w:val="28"/>
        </w:rPr>
        <w:fldChar w:fldCharType="separate"/>
      </w:r>
      <w:r w:rsidR="00A6759A" w:rsidRPr="002B136D">
        <w:rPr>
          <w:rFonts w:cs="Times New Roman"/>
        </w:rPr>
        <w:t>[35]</w:t>
      </w:r>
      <w:r w:rsidRPr="002B136D">
        <w:rPr>
          <w:rFonts w:cs="Times New Roman"/>
          <w:szCs w:val="28"/>
        </w:rPr>
        <w:fldChar w:fldCharType="end"/>
      </w:r>
      <w:proofErr w:type="gramStart"/>
      <w:r w:rsidRPr="002B136D">
        <w:rPr>
          <w:rFonts w:cs="Times New Roman"/>
          <w:szCs w:val="28"/>
        </w:rPr>
        <w:t>.</w:t>
      </w:r>
      <w:r w:rsidR="00D77B6D" w:rsidRPr="002B136D">
        <w:rPr>
          <w:rFonts w:cs="Times New Roman"/>
          <w:szCs w:val="28"/>
        </w:rPr>
        <w:t xml:space="preserve"> </w:t>
      </w:r>
      <w:proofErr w:type="gramEnd"/>
    </w:p>
    <w:p w14:paraId="070FF26B" w14:textId="77777777" w:rsidR="00D51D40" w:rsidRDefault="00C13D4D" w:rsidP="002B136D">
      <w:pPr>
        <w:spacing w:after="0" w:line="240" w:lineRule="auto"/>
        <w:ind w:firstLine="567"/>
        <w:contextualSpacing/>
        <w:jc w:val="both"/>
        <w:rPr>
          <w:rFonts w:cs="Times New Roman"/>
          <w:szCs w:val="28"/>
        </w:rPr>
      </w:pPr>
      <w:r w:rsidRPr="002B136D">
        <w:rPr>
          <w:rFonts w:cs="Times New Roman"/>
          <w:szCs w:val="28"/>
        </w:rPr>
        <w:t>Кроме этого, по заяв</w:t>
      </w:r>
      <w:r w:rsidR="00E7186E" w:rsidRPr="002B136D">
        <w:rPr>
          <w:rFonts w:cs="Times New Roman"/>
          <w:szCs w:val="28"/>
        </w:rPr>
        <w:t>лению EUGOGO считается,</w:t>
      </w:r>
      <w:r w:rsidR="00D77B6D" w:rsidRPr="002B136D">
        <w:rPr>
          <w:rFonts w:cs="Times New Roman"/>
          <w:szCs w:val="28"/>
        </w:rPr>
        <w:t xml:space="preserve"> </w:t>
      </w:r>
      <w:r w:rsidR="00E7186E" w:rsidRPr="002B136D">
        <w:rPr>
          <w:rFonts w:cs="Times New Roman"/>
          <w:szCs w:val="28"/>
        </w:rPr>
        <w:t>что</w:t>
      </w:r>
      <w:r w:rsidR="00D77B6D" w:rsidRPr="002B136D">
        <w:rPr>
          <w:rFonts w:cs="Times New Roman"/>
          <w:szCs w:val="28"/>
        </w:rPr>
        <w:t xml:space="preserve"> </w:t>
      </w:r>
      <w:r w:rsidR="00E7186E" w:rsidRPr="002B136D">
        <w:rPr>
          <w:rFonts w:cs="Times New Roman"/>
          <w:szCs w:val="28"/>
        </w:rPr>
        <w:t>р</w:t>
      </w:r>
      <w:r w:rsidRPr="002B136D">
        <w:rPr>
          <w:rFonts w:cs="Times New Roman"/>
          <w:szCs w:val="28"/>
        </w:rPr>
        <w:t>аспространенность ЭОП превышает порог редкости в Европе.</w:t>
      </w:r>
      <w:r w:rsidR="00D77B6D" w:rsidRPr="002B136D">
        <w:rPr>
          <w:rFonts w:cs="Times New Roman"/>
          <w:szCs w:val="28"/>
        </w:rPr>
        <w:t xml:space="preserve"> </w:t>
      </w:r>
      <w:r w:rsidRPr="002B136D">
        <w:rPr>
          <w:rFonts w:cs="Times New Roman"/>
          <w:szCs w:val="28"/>
        </w:rPr>
        <w:t xml:space="preserve">Однако каждый из его клинических вариантов </w:t>
      </w:r>
      <w:r w:rsidR="002D4967" w:rsidRPr="002B136D">
        <w:rPr>
          <w:rFonts w:cs="Times New Roman"/>
          <w:szCs w:val="28"/>
        </w:rPr>
        <w:t>(эутиреои</w:t>
      </w:r>
      <w:r w:rsidR="00E7186E" w:rsidRPr="002B136D">
        <w:rPr>
          <w:rFonts w:cs="Times New Roman"/>
          <w:szCs w:val="28"/>
        </w:rPr>
        <w:t xml:space="preserve">дный, односторонний) </w:t>
      </w:r>
      <w:r w:rsidRPr="002B136D">
        <w:rPr>
          <w:rFonts w:cs="Times New Roman"/>
          <w:szCs w:val="28"/>
        </w:rPr>
        <w:t>имеет низкую распространенность и потенциально может квалифицироваться как редкое состояние, при условии, что будущие исследования установят, что они имеют различную патофизиологию</w:t>
      </w:r>
      <w:r w:rsidR="00597CED" w:rsidRPr="002B136D">
        <w:rPr>
          <w:rFonts w:cs="Times New Roman"/>
          <w:szCs w:val="28"/>
        </w:rPr>
        <w:t xml:space="preserve"> </w:t>
      </w:r>
      <w:r w:rsidR="00597CED" w:rsidRPr="002B136D">
        <w:rPr>
          <w:rFonts w:cs="Times New Roman"/>
          <w:szCs w:val="28"/>
        </w:rPr>
        <w:fldChar w:fldCharType="begin"/>
      </w:r>
      <w:r w:rsidR="00A6759A" w:rsidRPr="002B136D">
        <w:rPr>
          <w:rFonts w:cs="Times New Roman"/>
          <w:szCs w:val="28"/>
        </w:rPr>
        <w:instrText xml:space="preserve"> ADDIN ZOTERO_ITEM CSL_CITATION {"citationID":"8Iont3Bp","properties":{"formattedCitation":"[36]","plainCitation":"[36]","noteIndex":0},"citationItems":[{"id":408,"uris":["http://zotero.org/users/8237658/items/RCNFTAYK"],"itemData":{"id":408,"type":"book","title":"Perros P, Hegedüs L, Bartalena L, Marcocci C, Kahaly GJ, Baldeschi L, Salvi M, Lazarus JH, Eckstein A, Pitz S, Boboridis K, Anagnostis P, Ayvaz G, Boschi A, Brix TH, Currò N, Konuk O, Marinò M, Mitchell AL, Stankovic B, Törüner FB, von Arx G, Zarković M, Wiersinga WM. Graves' orbitopathy as a rare disease in Europe: a European Group on Graves' Orbitopathy (EUGOGO) position statement. Orphanet J Rare Dis. 2017 Apr 20;12(1):72. doi: 10.1186/s13023-017-0625-1. PMID: 28427469; PMCID: PMC5397790."}}],"schema":"https://github.com/citation-style-language/schema/raw/master/csl-citation.json"} </w:instrText>
      </w:r>
      <w:r w:rsidR="00597CED" w:rsidRPr="002B136D">
        <w:rPr>
          <w:rFonts w:cs="Times New Roman"/>
          <w:szCs w:val="28"/>
        </w:rPr>
        <w:fldChar w:fldCharType="separate"/>
      </w:r>
      <w:r w:rsidR="00A6759A" w:rsidRPr="002B136D">
        <w:rPr>
          <w:rFonts w:cs="Times New Roman"/>
        </w:rPr>
        <w:t>[36]</w:t>
      </w:r>
      <w:r w:rsidR="00597CED" w:rsidRPr="002B136D">
        <w:rPr>
          <w:rFonts w:cs="Times New Roman"/>
          <w:szCs w:val="28"/>
        </w:rPr>
        <w:fldChar w:fldCharType="end"/>
      </w:r>
      <w:r w:rsidRPr="002B136D">
        <w:rPr>
          <w:rFonts w:cs="Times New Roman"/>
          <w:szCs w:val="28"/>
        </w:rPr>
        <w:t>.</w:t>
      </w:r>
      <w:r w:rsidR="00D77B6D" w:rsidRPr="002B136D">
        <w:rPr>
          <w:rFonts w:cs="Times New Roman"/>
          <w:szCs w:val="28"/>
        </w:rPr>
        <w:t xml:space="preserve"> </w:t>
      </w:r>
    </w:p>
    <w:p w14:paraId="5B619927" w14:textId="639C87BB" w:rsidR="00D77B6D" w:rsidRPr="00D51D40" w:rsidRDefault="00597CED" w:rsidP="002B136D">
      <w:pPr>
        <w:spacing w:after="0" w:line="240" w:lineRule="auto"/>
        <w:ind w:firstLine="567"/>
        <w:contextualSpacing/>
        <w:jc w:val="both"/>
        <w:rPr>
          <w:rFonts w:cs="Times New Roman"/>
          <w:szCs w:val="28"/>
        </w:rPr>
      </w:pPr>
      <w:r w:rsidRPr="002B136D">
        <w:rPr>
          <w:rFonts w:cs="Times New Roman"/>
          <w:szCs w:val="28"/>
        </w:rPr>
        <w:t>По этим данным, только</w:t>
      </w:r>
      <w:r w:rsidR="00D77B6D" w:rsidRPr="002B136D">
        <w:rPr>
          <w:rFonts w:cs="Times New Roman"/>
          <w:szCs w:val="28"/>
        </w:rPr>
        <w:t xml:space="preserve"> э</w:t>
      </w:r>
      <w:r w:rsidRPr="002B136D">
        <w:rPr>
          <w:rFonts w:cs="Times New Roman"/>
          <w:szCs w:val="28"/>
        </w:rPr>
        <w:t>утиреидная ЭОП</w:t>
      </w:r>
      <w:r w:rsidR="00BF5334" w:rsidRPr="002B136D">
        <w:rPr>
          <w:rFonts w:cs="Times New Roman"/>
          <w:szCs w:val="28"/>
        </w:rPr>
        <w:t xml:space="preserve"> </w:t>
      </w:r>
      <w:r w:rsidRPr="002B136D">
        <w:rPr>
          <w:rFonts w:cs="Times New Roman"/>
          <w:szCs w:val="28"/>
        </w:rPr>
        <w:t xml:space="preserve">подходит к </w:t>
      </w:r>
      <w:r w:rsidR="000A1519" w:rsidRPr="002B136D">
        <w:rPr>
          <w:rFonts w:cs="Times New Roman"/>
          <w:szCs w:val="28"/>
        </w:rPr>
        <w:t xml:space="preserve">основному критерию </w:t>
      </w:r>
      <w:proofErr w:type="gramStart"/>
      <w:r w:rsidR="000A1519" w:rsidRPr="002B136D">
        <w:rPr>
          <w:rFonts w:cs="Times New Roman"/>
          <w:szCs w:val="28"/>
        </w:rPr>
        <w:t>редких</w:t>
      </w:r>
      <w:proofErr w:type="gramEnd"/>
      <w:r w:rsidR="000A1519" w:rsidRPr="002B136D">
        <w:rPr>
          <w:rFonts w:cs="Times New Roman"/>
          <w:szCs w:val="28"/>
        </w:rPr>
        <w:t xml:space="preserve"> заболевании</w:t>
      </w:r>
      <w:r w:rsidRPr="002B136D">
        <w:rPr>
          <w:rFonts w:cs="Times New Roman"/>
          <w:szCs w:val="28"/>
        </w:rPr>
        <w:t xml:space="preserve"> по </w:t>
      </w:r>
      <w:r w:rsidR="00D77B6D" w:rsidRPr="002B136D">
        <w:rPr>
          <w:rFonts w:cs="Times New Roman"/>
          <w:szCs w:val="28"/>
        </w:rPr>
        <w:t>распространенности менее</w:t>
      </w:r>
      <w:r w:rsidR="000A1519" w:rsidRPr="002B136D">
        <w:rPr>
          <w:rFonts w:cs="Times New Roman"/>
          <w:szCs w:val="28"/>
        </w:rPr>
        <w:t xml:space="preserve"> 5/10 000 населения.</w:t>
      </w:r>
    </w:p>
    <w:p w14:paraId="47BAE63D" w14:textId="77777777" w:rsidR="002B136D" w:rsidRPr="00D51D40" w:rsidRDefault="002B136D" w:rsidP="002B136D">
      <w:pPr>
        <w:spacing w:after="0" w:line="240" w:lineRule="auto"/>
        <w:ind w:firstLine="567"/>
        <w:contextualSpacing/>
        <w:jc w:val="both"/>
        <w:rPr>
          <w:rFonts w:cs="Times New Roman"/>
          <w:szCs w:val="28"/>
        </w:rPr>
      </w:pPr>
    </w:p>
    <w:p w14:paraId="57F47F55" w14:textId="681F7FC9" w:rsidR="00B86156" w:rsidRPr="002B136D" w:rsidRDefault="00B86156" w:rsidP="002B136D">
      <w:pPr>
        <w:spacing w:after="0" w:line="240" w:lineRule="auto"/>
        <w:ind w:firstLine="567"/>
        <w:contextualSpacing/>
        <w:jc w:val="both"/>
        <w:rPr>
          <w:rFonts w:cs="Times New Roman"/>
          <w:b/>
          <w:szCs w:val="28"/>
          <w:highlight w:val="yellow"/>
        </w:rPr>
      </w:pPr>
      <w:proofErr w:type="gramStart"/>
      <w:r w:rsidRPr="002B136D">
        <w:rPr>
          <w:rFonts w:cs="Times New Roman"/>
          <w:b/>
          <w:szCs w:val="28"/>
        </w:rPr>
        <w:t xml:space="preserve">1.2 </w:t>
      </w:r>
      <w:r w:rsidR="00F44B91" w:rsidRPr="002B136D">
        <w:rPr>
          <w:rFonts w:cs="Times New Roman"/>
          <w:b/>
          <w:szCs w:val="28"/>
        </w:rPr>
        <w:t>Пато</w:t>
      </w:r>
      <w:r w:rsidR="00491D06" w:rsidRPr="002B136D">
        <w:rPr>
          <w:rFonts w:cs="Times New Roman"/>
          <w:b/>
          <w:szCs w:val="28"/>
        </w:rPr>
        <w:t xml:space="preserve">физиологические особенности </w:t>
      </w:r>
      <w:r w:rsidR="00D77B6D" w:rsidRPr="002B136D">
        <w:rPr>
          <w:rFonts w:cs="Times New Roman"/>
          <w:b/>
          <w:szCs w:val="28"/>
        </w:rPr>
        <w:t>эндокринной офтальмопатии</w:t>
      </w:r>
      <w:proofErr w:type="gramEnd"/>
    </w:p>
    <w:p w14:paraId="59C5CAA7" w14:textId="6BFC73E7" w:rsidR="007C5CEA" w:rsidRPr="002B136D" w:rsidRDefault="00B27943" w:rsidP="002B136D">
      <w:pPr>
        <w:spacing w:after="0" w:line="240" w:lineRule="auto"/>
        <w:ind w:firstLine="567"/>
        <w:contextualSpacing/>
        <w:jc w:val="both"/>
        <w:rPr>
          <w:rFonts w:cs="Times New Roman"/>
          <w:szCs w:val="28"/>
        </w:rPr>
      </w:pPr>
      <w:proofErr w:type="gramStart"/>
      <w:r w:rsidRPr="002B136D">
        <w:rPr>
          <w:rFonts w:cs="Times New Roman"/>
          <w:szCs w:val="28"/>
        </w:rPr>
        <w:t>Эндокринная</w:t>
      </w:r>
      <w:proofErr w:type="gramEnd"/>
      <w:r w:rsidRPr="002B136D">
        <w:rPr>
          <w:rFonts w:cs="Times New Roman"/>
          <w:szCs w:val="28"/>
        </w:rPr>
        <w:t xml:space="preserve"> офтальмопатия (ЭОП), также известная как тиреоидная офтальмопатия или тиреоидн</w:t>
      </w:r>
      <w:r w:rsidR="008800DE" w:rsidRPr="002B136D">
        <w:rPr>
          <w:rFonts w:cs="Times New Roman"/>
          <w:szCs w:val="28"/>
        </w:rPr>
        <w:t>ый глаз, является осложнением ау</w:t>
      </w:r>
      <w:r w:rsidRPr="002B136D">
        <w:rPr>
          <w:rFonts w:cs="Times New Roman"/>
          <w:szCs w:val="28"/>
        </w:rPr>
        <w:t>тоиммунного заболевания щитовидной железы, такого как</w:t>
      </w:r>
      <w:r w:rsidR="00F35362" w:rsidRPr="002B136D">
        <w:rPr>
          <w:rFonts w:cs="Times New Roman"/>
          <w:szCs w:val="28"/>
        </w:rPr>
        <w:t xml:space="preserve"> болезень Грейвса</w:t>
      </w:r>
      <w:r w:rsidRPr="002B136D">
        <w:rPr>
          <w:rFonts w:cs="Times New Roman"/>
          <w:szCs w:val="28"/>
        </w:rPr>
        <w:t>. ЭОП характеризуется воспалением и отеком в тканях орбиты, что приводит к различным симптомам, включая выступание глазных яблок (экзофтальм), воспаление окружающих тканей и нарушение функции глаз.</w:t>
      </w:r>
    </w:p>
    <w:p w14:paraId="594AB11B" w14:textId="77777777" w:rsidR="00201882" w:rsidRPr="002B136D" w:rsidRDefault="00B27943" w:rsidP="002B136D">
      <w:pPr>
        <w:spacing w:after="0" w:line="240" w:lineRule="auto"/>
        <w:ind w:firstLine="567"/>
        <w:contextualSpacing/>
        <w:jc w:val="both"/>
        <w:rPr>
          <w:rFonts w:cs="Times New Roman"/>
          <w:szCs w:val="28"/>
        </w:rPr>
      </w:pPr>
      <w:r w:rsidRPr="002B136D">
        <w:rPr>
          <w:rFonts w:cs="Times New Roman"/>
          <w:szCs w:val="28"/>
        </w:rPr>
        <w:t xml:space="preserve">Связь между </w:t>
      </w:r>
      <w:r w:rsidR="002F4171" w:rsidRPr="002B136D">
        <w:rPr>
          <w:rFonts w:cs="Times New Roman"/>
          <w:szCs w:val="28"/>
        </w:rPr>
        <w:t xml:space="preserve">патологией </w:t>
      </w:r>
      <w:r w:rsidRPr="002B136D">
        <w:rPr>
          <w:rFonts w:cs="Times New Roman"/>
          <w:szCs w:val="28"/>
        </w:rPr>
        <w:t>щитовидной железой и ЭОП обусловлена а</w:t>
      </w:r>
      <w:r w:rsidR="00287A50" w:rsidRPr="002B136D">
        <w:rPr>
          <w:rFonts w:cs="Times New Roman"/>
          <w:szCs w:val="28"/>
        </w:rPr>
        <w:t>у</w:t>
      </w:r>
      <w:r w:rsidRPr="002B136D">
        <w:rPr>
          <w:rFonts w:cs="Times New Roman"/>
          <w:szCs w:val="28"/>
        </w:rPr>
        <w:t>тоиммунными процессами, которые хара</w:t>
      </w:r>
      <w:r w:rsidR="00253E32" w:rsidRPr="002B136D">
        <w:rPr>
          <w:rFonts w:cs="Times New Roman"/>
          <w:szCs w:val="28"/>
        </w:rPr>
        <w:t>ктерны для обоих состояний. В ау</w:t>
      </w:r>
      <w:r w:rsidRPr="002B136D">
        <w:rPr>
          <w:rFonts w:cs="Times New Roman"/>
          <w:szCs w:val="28"/>
        </w:rPr>
        <w:t>тоиммунных заболеваниях, таких как болезнь</w:t>
      </w:r>
      <w:r w:rsidR="00253E32" w:rsidRPr="002B136D">
        <w:rPr>
          <w:rFonts w:cs="Times New Roman"/>
          <w:szCs w:val="28"/>
        </w:rPr>
        <w:t xml:space="preserve"> Грейвса</w:t>
      </w:r>
      <w:r w:rsidRPr="002B136D">
        <w:rPr>
          <w:rFonts w:cs="Times New Roman"/>
          <w:szCs w:val="28"/>
        </w:rPr>
        <w:t xml:space="preserve">, иммунная система </w:t>
      </w:r>
      <w:r w:rsidRPr="002B136D">
        <w:rPr>
          <w:rFonts w:cs="Times New Roman"/>
          <w:szCs w:val="28"/>
        </w:rPr>
        <w:lastRenderedPageBreak/>
        <w:t>организма атакует собственные ткани, включая тиреоидную железу и ткани вокруг глаз.</w:t>
      </w:r>
      <w:r w:rsidR="00FE74DE" w:rsidRPr="002B136D">
        <w:rPr>
          <w:rFonts w:cs="Times New Roman"/>
          <w:szCs w:val="28"/>
        </w:rPr>
        <w:t xml:space="preserve"> </w:t>
      </w:r>
      <w:r w:rsidRPr="002B136D">
        <w:rPr>
          <w:rFonts w:cs="Times New Roman"/>
          <w:szCs w:val="28"/>
        </w:rPr>
        <w:t>Одной из основных гипотез относительно патогенеза ЭОП является гипотеза о сходстве антигенов. По этой гипотезе, антитела, производимые в ответ на антигены в щитовидной железе, могут также связываться с антигенами в тканях орбиты, вызывая воспалительный ответ и повреждение. Активация воспалительного процесса приводит к увеличению объема тканей орбиты, отеку, нарушению дренажа и другим симптомам ЭОП.</w:t>
      </w:r>
      <w:r w:rsidR="007B7B91" w:rsidRPr="002B136D">
        <w:rPr>
          <w:rFonts w:cs="Times New Roman"/>
          <w:szCs w:val="28"/>
        </w:rPr>
        <w:t xml:space="preserve"> </w:t>
      </w:r>
    </w:p>
    <w:p w14:paraId="25781750" w14:textId="11D39CCE" w:rsidR="007B7B91" w:rsidRPr="002B136D" w:rsidRDefault="00201882" w:rsidP="00D51D40">
      <w:pPr>
        <w:spacing w:after="0" w:line="240" w:lineRule="auto"/>
        <w:ind w:firstLine="567"/>
        <w:contextualSpacing/>
        <w:jc w:val="both"/>
        <w:rPr>
          <w:rFonts w:cs="Times New Roman"/>
          <w:szCs w:val="28"/>
        </w:rPr>
      </w:pPr>
      <w:r w:rsidRPr="002B136D">
        <w:rPr>
          <w:szCs w:val="28"/>
        </w:rPr>
        <w:t xml:space="preserve">В патогенезе эндокринной офтальмопатии (ЭОП) ключевую роль играют антитела к рецептору ТТГ (анти-рТТГ), которые, связываясь с рТТГ в щитовидной железе и тканях орбиты, вызывают аутоиммунное воспаление и стимулируют продукцию тиреоидных гормонов. </w:t>
      </w:r>
      <w:r w:rsidR="00D30224" w:rsidRPr="002B136D">
        <w:rPr>
          <w:rFonts w:cs="Times New Roman"/>
          <w:szCs w:val="28"/>
        </w:rPr>
        <w:t>Анти-рТТГ</w:t>
      </w:r>
      <w:r w:rsidR="007B7B91" w:rsidRPr="002B136D">
        <w:rPr>
          <w:rFonts w:cs="Times New Roman"/>
          <w:szCs w:val="28"/>
        </w:rPr>
        <w:t xml:space="preserve"> также играют важную роль в развитии выступания глазных яблок и других симптомов ЭОП. Они стимулируют фибробласты в тканях орбиты, вызывая повышенное образование коллагена и гликозаминогликанов. Это приводит к утолщению тканей, отеку и изменению формы глазных век и глазных яблок.</w:t>
      </w:r>
      <w:r w:rsidR="007D42F8" w:rsidRPr="002B136D">
        <w:rPr>
          <w:rFonts w:cs="Times New Roman"/>
          <w:szCs w:val="28"/>
        </w:rPr>
        <w:t xml:space="preserve"> </w:t>
      </w:r>
      <w:r w:rsidR="007B7B91" w:rsidRPr="002B136D">
        <w:rPr>
          <w:rFonts w:cs="Times New Roman"/>
          <w:szCs w:val="28"/>
        </w:rPr>
        <w:t xml:space="preserve">Кроме антител против </w:t>
      </w:r>
      <w:r w:rsidR="00F71FF3" w:rsidRPr="002B136D">
        <w:rPr>
          <w:rFonts w:cs="Times New Roman"/>
          <w:szCs w:val="28"/>
        </w:rPr>
        <w:t>рТТГ</w:t>
      </w:r>
      <w:r w:rsidR="007B7B91" w:rsidRPr="002B136D">
        <w:rPr>
          <w:rFonts w:cs="Times New Roman"/>
          <w:szCs w:val="28"/>
        </w:rPr>
        <w:t>, в развитии ЭОП могут быть вовлечены и другие аутоантитела, такие как антитела против п</w:t>
      </w:r>
      <w:r w:rsidR="000E4B69" w:rsidRPr="002B136D">
        <w:rPr>
          <w:rFonts w:cs="Times New Roman"/>
          <w:szCs w:val="28"/>
        </w:rPr>
        <w:t>ероксидазы тиреоидной железы (</w:t>
      </w:r>
      <w:r w:rsidR="007D42F8" w:rsidRPr="002B136D">
        <w:rPr>
          <w:rFonts w:cs="Times New Roman"/>
          <w:szCs w:val="28"/>
        </w:rPr>
        <w:t>Анти-</w:t>
      </w:r>
      <w:proofErr w:type="gramStart"/>
      <w:r w:rsidR="000E4B69" w:rsidRPr="002B136D">
        <w:rPr>
          <w:rFonts w:cs="Times New Roman"/>
          <w:szCs w:val="28"/>
        </w:rPr>
        <w:t>T</w:t>
      </w:r>
      <w:proofErr w:type="gramEnd"/>
      <w:r w:rsidR="000E4B69" w:rsidRPr="002B136D">
        <w:rPr>
          <w:rFonts w:cs="Times New Roman"/>
          <w:szCs w:val="28"/>
        </w:rPr>
        <w:t>П</w:t>
      </w:r>
      <w:r w:rsidR="007B7B91" w:rsidRPr="002B136D">
        <w:rPr>
          <w:rFonts w:cs="Times New Roman"/>
          <w:szCs w:val="28"/>
        </w:rPr>
        <w:t>O), антитела против тиреоглобулина и др. Все эти аутоантитела вносят свой вклад в патогенез ЭОП.</w:t>
      </w:r>
    </w:p>
    <w:p w14:paraId="0B231535" w14:textId="393D022E" w:rsidR="00B27943" w:rsidRPr="002B136D" w:rsidRDefault="007B7B91" w:rsidP="00D51D40">
      <w:pPr>
        <w:spacing w:after="0" w:line="240" w:lineRule="auto"/>
        <w:ind w:firstLine="567"/>
        <w:contextualSpacing/>
        <w:jc w:val="both"/>
        <w:rPr>
          <w:rFonts w:cs="Times New Roman"/>
          <w:szCs w:val="28"/>
        </w:rPr>
      </w:pPr>
      <w:r w:rsidRPr="002B136D">
        <w:rPr>
          <w:rFonts w:cs="Times New Roman"/>
          <w:szCs w:val="28"/>
        </w:rPr>
        <w:t>Таким образом, связь между щитовидной железой и эндокринной офта</w:t>
      </w:r>
      <w:r w:rsidR="000C4320" w:rsidRPr="002B136D">
        <w:rPr>
          <w:rFonts w:cs="Times New Roman"/>
          <w:szCs w:val="28"/>
        </w:rPr>
        <w:t>льмопатией обусловлена общими ау</w:t>
      </w:r>
      <w:r w:rsidRPr="002B136D">
        <w:rPr>
          <w:rFonts w:cs="Times New Roman"/>
          <w:szCs w:val="28"/>
        </w:rPr>
        <w:t>тоиммунными механизмами. Понимание этих механизмов помогает разрабатывать новые подходы к диагностике и лечению ЭОП, направленные на снижение воспаления</w:t>
      </w:r>
      <w:r w:rsidR="000C4320" w:rsidRPr="002B136D">
        <w:rPr>
          <w:rFonts w:cs="Times New Roman"/>
          <w:szCs w:val="28"/>
        </w:rPr>
        <w:t>.</w:t>
      </w:r>
    </w:p>
    <w:p w14:paraId="7FFE4D28" w14:textId="77777777" w:rsidR="00E15810" w:rsidRPr="002B136D" w:rsidRDefault="00B27943" w:rsidP="00D51D40">
      <w:pPr>
        <w:spacing w:after="0" w:line="240" w:lineRule="auto"/>
        <w:ind w:firstLine="567"/>
        <w:contextualSpacing/>
        <w:jc w:val="both"/>
        <w:rPr>
          <w:rFonts w:cs="Times New Roman"/>
          <w:szCs w:val="28"/>
        </w:rPr>
      </w:pPr>
      <w:r w:rsidRPr="002B136D">
        <w:rPr>
          <w:rFonts w:cs="Times New Roman"/>
          <w:szCs w:val="28"/>
        </w:rPr>
        <w:t>Факторы, такие как генетическая предрасположенность, пол и курение, также могут играть роль в развитии ЭОП. Однако точные механизмы, связывающие щитовидную железу и ЭОП, все еще не полностью понятны, и исследования в этой области продолжаются.</w:t>
      </w:r>
    </w:p>
    <w:p w14:paraId="5BF14E1F" w14:textId="014D9234" w:rsidR="007C5CEA" w:rsidRPr="002B136D" w:rsidRDefault="006A31F4" w:rsidP="00D51D40">
      <w:pPr>
        <w:spacing w:after="0" w:line="240" w:lineRule="auto"/>
        <w:ind w:firstLine="567"/>
        <w:contextualSpacing/>
        <w:jc w:val="both"/>
        <w:rPr>
          <w:rFonts w:cs="Times New Roman"/>
          <w:szCs w:val="28"/>
        </w:rPr>
      </w:pPr>
      <w:proofErr w:type="gramStart"/>
      <w:r w:rsidRPr="002B136D">
        <w:rPr>
          <w:rFonts w:cs="Times New Roman"/>
          <w:szCs w:val="28"/>
        </w:rPr>
        <w:t xml:space="preserve">Щитовидная железа </w:t>
      </w:r>
      <w:r w:rsidR="000F2E6F" w:rsidRPr="002B136D">
        <w:rPr>
          <w:rFonts w:cs="Times New Roman"/>
          <w:szCs w:val="28"/>
        </w:rPr>
        <w:t>(</w:t>
      </w:r>
      <w:r w:rsidRPr="002B136D">
        <w:rPr>
          <w:rFonts w:cs="Times New Roman"/>
          <w:szCs w:val="28"/>
        </w:rPr>
        <w:t>лат.</w:t>
      </w:r>
      <w:proofErr w:type="gramEnd"/>
      <w:r w:rsidRPr="002B136D">
        <w:rPr>
          <w:rFonts w:cs="Times New Roman"/>
          <w:szCs w:val="28"/>
        </w:rPr>
        <w:t xml:space="preserve"> </w:t>
      </w:r>
      <w:r w:rsidRPr="002B136D">
        <w:rPr>
          <w:rFonts w:cs="Times New Roman"/>
          <w:szCs w:val="28"/>
          <w:lang w:val="en-US"/>
        </w:rPr>
        <w:t>Glandula</w:t>
      </w:r>
      <w:r w:rsidRPr="002B136D">
        <w:rPr>
          <w:rFonts w:cs="Times New Roman"/>
          <w:szCs w:val="28"/>
        </w:rPr>
        <w:t xml:space="preserve"> </w:t>
      </w:r>
      <w:r w:rsidRPr="002B136D">
        <w:rPr>
          <w:rFonts w:cs="Times New Roman"/>
          <w:szCs w:val="28"/>
          <w:lang w:val="en-US"/>
        </w:rPr>
        <w:t>thyroidea</w:t>
      </w:r>
      <w:r w:rsidR="000F2E6F" w:rsidRPr="002B136D">
        <w:rPr>
          <w:rFonts w:cs="Times New Roman"/>
          <w:szCs w:val="28"/>
          <w:lang w:val="kk-KZ"/>
        </w:rPr>
        <w:t xml:space="preserve">) </w:t>
      </w:r>
      <w:r w:rsidRPr="002B136D">
        <w:rPr>
          <w:rFonts w:cs="Times New Roman"/>
          <w:szCs w:val="28"/>
        </w:rPr>
        <w:t>- это эндокринный орган, участвующий в регуляции двух важнейших процессов организма: метабо</w:t>
      </w:r>
      <w:r w:rsidR="00BD3ED0" w:rsidRPr="002B136D">
        <w:rPr>
          <w:rFonts w:cs="Times New Roman"/>
          <w:szCs w:val="28"/>
        </w:rPr>
        <w:t xml:space="preserve">лического и кальциево-фосфорного </w:t>
      </w:r>
      <w:r w:rsidRPr="002B136D">
        <w:rPr>
          <w:rFonts w:cs="Times New Roman"/>
          <w:szCs w:val="28"/>
        </w:rPr>
        <w:t>обмена.</w:t>
      </w:r>
      <w:r w:rsidR="00D77B6D" w:rsidRPr="002B136D">
        <w:rPr>
          <w:rFonts w:cs="Times New Roman"/>
          <w:szCs w:val="28"/>
        </w:rPr>
        <w:t xml:space="preserve"> </w:t>
      </w:r>
    </w:p>
    <w:p w14:paraId="4527DFD9" w14:textId="77777777" w:rsidR="00247325" w:rsidRPr="002B136D" w:rsidRDefault="00DF611A" w:rsidP="00D51D40">
      <w:pPr>
        <w:spacing w:after="0" w:line="240" w:lineRule="auto"/>
        <w:ind w:firstLine="567"/>
        <w:contextualSpacing/>
        <w:jc w:val="both"/>
      </w:pPr>
      <w:r w:rsidRPr="002B136D">
        <w:rPr>
          <w:rFonts w:eastAsia="Times New Roman" w:cs="Times New Roman"/>
          <w:szCs w:val="24"/>
          <w:lang w:eastAsia="ru-RU"/>
        </w:rPr>
        <w:t xml:space="preserve">Щитовидная железа (ЩЖ), непарный орган под контролем нервной системы и гипофиза, состоит из двух долей, обычно соединенных перешейком. </w:t>
      </w:r>
      <w:r w:rsidR="00247325" w:rsidRPr="002B136D">
        <w:t>Ткань щитовидной железы (паренхима) состоит из фолликулярных клеток. Эти клетки производят гормоны Т3 и Т</w:t>
      </w:r>
      <w:proofErr w:type="gramStart"/>
      <w:r w:rsidR="00247325" w:rsidRPr="002B136D">
        <w:t>4</w:t>
      </w:r>
      <w:proofErr w:type="gramEnd"/>
      <w:r w:rsidR="00247325" w:rsidRPr="002B136D">
        <w:t>. Гормоны накапливаются в фолликулах, заполненных коллоидом, который содержит тиреоглобулин. Кроме того, в щитовидной железе есть парафолликулярные С-клетки. Они вырабатывают кальцитонин, гормон, регулирующий уровень кальция и фосфора в организме.</w:t>
      </w:r>
    </w:p>
    <w:p w14:paraId="71BA76E6" w14:textId="1D2C3CDE" w:rsidR="00DF611A" w:rsidRPr="002B136D" w:rsidRDefault="00DF611A" w:rsidP="00D51D40">
      <w:pPr>
        <w:spacing w:after="0" w:line="240" w:lineRule="auto"/>
        <w:ind w:firstLine="567"/>
        <w:contextualSpacing/>
        <w:jc w:val="both"/>
        <w:rPr>
          <w:rFonts w:eastAsia="Times New Roman" w:cs="Times New Roman"/>
          <w:szCs w:val="24"/>
          <w:lang w:eastAsia="ru-RU"/>
        </w:rPr>
      </w:pPr>
      <w:r w:rsidRPr="002B136D">
        <w:rPr>
          <w:rFonts w:eastAsia="Times New Roman" w:cs="Times New Roman"/>
          <w:szCs w:val="24"/>
          <w:lang w:eastAsia="ru-RU"/>
        </w:rPr>
        <w:t>Синтез Т</w:t>
      </w:r>
      <w:proofErr w:type="gramStart"/>
      <w:r w:rsidRPr="002B136D">
        <w:rPr>
          <w:rFonts w:eastAsia="Times New Roman" w:cs="Times New Roman"/>
          <w:szCs w:val="24"/>
          <w:lang w:eastAsia="ru-RU"/>
        </w:rPr>
        <w:t>4</w:t>
      </w:r>
      <w:proofErr w:type="gramEnd"/>
      <w:r w:rsidRPr="002B136D">
        <w:rPr>
          <w:rFonts w:eastAsia="Times New Roman" w:cs="Times New Roman"/>
          <w:szCs w:val="24"/>
          <w:lang w:eastAsia="ru-RU"/>
        </w:rPr>
        <w:t xml:space="preserve"> и Т3 происходит из тирозина и йода, поступающего в организм с пищей и водой. Йод в ионизированной форме транспортируется в тироциты натрий-йодидным симпортером (NIS), окисляется и присоединяется к остаткам тирозина в тиреоглобулине (процесс органификации), </w:t>
      </w:r>
      <w:proofErr w:type="gramStart"/>
      <w:r w:rsidRPr="002B136D">
        <w:rPr>
          <w:rFonts w:eastAsia="Times New Roman" w:cs="Times New Roman"/>
          <w:szCs w:val="24"/>
          <w:lang w:eastAsia="ru-RU"/>
        </w:rPr>
        <w:t>катализируемом</w:t>
      </w:r>
      <w:proofErr w:type="gramEnd"/>
      <w:r w:rsidRPr="002B136D">
        <w:rPr>
          <w:rFonts w:eastAsia="Times New Roman" w:cs="Times New Roman"/>
          <w:szCs w:val="24"/>
          <w:lang w:eastAsia="ru-RU"/>
        </w:rPr>
        <w:t xml:space="preserve"> тиреоидной пероксидазой (ТПО). Тиреоглобулин с йодтиронинами транспортируется в коллоид, затем обратно в тироциты, высвобождая Т</w:t>
      </w:r>
      <w:proofErr w:type="gramStart"/>
      <w:r w:rsidRPr="002B136D">
        <w:rPr>
          <w:rFonts w:eastAsia="Times New Roman" w:cs="Times New Roman"/>
          <w:szCs w:val="24"/>
          <w:lang w:eastAsia="ru-RU"/>
        </w:rPr>
        <w:t>4</w:t>
      </w:r>
      <w:proofErr w:type="gramEnd"/>
      <w:r w:rsidRPr="002B136D">
        <w:rPr>
          <w:rFonts w:eastAsia="Times New Roman" w:cs="Times New Roman"/>
          <w:szCs w:val="24"/>
          <w:lang w:eastAsia="ru-RU"/>
        </w:rPr>
        <w:t xml:space="preserve"> и Т3 в кровь.</w:t>
      </w:r>
    </w:p>
    <w:p w14:paraId="19705AC8" w14:textId="77777777" w:rsidR="00DF611A" w:rsidRPr="002B136D" w:rsidRDefault="00DF611A" w:rsidP="00D51D40">
      <w:pPr>
        <w:spacing w:after="0" w:line="240" w:lineRule="auto"/>
        <w:ind w:firstLine="567"/>
        <w:contextualSpacing/>
        <w:jc w:val="both"/>
        <w:rPr>
          <w:rFonts w:eastAsia="Times New Roman" w:cs="Times New Roman"/>
          <w:szCs w:val="24"/>
          <w:lang w:eastAsia="ru-RU"/>
        </w:rPr>
      </w:pPr>
      <w:r w:rsidRPr="002B136D">
        <w:rPr>
          <w:rFonts w:eastAsia="Times New Roman" w:cs="Times New Roman"/>
          <w:szCs w:val="24"/>
          <w:lang w:eastAsia="ru-RU"/>
        </w:rPr>
        <w:lastRenderedPageBreak/>
        <w:t>В крови Т</w:t>
      </w:r>
      <w:proofErr w:type="gramStart"/>
      <w:r w:rsidRPr="002B136D">
        <w:rPr>
          <w:rFonts w:eastAsia="Times New Roman" w:cs="Times New Roman"/>
          <w:szCs w:val="24"/>
          <w:lang w:eastAsia="ru-RU"/>
        </w:rPr>
        <w:t>4</w:t>
      </w:r>
      <w:proofErr w:type="gramEnd"/>
      <w:r w:rsidRPr="002B136D">
        <w:rPr>
          <w:rFonts w:eastAsia="Times New Roman" w:cs="Times New Roman"/>
          <w:szCs w:val="24"/>
          <w:lang w:eastAsia="ru-RU"/>
        </w:rPr>
        <w:t xml:space="preserve"> и Т3 связываются с белками плазмы. Период полужизни Т</w:t>
      </w:r>
      <w:proofErr w:type="gramStart"/>
      <w:r w:rsidRPr="002B136D">
        <w:rPr>
          <w:rFonts w:eastAsia="Times New Roman" w:cs="Times New Roman"/>
          <w:szCs w:val="24"/>
          <w:lang w:eastAsia="ru-RU"/>
        </w:rPr>
        <w:t>4</w:t>
      </w:r>
      <w:proofErr w:type="gramEnd"/>
      <w:r w:rsidRPr="002B136D">
        <w:rPr>
          <w:rFonts w:eastAsia="Times New Roman" w:cs="Times New Roman"/>
          <w:szCs w:val="24"/>
          <w:lang w:eastAsia="ru-RU"/>
        </w:rPr>
        <w:t xml:space="preserve"> составляет 7-9 дней, Т3 – 2 дня. Свободные йодтиронины проникают в клетки, где метаболизируются, главным образом путем дейодирования. Важнейшая конверсия – превращение Т</w:t>
      </w:r>
      <w:proofErr w:type="gramStart"/>
      <w:r w:rsidRPr="002B136D">
        <w:rPr>
          <w:rFonts w:eastAsia="Times New Roman" w:cs="Times New Roman"/>
          <w:szCs w:val="24"/>
          <w:lang w:eastAsia="ru-RU"/>
        </w:rPr>
        <w:t>4</w:t>
      </w:r>
      <w:proofErr w:type="gramEnd"/>
      <w:r w:rsidRPr="002B136D">
        <w:rPr>
          <w:rFonts w:eastAsia="Times New Roman" w:cs="Times New Roman"/>
          <w:szCs w:val="24"/>
          <w:lang w:eastAsia="ru-RU"/>
        </w:rPr>
        <w:t xml:space="preserve"> в более активный Т3. Т3, взаимодействуя с ядерными рецепторами, изменяет экспрессию генов, регулируя основной обмен.</w:t>
      </w:r>
    </w:p>
    <w:p w14:paraId="7456A01A" w14:textId="77777777" w:rsidR="00247325" w:rsidRPr="002B136D" w:rsidRDefault="00247325" w:rsidP="002B136D">
      <w:pPr>
        <w:spacing w:after="0" w:line="240" w:lineRule="auto"/>
        <w:ind w:firstLine="567"/>
        <w:contextualSpacing/>
        <w:jc w:val="both"/>
        <w:rPr>
          <w:rFonts w:eastAsia="Times New Roman" w:cs="Times New Roman"/>
          <w:szCs w:val="24"/>
          <w:lang w:eastAsia="ru-RU"/>
        </w:rPr>
      </w:pPr>
      <w:r w:rsidRPr="002B136D">
        <w:rPr>
          <w:rFonts w:eastAsia="Times New Roman" w:cs="Times New Roman"/>
          <w:szCs w:val="24"/>
          <w:lang w:eastAsia="ru-RU"/>
        </w:rPr>
        <w:t>Только 5-10% активного гормона Т3 вырабатывается в щитовидной железе. Основная часть Т3 образуется в других тканях из гормона Т</w:t>
      </w:r>
      <w:proofErr w:type="gramStart"/>
      <w:r w:rsidRPr="002B136D">
        <w:rPr>
          <w:rFonts w:eastAsia="Times New Roman" w:cs="Times New Roman"/>
          <w:szCs w:val="24"/>
          <w:lang w:eastAsia="ru-RU"/>
        </w:rPr>
        <w:t>4</w:t>
      </w:r>
      <w:proofErr w:type="gramEnd"/>
      <w:r w:rsidRPr="002B136D">
        <w:rPr>
          <w:rFonts w:eastAsia="Times New Roman" w:cs="Times New Roman"/>
          <w:szCs w:val="24"/>
          <w:lang w:eastAsia="ru-RU"/>
        </w:rPr>
        <w:t xml:space="preserve"> под воздействием ферментов дейодиназ. Работа щитовидной железы контролируется гипофизом по принципу обратной связи: тиреотропный гормон (ТТГ) стимулирует выработку гормонов щитовидной железы, а те, в свою очередь, снижают выработку ТТГ.</w:t>
      </w:r>
    </w:p>
    <w:p w14:paraId="3A48FD42" w14:textId="77777777" w:rsidR="00247325" w:rsidRPr="002B136D" w:rsidRDefault="00247325" w:rsidP="002B136D">
      <w:pPr>
        <w:spacing w:after="0" w:line="240" w:lineRule="auto"/>
        <w:ind w:firstLine="567"/>
        <w:contextualSpacing/>
        <w:jc w:val="both"/>
        <w:rPr>
          <w:rFonts w:eastAsia="Times New Roman" w:cs="Times New Roman"/>
          <w:szCs w:val="24"/>
          <w:lang w:eastAsia="ru-RU"/>
        </w:rPr>
      </w:pPr>
      <w:r w:rsidRPr="002B136D">
        <w:rPr>
          <w:rFonts w:eastAsia="Times New Roman" w:cs="Times New Roman"/>
          <w:szCs w:val="24"/>
          <w:lang w:eastAsia="ru-RU"/>
        </w:rPr>
        <w:t>Гормоны щитовидной железы важны для поддержания обмена веществ, регулируя активность метаболизма, рост и гибель клеток, а также работу всех органов и систем. Нарушения в работе щитовидной железы влияют на весь организм. Гормоны щитовидной железы крайне важны для развития нервной системы плода и новорожденного. Недостаток тироксина в этот период может привести к неврологическим проблемам. Традиционно считается, что гормоны щитовидной железы обладают "калоригенным" эффектом: они ускоряют обмен веществ, увеличивая потребление кислорода и выработку тепла.</w:t>
      </w:r>
    </w:p>
    <w:p w14:paraId="25548F32" w14:textId="77777777" w:rsidR="000334F8" w:rsidRPr="002B136D" w:rsidRDefault="00985B55" w:rsidP="002B136D">
      <w:pPr>
        <w:spacing w:after="0" w:line="240" w:lineRule="auto"/>
        <w:ind w:firstLine="567"/>
        <w:contextualSpacing/>
        <w:jc w:val="both"/>
        <w:rPr>
          <w:rFonts w:cs="Times New Roman"/>
          <w:szCs w:val="28"/>
        </w:rPr>
      </w:pPr>
      <w:r w:rsidRPr="002B136D">
        <w:rPr>
          <w:rFonts w:cs="Times New Roman"/>
          <w:szCs w:val="28"/>
          <w:lang w:val="kk-KZ"/>
        </w:rPr>
        <w:t>При инфекционных инвазиях организма, стрессе, генетических предросположенностях, при в</w:t>
      </w:r>
      <w:r w:rsidR="007825CA" w:rsidRPr="002B136D">
        <w:rPr>
          <w:rFonts w:cs="Times New Roman"/>
          <w:szCs w:val="28"/>
          <w:lang w:val="kk-KZ"/>
        </w:rPr>
        <w:t>лияниях окружающей среды изменяе</w:t>
      </w:r>
      <w:r w:rsidRPr="002B136D">
        <w:rPr>
          <w:rFonts w:cs="Times New Roman"/>
          <w:szCs w:val="28"/>
          <w:lang w:val="kk-KZ"/>
        </w:rPr>
        <w:t>тся функция же</w:t>
      </w:r>
      <w:r w:rsidR="007825CA" w:rsidRPr="002B136D">
        <w:rPr>
          <w:rFonts w:cs="Times New Roman"/>
          <w:szCs w:val="28"/>
          <w:lang w:val="kk-KZ"/>
        </w:rPr>
        <w:t>лезы</w:t>
      </w:r>
      <w:r w:rsidRPr="002B136D">
        <w:rPr>
          <w:rFonts w:cs="Times New Roman"/>
          <w:szCs w:val="28"/>
        </w:rPr>
        <w:t xml:space="preserve">. </w:t>
      </w:r>
    </w:p>
    <w:p w14:paraId="508B7AE5" w14:textId="77777777" w:rsidR="00D51D40" w:rsidRDefault="00985B55" w:rsidP="002B136D">
      <w:pPr>
        <w:spacing w:after="0" w:line="240" w:lineRule="auto"/>
        <w:ind w:firstLine="567"/>
        <w:contextualSpacing/>
        <w:jc w:val="both"/>
        <w:rPr>
          <w:rFonts w:cs="Times New Roman"/>
          <w:szCs w:val="28"/>
        </w:rPr>
      </w:pPr>
      <w:r w:rsidRPr="002B136D">
        <w:rPr>
          <w:rFonts w:cs="Times New Roman"/>
          <w:szCs w:val="28"/>
        </w:rPr>
        <w:t>Точная причина развития аутоиммунных болезней до конца не изучен</w:t>
      </w:r>
      <w:r w:rsidR="00493936" w:rsidRPr="002B136D">
        <w:rPr>
          <w:rFonts w:cs="Times New Roman"/>
          <w:szCs w:val="28"/>
        </w:rPr>
        <w:t>а</w:t>
      </w:r>
      <w:r w:rsidRPr="002B136D">
        <w:rPr>
          <w:rFonts w:cs="Times New Roman"/>
          <w:szCs w:val="28"/>
        </w:rPr>
        <w:t>, идет поиск генетических маркеров, для ранней диагностики и таргетной терапии иммунной патологии.</w:t>
      </w:r>
      <w:r w:rsidR="00D77B6D" w:rsidRPr="002B136D">
        <w:rPr>
          <w:rFonts w:cs="Times New Roman"/>
          <w:szCs w:val="28"/>
        </w:rPr>
        <w:t xml:space="preserve"> </w:t>
      </w:r>
      <w:proofErr w:type="gramStart"/>
      <w:r w:rsidR="004706BF" w:rsidRPr="002B136D">
        <w:rPr>
          <w:rFonts w:cs="Times New Roman"/>
          <w:szCs w:val="28"/>
        </w:rPr>
        <w:t>Баланс про- и противовоспалительных цитокинов играет ключевую роль в патогенезе аутоиммунных заболеваний, включая эндокринную офтальмопатию.</w:t>
      </w:r>
      <w:proofErr w:type="gramEnd"/>
      <w:r w:rsidR="004706BF" w:rsidRPr="002B136D">
        <w:rPr>
          <w:rFonts w:cs="Times New Roman"/>
          <w:szCs w:val="28"/>
        </w:rPr>
        <w:t xml:space="preserve"> Т-лимфоциты, перекрестно реагирующие с р-ТТГ в тканях щитовидной железы и орбитальных фибробластах, вызывают аутоиммунное воспаление путем продукции цитокинов </w:t>
      </w:r>
      <w:r w:rsidR="000A5179" w:rsidRPr="002B136D">
        <w:rPr>
          <w:rFonts w:cs="Times New Roman"/>
          <w:szCs w:val="28"/>
        </w:rPr>
        <w:fldChar w:fldCharType="begin"/>
      </w:r>
      <w:r w:rsidR="00A6759A" w:rsidRPr="002B136D">
        <w:rPr>
          <w:rFonts w:cs="Times New Roman"/>
          <w:szCs w:val="28"/>
        </w:rPr>
        <w:instrText xml:space="preserve"> ADDIN ZOTERO_ITEM CSL_CITATION {"citationID":"O7SsarPR","properties":{"formattedCitation":"[37]","plainCitation":"[37]","noteIndex":0},"citationItems":[{"id":250,"uris":["http://zotero.org/users/8237658/items/QCI6BFEC"],"itemData":{"id":250,"type":"book","title":"Banga JP, Moshkelgosha S, Berchner-Pfannschmidt U, Eckstein A. Modeling Graves’ orbitopathy in experimental Graves’ disease. Horm Metab Res. 2015;47(10):797-803. doi: https://doi.org/10.1055/s-0035-1555956."}}],"schema":"https://github.com/citation-style-language/schema/raw/master/csl-citation.json"} </w:instrText>
      </w:r>
      <w:r w:rsidR="000A5179" w:rsidRPr="002B136D">
        <w:rPr>
          <w:rFonts w:cs="Times New Roman"/>
          <w:szCs w:val="28"/>
        </w:rPr>
        <w:fldChar w:fldCharType="separate"/>
      </w:r>
      <w:r w:rsidR="00A6759A" w:rsidRPr="002B136D">
        <w:rPr>
          <w:rFonts w:cs="Times New Roman"/>
        </w:rPr>
        <w:t>[37]</w:t>
      </w:r>
      <w:r w:rsidR="000A5179" w:rsidRPr="002B136D">
        <w:rPr>
          <w:rFonts w:cs="Times New Roman"/>
          <w:szCs w:val="28"/>
        </w:rPr>
        <w:fldChar w:fldCharType="end"/>
      </w:r>
      <w:r w:rsidR="000A5179" w:rsidRPr="002B136D">
        <w:rPr>
          <w:rFonts w:cs="Times New Roman"/>
          <w:szCs w:val="28"/>
        </w:rPr>
        <w:t>.</w:t>
      </w:r>
      <w:r w:rsidR="00D77B6D" w:rsidRPr="002B136D">
        <w:rPr>
          <w:rFonts w:cs="Times New Roman"/>
          <w:szCs w:val="28"/>
        </w:rPr>
        <w:t xml:space="preserve"> </w:t>
      </w:r>
    </w:p>
    <w:p w14:paraId="1BD69466" w14:textId="1207CE8C" w:rsidR="00D51D40" w:rsidRDefault="004706BF" w:rsidP="002B136D">
      <w:pPr>
        <w:spacing w:after="0" w:line="240" w:lineRule="auto"/>
        <w:ind w:firstLine="567"/>
        <w:contextualSpacing/>
        <w:jc w:val="both"/>
        <w:rPr>
          <w:rFonts w:cs="Times New Roman"/>
          <w:szCs w:val="28"/>
        </w:rPr>
      </w:pPr>
      <w:r w:rsidRPr="002B136D">
        <w:rPr>
          <w:szCs w:val="28"/>
        </w:rPr>
        <w:t xml:space="preserve">При гипертиреозе, вызванном патологиями щитовидной железы, аутоантитела к рецептору ТТГ стимулируют фолликулярные клетки, имитируя действие ТТГ. Это приводит к избыточной секреции тиреоидных гормонов, росту и васкуляризации щитовидной железы </w:t>
      </w:r>
      <w:r w:rsidR="000A5179" w:rsidRPr="002B136D">
        <w:rPr>
          <w:rFonts w:cs="Times New Roman"/>
          <w:szCs w:val="28"/>
        </w:rPr>
        <w:fldChar w:fldCharType="begin"/>
      </w:r>
      <w:r w:rsidR="00A6759A" w:rsidRPr="002B136D">
        <w:rPr>
          <w:rFonts w:cs="Times New Roman"/>
          <w:szCs w:val="28"/>
        </w:rPr>
        <w:instrText xml:space="preserve"> ADDIN ZOTERO_ITEM CSL_CITATION {"citationID":"LDAJhVXn","properties":{"formattedCitation":"[38]","plainCitation":"[38]","noteIndex":0},"citationItems":[{"id":248,"uris":["http://zotero.org/users/8237658/items/NJTR9KHH"],"itemData":{"id":248,"type":"book","title":"Lin J. D., Yang S. F., Wang Y. H., et al. Associations of melatonin receptor gene polymorphisms with Graves’ disease. PLoS One. 2017;12(9) doi: 10.1371/journal.pone.0185529.e0185529 [PMC free article] [PubMed] [CrossRef] [Google Scholar]"}}],"schema":"https://github.com/citation-style-language/schema/raw/master/csl-citation.json"} </w:instrText>
      </w:r>
      <w:r w:rsidR="000A5179" w:rsidRPr="002B136D">
        <w:rPr>
          <w:rFonts w:cs="Times New Roman"/>
          <w:szCs w:val="28"/>
        </w:rPr>
        <w:fldChar w:fldCharType="separate"/>
      </w:r>
      <w:r w:rsidR="00A6759A" w:rsidRPr="002B136D">
        <w:rPr>
          <w:rFonts w:cs="Times New Roman"/>
        </w:rPr>
        <w:t>[38]</w:t>
      </w:r>
      <w:r w:rsidR="000A5179" w:rsidRPr="002B136D">
        <w:rPr>
          <w:rFonts w:cs="Times New Roman"/>
          <w:szCs w:val="28"/>
        </w:rPr>
        <w:fldChar w:fldCharType="end"/>
      </w:r>
      <w:r w:rsidR="000A5179" w:rsidRPr="002B136D">
        <w:rPr>
          <w:rFonts w:cs="Times New Roman"/>
          <w:szCs w:val="28"/>
        </w:rPr>
        <w:t>.</w:t>
      </w:r>
      <w:r w:rsidR="00D77B6D" w:rsidRPr="002B136D">
        <w:rPr>
          <w:rFonts w:cs="Times New Roman"/>
          <w:szCs w:val="28"/>
        </w:rPr>
        <w:t xml:space="preserve"> </w:t>
      </w:r>
    </w:p>
    <w:p w14:paraId="72C6DE3B" w14:textId="1068B438" w:rsidR="007C5CEA" w:rsidRPr="002B136D" w:rsidRDefault="000A5179" w:rsidP="002B136D">
      <w:pPr>
        <w:spacing w:after="0" w:line="240" w:lineRule="auto"/>
        <w:ind w:firstLine="567"/>
        <w:contextualSpacing/>
        <w:jc w:val="both"/>
        <w:rPr>
          <w:szCs w:val="28"/>
        </w:rPr>
      </w:pPr>
      <w:r w:rsidRPr="002B136D">
        <w:rPr>
          <w:rFonts w:cs="Times New Roman"/>
          <w:szCs w:val="28"/>
        </w:rPr>
        <w:t xml:space="preserve">Эти процессы вызывают развитие симптомов гипертиреоза, таких как тревога, утомляемость, нервозность, потеря веса, влажная кожа, выпадение волос, мышечная слабость и учащенное сердцебиение. Экстратиреоидные симптомы включают </w:t>
      </w:r>
      <w:proofErr w:type="gramStart"/>
      <w:r w:rsidRPr="002B136D">
        <w:rPr>
          <w:rFonts w:cs="Times New Roman"/>
          <w:szCs w:val="28"/>
        </w:rPr>
        <w:t>локализованную</w:t>
      </w:r>
      <w:proofErr w:type="gramEnd"/>
      <w:r w:rsidRPr="002B136D">
        <w:rPr>
          <w:rFonts w:cs="Times New Roman"/>
          <w:szCs w:val="28"/>
        </w:rPr>
        <w:t xml:space="preserve"> дермопатию, акропатию и офтальмопатию </w:t>
      </w:r>
      <w:r w:rsidRPr="002B136D">
        <w:rPr>
          <w:rFonts w:cs="Times New Roman"/>
          <w:szCs w:val="28"/>
        </w:rPr>
        <w:fldChar w:fldCharType="begin"/>
      </w:r>
      <w:r w:rsidR="00A6759A" w:rsidRPr="002B136D">
        <w:rPr>
          <w:rFonts w:cs="Times New Roman"/>
          <w:szCs w:val="28"/>
        </w:rPr>
        <w:instrText xml:space="preserve"> ADDIN ZOTERO_ITEM CSL_CITATION {"citationID":"llGZ5ZlU","properties":{"formattedCitation":"[39]","plainCitation":"[39]","noteIndex":0},"citationItems":[{"id":249,"uris":["http://zotero.org/users/8237658/items/S8TWEFFT"],"itemData":{"id":249,"type":"book","title":"Khong J. J., McNab A. A., Ebeling P. R., Craig J. E., Selva D. Pathogenesis of thyroid eye disease: review and update on molecular mechanisms. British Journal of Ophthalmology. 2016;100(1):142–150. doi: 10.1136/bjophthalmol-2015-307399. [PubMed] [CrossRef] [Google Scholar]"}}],"schema":"https://github.com/citation-style-language/schema/raw/master/csl-citation.json"} </w:instrText>
      </w:r>
      <w:r w:rsidRPr="002B136D">
        <w:rPr>
          <w:rFonts w:cs="Times New Roman"/>
          <w:szCs w:val="28"/>
        </w:rPr>
        <w:fldChar w:fldCharType="separate"/>
      </w:r>
      <w:r w:rsidR="00A6759A" w:rsidRPr="002B136D">
        <w:rPr>
          <w:rFonts w:cs="Times New Roman"/>
        </w:rPr>
        <w:t>[39]</w:t>
      </w:r>
      <w:r w:rsidRPr="002B136D">
        <w:rPr>
          <w:rFonts w:cs="Times New Roman"/>
          <w:szCs w:val="28"/>
        </w:rPr>
        <w:fldChar w:fldCharType="end"/>
      </w:r>
      <w:r w:rsidRPr="002B136D">
        <w:rPr>
          <w:rFonts w:cs="Times New Roman"/>
          <w:szCs w:val="28"/>
        </w:rPr>
        <w:t>.</w:t>
      </w:r>
    </w:p>
    <w:p w14:paraId="579D348B" w14:textId="631A5311" w:rsidR="00E60045" w:rsidRPr="002B136D" w:rsidRDefault="00E60045" w:rsidP="002B136D">
      <w:pPr>
        <w:spacing w:after="0" w:line="240" w:lineRule="auto"/>
        <w:ind w:firstLine="567"/>
        <w:contextualSpacing/>
        <w:jc w:val="both"/>
        <w:rPr>
          <w:rFonts w:cs="Times New Roman"/>
          <w:szCs w:val="28"/>
        </w:rPr>
      </w:pPr>
      <w:r w:rsidRPr="002B136D">
        <w:rPr>
          <w:rFonts w:cs="Times New Roman"/>
          <w:szCs w:val="28"/>
        </w:rPr>
        <w:t xml:space="preserve">При орбитопатии дисфункция T-супрессоров ослабляет контроль над иммунными процессами, усиливая пролиферацию и дифференцировку аутоактивных T-лимфоцитов, </w:t>
      </w:r>
      <w:proofErr w:type="gramStart"/>
      <w:r w:rsidRPr="002B136D">
        <w:rPr>
          <w:rFonts w:cs="Times New Roman"/>
          <w:szCs w:val="28"/>
        </w:rPr>
        <w:t>атакующих</w:t>
      </w:r>
      <w:proofErr w:type="gramEnd"/>
      <w:r w:rsidRPr="002B136D">
        <w:rPr>
          <w:rFonts w:cs="Times New Roman"/>
          <w:szCs w:val="28"/>
        </w:rPr>
        <w:t xml:space="preserve"> орбитальные фибробласты. Параллельно, увеличение Th-2 клеток стимулирует B-лимфоциты, что приводит </w:t>
      </w:r>
      <w:r w:rsidRPr="002B136D">
        <w:rPr>
          <w:rFonts w:cs="Times New Roman"/>
          <w:szCs w:val="28"/>
        </w:rPr>
        <w:lastRenderedPageBreak/>
        <w:t xml:space="preserve">к повышенной продукции антител, включая анти-рТТГ, играющих ключевую роль в патогенезе заболевания </w:t>
      </w:r>
      <w:r w:rsidR="00365ADF" w:rsidRPr="002B136D">
        <w:rPr>
          <w:rFonts w:cs="Times New Roman"/>
          <w:szCs w:val="28"/>
        </w:rPr>
        <w:fldChar w:fldCharType="begin"/>
      </w:r>
      <w:r w:rsidR="00A6759A" w:rsidRPr="002B136D">
        <w:rPr>
          <w:rFonts w:cs="Times New Roman"/>
          <w:szCs w:val="28"/>
        </w:rPr>
        <w:instrText xml:space="preserve"> ADDIN ZOTERO_ITEM CSL_CITATION {"citationID":"RHTKzrkX","properties":{"formattedCitation":"[40]","plainCitation":"[40]","noteIndex":0},"citationItems":[{"id":253,"uris":["http://zotero.org/users/8237658/items/GQPVCML3"],"itemData":{"id":253,"type":"book","title":"Bahn RS. Current Insights into the Pathogenesis of Graves' Ophthalmopathy. Horm Metab Res. 2015;47(10):773-778. doi: https://doi.org/10.1055/s-0035-1555762."}}],"schema":"https://github.com/citation-style-language/schema/raw/master/csl-citation.json"} </w:instrText>
      </w:r>
      <w:r w:rsidR="00365ADF" w:rsidRPr="002B136D">
        <w:rPr>
          <w:rFonts w:cs="Times New Roman"/>
          <w:szCs w:val="28"/>
        </w:rPr>
        <w:fldChar w:fldCharType="separate"/>
      </w:r>
      <w:r w:rsidR="00A6759A" w:rsidRPr="002B136D">
        <w:rPr>
          <w:rFonts w:cs="Times New Roman"/>
        </w:rPr>
        <w:t>[40]</w:t>
      </w:r>
      <w:r w:rsidR="00365ADF" w:rsidRPr="002B136D">
        <w:rPr>
          <w:rFonts w:cs="Times New Roman"/>
          <w:szCs w:val="28"/>
        </w:rPr>
        <w:fldChar w:fldCharType="end"/>
      </w:r>
      <w:r w:rsidR="0065674C" w:rsidRPr="002B136D">
        <w:rPr>
          <w:rFonts w:cs="Times New Roman"/>
          <w:szCs w:val="28"/>
        </w:rPr>
        <w:t>.</w:t>
      </w:r>
    </w:p>
    <w:p w14:paraId="6B1143F3" w14:textId="71892DFB" w:rsidR="00D51D40" w:rsidRDefault="00070DC6" w:rsidP="002B136D">
      <w:pPr>
        <w:spacing w:after="0" w:line="240" w:lineRule="auto"/>
        <w:ind w:firstLine="567"/>
        <w:contextualSpacing/>
        <w:jc w:val="both"/>
        <w:rPr>
          <w:rFonts w:cs="Times New Roman"/>
          <w:szCs w:val="28"/>
        </w:rPr>
      </w:pPr>
      <w:proofErr w:type="gramStart"/>
      <w:r w:rsidRPr="002B136D">
        <w:rPr>
          <w:rFonts w:cs="Times New Roman"/>
          <w:szCs w:val="28"/>
        </w:rPr>
        <w:t xml:space="preserve">Антитела к р-ТТГ, связываясь с патологическими р-ТТГ на орбитальных фибробластах, активируют PI3K/AKT/mTOR – универсальный внутриклеточный сигнальный путь, регулирующий рост, пролиферацию и метаболизм этих клеток </w:t>
      </w:r>
      <w:proofErr w:type="gramEnd"/>
      <w:r w:rsidRPr="002B136D">
        <w:rPr>
          <w:rFonts w:cs="Times New Roman"/>
          <w:szCs w:val="28"/>
        </w:rPr>
        <w:fldChar w:fldCharType="begin"/>
      </w:r>
      <w:r w:rsidR="00954DC5" w:rsidRPr="002B136D">
        <w:rPr>
          <w:rFonts w:cs="Times New Roman"/>
          <w:szCs w:val="28"/>
        </w:rPr>
        <w:instrText xml:space="preserve"> ADDIN ZOTERO_ITEM CSL_CITATION {"citationID":"3bW4AnzC","properties":{"formattedCitation":"[10,41,42]","plainCitation":"[10,41,42]","noteIndex":0},"citationItems":[{"id":634,"uris":["http://zotero.org/users/8237658/items/RZ4L5BJZ"],"itemData":{"id":634,"type":"book","title":"Таскина, Елизавета Сергеевна. Некоторые патогенетические факторы развития фиброза экстраокулярных мышц и ретробульбарной клетчатки у пациентов с эндокринной офтальмопатией : диссертация ... кандидата медицинских наук : 14.03.03 / Таскина Елизавета Сергеевна; [Место защиты: ФГБОУ ВО «Читинская государственная медицинская академия» Министерства здравоохранения Российской Федерации]. — Чита, 2019. — 144 с. : ил.."},"label":"page"},{"id":265,"uris":["http://zotero.org/users/8237658/items/2PAHSGUV"],"itemData":{"id":265,"type":"book","title":"Krieger CC, Neumann S, Place RF, et al. Bidirectional TSH and IGF-1 receptor cross talk mediates stimulation of hyaluronan secretion by Graves’ disease immunoglobins. J Clin Endocrinol Metab. 2015;100(3):1071-1077."},"label":"page"},{"id":628,"uris":["http://zotero.org/users/8237658/items/KMQP98I5"],"itemData":{"id":628,"type":"book","title":"Kurebayashi Y, Nagai S, Ikejiri A, Koyasu S. Recent advances in understanding the molecular mechanisms of the development and function of Th17 cells. Genes Cells. 2013 Apr;18(4):247-65. doi: 10.1111/gtc.12039. Epub 2013 Feb 5. PMID: 23383714; PMCID: PMC3657121."},"label":"page"}],"schema":"https://github.com/citation-style-language/schema/raw/master/csl-citation.json"} </w:instrText>
      </w:r>
      <w:r w:rsidRPr="002B136D">
        <w:rPr>
          <w:rFonts w:cs="Times New Roman"/>
          <w:szCs w:val="28"/>
        </w:rPr>
        <w:fldChar w:fldCharType="separate"/>
      </w:r>
      <w:r w:rsidR="00954DC5" w:rsidRPr="002B136D">
        <w:rPr>
          <w:rFonts w:cs="Times New Roman"/>
        </w:rPr>
        <w:t>[41,42]</w:t>
      </w:r>
      <w:r w:rsidRPr="002B136D">
        <w:rPr>
          <w:rFonts w:cs="Times New Roman"/>
          <w:szCs w:val="28"/>
        </w:rPr>
        <w:fldChar w:fldCharType="end"/>
      </w:r>
      <w:r w:rsidRPr="002B136D">
        <w:rPr>
          <w:rFonts w:cs="Times New Roman"/>
          <w:szCs w:val="28"/>
        </w:rPr>
        <w:t xml:space="preserve">. </w:t>
      </w:r>
    </w:p>
    <w:p w14:paraId="133CE2F6" w14:textId="2B3FD3C9" w:rsidR="00070DC6" w:rsidRPr="002B136D" w:rsidRDefault="00070DC6" w:rsidP="002B136D">
      <w:pPr>
        <w:spacing w:after="0" w:line="240" w:lineRule="auto"/>
        <w:ind w:firstLine="567"/>
        <w:contextualSpacing/>
        <w:jc w:val="both"/>
        <w:rPr>
          <w:rFonts w:cs="Times New Roman"/>
          <w:szCs w:val="28"/>
        </w:rPr>
      </w:pPr>
      <w:r w:rsidRPr="002B136D">
        <w:rPr>
          <w:rFonts w:cs="Times New Roman"/>
          <w:szCs w:val="28"/>
        </w:rPr>
        <w:t>Орбитальные фибробласты, являясь основными клетками соединительной ткани, участвуют в метаболизме и синтезе компонентов внеклеточного матрикса. Они представляют собой гетерогенную популяцию, включающую фиброциты и подтипы Thy1+/Thy1− (CD90+/CD90−), которые, как предполагается, участвуют в фибр</w:t>
      </w:r>
      <w:proofErr w:type="gramStart"/>
      <w:r w:rsidRPr="002B136D">
        <w:rPr>
          <w:rFonts w:cs="Times New Roman"/>
          <w:szCs w:val="28"/>
        </w:rPr>
        <w:t>о-</w:t>
      </w:r>
      <w:proofErr w:type="gramEnd"/>
      <w:r w:rsidRPr="002B136D">
        <w:rPr>
          <w:rFonts w:cs="Times New Roman"/>
          <w:szCs w:val="28"/>
        </w:rPr>
        <w:t xml:space="preserve"> и адипогенезе </w:t>
      </w:r>
      <w:r w:rsidR="00EF13AB">
        <w:rPr>
          <w:rFonts w:cs="Times New Roman"/>
          <w:szCs w:val="28"/>
        </w:rPr>
        <w:t>(рисунок</w:t>
      </w:r>
      <w:r w:rsidR="002932C4">
        <w:rPr>
          <w:rFonts w:cs="Times New Roman"/>
          <w:szCs w:val="28"/>
        </w:rPr>
        <w:t xml:space="preserve"> </w:t>
      </w:r>
      <w:r w:rsidRPr="002B136D">
        <w:rPr>
          <w:rFonts w:cs="Times New Roman"/>
          <w:szCs w:val="28"/>
        </w:rPr>
        <w:t>1)</w:t>
      </w:r>
      <w:r w:rsidR="002932C4" w:rsidRPr="002932C4">
        <w:rPr>
          <w:rFonts w:cs="Times New Roman"/>
          <w:szCs w:val="28"/>
        </w:rPr>
        <w:t xml:space="preserve"> </w:t>
      </w:r>
      <w:r w:rsidR="002932C4" w:rsidRPr="002B136D">
        <w:rPr>
          <w:rFonts w:cs="Times New Roman"/>
          <w:szCs w:val="28"/>
        </w:rPr>
        <w:t>[</w:t>
      </w:r>
      <w:r w:rsidR="002932C4" w:rsidRPr="002B136D">
        <w:rPr>
          <w:rFonts w:cs="Times New Roman"/>
          <w:szCs w:val="28"/>
        </w:rPr>
        <w:fldChar w:fldCharType="begin"/>
      </w:r>
      <w:r w:rsidR="002932C4" w:rsidRPr="002B136D">
        <w:rPr>
          <w:rFonts w:cs="Times New Roman"/>
          <w:szCs w:val="28"/>
        </w:rPr>
        <w:instrText xml:space="preserve"> ADDIN ZOTERO_ITEM CSL_CITATION {"citationID":"hpSf7Fzc","properties":{"formattedCitation":"[13,43]","plainCitation":"[13,43]","noteIndex":0},"citationItems":[{"id":517,"uris":["http://zotero.org/users/8237658/items/7WUJR8VL"],"itemData":{"id":517,"type":"book","title":"Wu Y, Zhang J, Deng W, Mo C, Liang Y, Huang K, Xu F, Tang F. Comparison of orbital fibroblasts from Graves' ophthalmopathy and healthy control. Heliyon. 2024 Mar 24;10(7):e28397. doi: 10.1016/j.heliyon.2024.e28397. PMID: 38571651; PMCID: PMC10987992."},"label":"page"},{"id":255,"uris":["http://zotero.org/users/8237658/items/H5WB4Z66"],"itemData":{"id":255,"type":"book","title":"Li H, Fitchett C, Kozdon K, et al. Independent adipogenic and contractile properties of fibroblasts in Graves’ orbitopathy: an in vitro model for the evaluation of treatments. PLoS One. 2014; 9(4):e95586. doi: https://doi.org/10.1371/journal.pone.0095586."},"label":"page"}],"schema":"https://github.com/citation-style-language/schema/raw/master/csl-citation.json"} </w:instrText>
      </w:r>
      <w:r w:rsidR="002932C4" w:rsidRPr="002B136D">
        <w:rPr>
          <w:rFonts w:cs="Times New Roman"/>
          <w:szCs w:val="28"/>
        </w:rPr>
        <w:fldChar w:fldCharType="separate"/>
      </w:r>
      <w:r w:rsidR="002932C4" w:rsidRPr="002B136D">
        <w:rPr>
          <w:rFonts w:cs="Times New Roman"/>
        </w:rPr>
        <w:t>43]</w:t>
      </w:r>
      <w:r w:rsidR="002932C4" w:rsidRPr="002B136D">
        <w:rPr>
          <w:rFonts w:cs="Times New Roman"/>
          <w:szCs w:val="28"/>
        </w:rPr>
        <w:fldChar w:fldCharType="end"/>
      </w:r>
      <w:r w:rsidRPr="002B136D">
        <w:rPr>
          <w:rFonts w:cs="Times New Roman"/>
          <w:szCs w:val="28"/>
        </w:rPr>
        <w:t xml:space="preserve">. Разнообразие фенотипов орбитальных фибробластов позволяет предположить наличие у них свойств стволовых клеток </w:t>
      </w:r>
      <w:r w:rsidRPr="002B136D">
        <w:rPr>
          <w:rFonts w:cs="Times New Roman"/>
          <w:szCs w:val="28"/>
        </w:rPr>
        <w:fldChar w:fldCharType="begin"/>
      </w:r>
      <w:r w:rsidR="00A6759A" w:rsidRPr="002B136D">
        <w:rPr>
          <w:rFonts w:cs="Times New Roman"/>
          <w:szCs w:val="28"/>
        </w:rPr>
        <w:instrText xml:space="preserve"> ADDIN ZOTERO_ITEM CSL_CITATION {"citationID":"ifKTf1ou","properties":{"formattedCitation":"[44]","plainCitation":"[44]","noteIndex":0},"citationItems":[{"id":256,"uris":["http://zotero.org/users/8237658/items/4ECNRY97"],"itemData":{"id":256,"type":"book","title":"Kozdon K, Fitchett C, Rose GE, et al. Mesenchymal stem cell-like properties of orbital fibroblasts in Graves’ orbitopathy. Invest Ophthalmol Vis Sci. 2015;56(10):5743-5750. doi: https://doi.org/10.1167/iovs.15-16580."}}],"schema":"https://github.com/citation-style-language/schema/raw/master/csl-citation.json"} </w:instrText>
      </w:r>
      <w:r w:rsidRPr="002B136D">
        <w:rPr>
          <w:rFonts w:cs="Times New Roman"/>
          <w:szCs w:val="28"/>
        </w:rPr>
        <w:fldChar w:fldCharType="separate"/>
      </w:r>
      <w:r w:rsidR="00A6759A" w:rsidRPr="002B136D">
        <w:rPr>
          <w:rFonts w:cs="Times New Roman"/>
        </w:rPr>
        <w:t>[44]</w:t>
      </w:r>
      <w:r w:rsidRPr="002B136D">
        <w:rPr>
          <w:rFonts w:cs="Times New Roman"/>
          <w:szCs w:val="28"/>
        </w:rPr>
        <w:fldChar w:fldCharType="end"/>
      </w:r>
      <w:r w:rsidRPr="002B136D">
        <w:rPr>
          <w:rFonts w:cs="Times New Roman"/>
          <w:szCs w:val="28"/>
        </w:rPr>
        <w:t xml:space="preserve">.  </w:t>
      </w:r>
    </w:p>
    <w:p w14:paraId="7727D1AE" w14:textId="7F2958F3" w:rsidR="00070DC6" w:rsidRPr="002B136D" w:rsidRDefault="00070DC6" w:rsidP="002B136D">
      <w:pPr>
        <w:spacing w:after="0" w:line="240" w:lineRule="auto"/>
        <w:ind w:firstLine="567"/>
        <w:contextualSpacing/>
        <w:jc w:val="both"/>
        <w:rPr>
          <w:rFonts w:cs="Times New Roman"/>
          <w:szCs w:val="28"/>
        </w:rPr>
      </w:pPr>
      <w:r w:rsidRPr="002B136D">
        <w:rPr>
          <w:rFonts w:cs="Times New Roman"/>
          <w:szCs w:val="28"/>
        </w:rPr>
        <w:t xml:space="preserve">Фибробласты орбиты, в отличие от фибробластов другой локализации, имеют нейроэктодермальное происхождение </w:t>
      </w:r>
      <w:r w:rsidRPr="002B136D">
        <w:rPr>
          <w:rFonts w:cs="Times New Roman"/>
          <w:szCs w:val="28"/>
        </w:rPr>
        <w:fldChar w:fldCharType="begin"/>
      </w:r>
      <w:r w:rsidR="00A6759A" w:rsidRPr="002B136D">
        <w:rPr>
          <w:rFonts w:cs="Times New Roman"/>
          <w:szCs w:val="28"/>
        </w:rPr>
        <w:instrText xml:space="preserve"> ADDIN ZOTERO_ITEM CSL_CITATION {"citationID":"HvqDWqWv","properties":{"formattedCitation":"[45]","plainCitation":"[45]","noteIndex":0},"citationItems":[{"id":252,"uris":["http://zotero.org/users/8237658/items/8N43KNKT"],"itemData":{"id":252,"type":"book","title":"Dik WA, Virakul S, van Steensel L. Current perspectives on the role of orbital fibroblasts in the pathogenesis of Graves’ ophthalmopathy. Exp Eye Res. 2016;142:83-91. doi: https://doi.org/10.1016/j.exer.2015.02.007."}}],"schema":"https://github.com/citation-style-language/schema/raw/master/csl-citation.json"} </w:instrText>
      </w:r>
      <w:r w:rsidRPr="002B136D">
        <w:rPr>
          <w:rFonts w:cs="Times New Roman"/>
          <w:szCs w:val="28"/>
        </w:rPr>
        <w:fldChar w:fldCharType="separate"/>
      </w:r>
      <w:r w:rsidR="00A6759A" w:rsidRPr="002B136D">
        <w:rPr>
          <w:rFonts w:cs="Times New Roman"/>
        </w:rPr>
        <w:t>[45]</w:t>
      </w:r>
      <w:r w:rsidRPr="002B136D">
        <w:rPr>
          <w:rFonts w:cs="Times New Roman"/>
          <w:szCs w:val="28"/>
        </w:rPr>
        <w:fldChar w:fldCharType="end"/>
      </w:r>
      <w:r w:rsidRPr="002B136D">
        <w:rPr>
          <w:rFonts w:cs="Times New Roman"/>
          <w:szCs w:val="28"/>
        </w:rPr>
        <w:t xml:space="preserve"> и уникальные морфофункциональные характеристики. Пополнение пула фибробластов при репарации тканей может происходить посредством эпителиально-мезенхимального перехода фиброцитов </w:t>
      </w:r>
      <w:r w:rsidRPr="002B136D">
        <w:rPr>
          <w:rFonts w:cs="Times New Roman"/>
          <w:szCs w:val="28"/>
        </w:rPr>
        <w:fldChar w:fldCharType="begin"/>
      </w:r>
      <w:r w:rsidR="00A6759A" w:rsidRPr="002B136D">
        <w:rPr>
          <w:rFonts w:cs="Times New Roman"/>
          <w:szCs w:val="28"/>
        </w:rPr>
        <w:instrText xml:space="preserve"> ADDIN ZOTERO_ITEM CSL_CITATION {"citationID":"EJCPlv8Y","properties":{"formattedCitation":"[46]","plainCitation":"[46]","noteIndex":0},"citationItems":[{"id":257,"uris":["http://zotero.org/users/8237658/items/8CJPFJ8X"],"itemData":{"id":257,"type":"book","title":"Shu DY, Lovicu FJ. Myofibroblast transdifferentiation: The dark force in ocular wound healing and fibrosis. Prog Retin Eye Res. 2017; 60:44-65. doi: https://doi.org/10.1016/j.preteyeres.2017.08.001."}}],"schema":"https://github.com/citation-style-language/schema/raw/master/csl-citation.json"} </w:instrText>
      </w:r>
      <w:r w:rsidRPr="002B136D">
        <w:rPr>
          <w:rFonts w:cs="Times New Roman"/>
          <w:szCs w:val="28"/>
        </w:rPr>
        <w:fldChar w:fldCharType="separate"/>
      </w:r>
      <w:r w:rsidR="00A6759A" w:rsidRPr="002B136D">
        <w:rPr>
          <w:rFonts w:cs="Times New Roman"/>
        </w:rPr>
        <w:t>[46]</w:t>
      </w:r>
      <w:r w:rsidRPr="002B136D">
        <w:rPr>
          <w:rFonts w:cs="Times New Roman"/>
          <w:szCs w:val="28"/>
        </w:rPr>
        <w:fldChar w:fldCharType="end"/>
      </w:r>
      <w:r w:rsidRPr="002B136D">
        <w:rPr>
          <w:rFonts w:cs="Times New Roman"/>
          <w:szCs w:val="28"/>
        </w:rPr>
        <w:t>.</w:t>
      </w:r>
    </w:p>
    <w:p w14:paraId="6D330BBE" w14:textId="40B9D422" w:rsidR="00070DC6" w:rsidRPr="002B136D" w:rsidRDefault="00070DC6" w:rsidP="002B136D">
      <w:pPr>
        <w:spacing w:after="0" w:line="240" w:lineRule="auto"/>
        <w:ind w:firstLine="567"/>
        <w:contextualSpacing/>
        <w:jc w:val="both"/>
        <w:rPr>
          <w:rFonts w:cs="Times New Roman"/>
          <w:szCs w:val="28"/>
        </w:rPr>
      </w:pPr>
      <w:r w:rsidRPr="002B136D">
        <w:rPr>
          <w:rFonts w:cs="Times New Roman"/>
          <w:szCs w:val="28"/>
        </w:rPr>
        <w:t xml:space="preserve">Фиброциты, циркулирующие в кровотоке мезенхимальные клетки, быстро инфильтрируют очаг повреждения, участвуя в развитии воспаления, ремоделировании тканей и фиброзе. Известно их участие в инициации фиброгенеза ретробульбарных тканей посредством экспрессии α- и </w:t>
      </w:r>
      <w:proofErr w:type="gramStart"/>
      <w:r w:rsidRPr="002B136D">
        <w:rPr>
          <w:rFonts w:cs="Times New Roman"/>
          <w:szCs w:val="28"/>
        </w:rPr>
        <w:t>β-</w:t>
      </w:r>
      <w:proofErr w:type="gramEnd"/>
      <w:r w:rsidRPr="002B136D">
        <w:rPr>
          <w:rFonts w:cs="Times New Roman"/>
          <w:szCs w:val="28"/>
        </w:rPr>
        <w:t xml:space="preserve">цепей рецепторов PDGF </w:t>
      </w:r>
      <w:r w:rsidRPr="002B136D">
        <w:rPr>
          <w:rFonts w:cs="Times New Roman"/>
          <w:szCs w:val="28"/>
        </w:rPr>
        <w:fldChar w:fldCharType="begin"/>
      </w:r>
      <w:r w:rsidR="00A6759A" w:rsidRPr="002B136D">
        <w:rPr>
          <w:rFonts w:cs="Times New Roman"/>
          <w:szCs w:val="28"/>
        </w:rPr>
        <w:instrText xml:space="preserve"> ADDIN ZOTERO_ITEM CSL_CITATION {"citationID":"32SFQnL4","properties":{"formattedCitation":"[47]","plainCitation":"[47]","noteIndex":0},"citationItems":[{"id":597,"uris":["http://zotero.org/users/8237658/items/L88YIJF5"],"itemData":{"id":597,"type":"book","title":"Galgoczi E, Molnar Z, Katko M, Ujhelyi B, Steiber Z, Nagy EV. Cyclosporin A inhibits PDGF-BB induced hyaluronan synthesis in orbital fibroblasts. Chem Biol Interact. 2024 Jun 1;396:111045. doi: 10.1016/j.cbi.2024.111045. Epub 2024 May 9. PMID: 38729283."}}],"schema":"https://github.com/citation-style-language/schema/raw/master/csl-citation.json"} </w:instrText>
      </w:r>
      <w:r w:rsidRPr="002B136D">
        <w:rPr>
          <w:rFonts w:cs="Times New Roman"/>
          <w:szCs w:val="28"/>
        </w:rPr>
        <w:fldChar w:fldCharType="separate"/>
      </w:r>
      <w:r w:rsidR="00A6759A" w:rsidRPr="002B136D">
        <w:rPr>
          <w:rFonts w:cs="Times New Roman"/>
        </w:rPr>
        <w:t>[47]</w:t>
      </w:r>
      <w:r w:rsidRPr="002B136D">
        <w:rPr>
          <w:rFonts w:cs="Times New Roman"/>
          <w:szCs w:val="28"/>
        </w:rPr>
        <w:fldChar w:fldCharType="end"/>
      </w:r>
      <w:r w:rsidRPr="002B136D">
        <w:rPr>
          <w:rFonts w:cs="Times New Roman"/>
          <w:szCs w:val="28"/>
        </w:rPr>
        <w:t xml:space="preserve">. При ЭОП на фибробластах орбиты также отмечается повышенная экспрессия рецепторов к рТТГ, IGF-1R, тиреоглобулину и тиреоидпероксидазе </w:t>
      </w:r>
      <w:r w:rsidRPr="002B136D">
        <w:rPr>
          <w:rFonts w:cs="Times New Roman"/>
          <w:szCs w:val="28"/>
        </w:rPr>
        <w:fldChar w:fldCharType="begin"/>
      </w:r>
      <w:r w:rsidR="00A6759A" w:rsidRPr="002B136D">
        <w:rPr>
          <w:rFonts w:cs="Times New Roman"/>
          <w:szCs w:val="28"/>
        </w:rPr>
        <w:instrText xml:space="preserve"> ADDIN ZOTERO_ITEM CSL_CITATION {"citationID":"smCUTkF0","properties":{"formattedCitation":"[48,49]","plainCitation":"[48,49]","noteIndex":0},"citationItems":[{"id":598,"uris":["http://zotero.org/users/8237658/items/6ZI5U7HJ"],"itemData":{"id":598,"type":"book","title":"Place RF, Krieger CC, Neumann S, Gershengorn MC. Inhibiting thyrotropin/insulin-like growth factor 1 receptor crosstalk to treat Graves' ophthalmopathy: studies in orbital fibroblasts in vitro. Br J Pharmacol. 2017 Feb;174(4):328-340. doi: 10.1111/bph.13693. Epub 2017 Jan 27. PMID: 27987211; PMCID: PMC5289943."},"label":"page"},{"id":601,"uris":["http://zotero.org/users/8237658/items/Q5FTAVTK"],"itemData":{"id":601,"type":"book","title":"Smith TJ. TSHR-IGF-IR complex drives orbital fibroblast misbehavior in thyroid eye disease. Curr Opin Endocrinol Diabetes Obes. 2024 Oct 1;31(5):177-183. doi: 10.1097/MED.0000000000000878. Epub 2024 Jul 31. PMID: 39082947."},"label":"page"}],"schema":"https://github.com/citation-style-language/schema/raw/master/csl-citation.json"} </w:instrText>
      </w:r>
      <w:r w:rsidRPr="002B136D">
        <w:rPr>
          <w:rFonts w:cs="Times New Roman"/>
          <w:szCs w:val="28"/>
        </w:rPr>
        <w:fldChar w:fldCharType="separate"/>
      </w:r>
      <w:r w:rsidR="00A6759A" w:rsidRPr="002B136D">
        <w:rPr>
          <w:rFonts w:cs="Times New Roman"/>
        </w:rPr>
        <w:t>[48,49]</w:t>
      </w:r>
      <w:r w:rsidRPr="002B136D">
        <w:rPr>
          <w:rFonts w:cs="Times New Roman"/>
          <w:szCs w:val="28"/>
        </w:rPr>
        <w:fldChar w:fldCharType="end"/>
      </w:r>
      <w:r w:rsidRPr="002B136D">
        <w:rPr>
          <w:rFonts w:cs="Times New Roman"/>
          <w:szCs w:val="28"/>
        </w:rPr>
        <w:t xml:space="preserve">. </w:t>
      </w:r>
    </w:p>
    <w:p w14:paraId="6AC8DF5B" w14:textId="77777777" w:rsidR="00D51D40" w:rsidRDefault="006F1E37" w:rsidP="002B136D">
      <w:pPr>
        <w:spacing w:after="0" w:line="240" w:lineRule="auto"/>
        <w:ind w:firstLine="567"/>
        <w:contextualSpacing/>
        <w:jc w:val="both"/>
        <w:rPr>
          <w:rFonts w:cs="Times New Roman"/>
          <w:szCs w:val="28"/>
        </w:rPr>
      </w:pPr>
      <w:proofErr w:type="gramStart"/>
      <w:r w:rsidRPr="002B136D">
        <w:rPr>
          <w:rFonts w:cs="Times New Roman"/>
          <w:szCs w:val="28"/>
        </w:rPr>
        <w:t xml:space="preserve">При ЭОП в периферической крови повышено количество циркулирующих фибробластов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{"citationID":"kLjcqqxK","properties":{"formattedCitation":"[50,51]","plainCitation":"[50,51]","noteIndex":0},"citationItems":[{"id":260,"uris":["http://zotero.org/users/8237658/items/3YNXMC2Q"],"itemData":{"id":260,"type":"book","title":"Douglas RS, Afifiyan NF, Hwang CJ, et al. Increased generation of fibrocytes in thyroid-associated ophthalmopathy. J Clin Endocrinol Metab. 2010;95(1):430-438. doi: https://doi.org/10.1210/jc.2009-1614"},"label":"page"},{"id":261,"uris":["http://zotero.org/users/8237658/items/M7VHIWIF"],"itemData":{"id":261,"type":"book","title":"Wu T, Mester T, Gupta S, et al. Thyrotropin and CD40L stimulate interleukin-12 expression in fibrocytes: implications for pathogenesis of thyroid-associated ophthalmopathy. Thyroid. 2016;26(12): 1768-1777. doi: https://doi.org/10.1089/thy.2016.0243."},"label":"page"}],"schema":"https://github.com/citation-style-language/schema/raw/master/csl-citation.json"} </w:instrText>
      </w:r>
      <w:r w:rsidRPr="002B136D">
        <w:rPr>
          <w:rFonts w:cs="Times New Roman"/>
          <w:szCs w:val="28"/>
        </w:rPr>
        <w:fldChar w:fldCharType="separate"/>
      </w:r>
      <w:r w:rsidR="00A6759A" w:rsidRPr="002B136D">
        <w:rPr>
          <w:rFonts w:cs="Times New Roman"/>
        </w:rPr>
        <w:t>[50,51]</w:t>
      </w:r>
      <w:r w:rsidRPr="002B136D">
        <w:rPr>
          <w:rFonts w:cs="Times New Roman"/>
          <w:szCs w:val="28"/>
        </w:rPr>
        <w:fldChar w:fldCharType="end"/>
      </w:r>
      <w:proofErr w:type="gramStart"/>
      <w:r w:rsidRPr="002B136D">
        <w:rPr>
          <w:rFonts w:cs="Times New Roman"/>
          <w:szCs w:val="28"/>
        </w:rPr>
        <w:t>, которые инфильтрируют ретробульбарные ткани и превращаются в CD34+ орбитальные фибробласты, способные дифференцироваться в адипоциты или миофибробласты (в отличие от CD34− фибробластов у здоровых</w:t>
      </w:r>
      <w:proofErr w:type="gramEnd"/>
      <w:r w:rsidRPr="002B136D">
        <w:rPr>
          <w:rFonts w:cs="Times New Roman"/>
          <w:szCs w:val="28"/>
        </w:rPr>
        <w:t xml:space="preserve"> </w:t>
      </w:r>
      <w:r w:rsidRPr="002B136D">
        <w:rPr>
          <w:rFonts w:cs="Times New Roman"/>
          <w:szCs w:val="28"/>
          <w:vertAlign w:val="superscript"/>
        </w:rPr>
        <w:fldChar w:fldCharType="begin"/>
      </w:r>
      <w:r w:rsidR="00A6759A" w:rsidRPr="002B136D">
        <w:rPr>
          <w:rFonts w:cs="Times New Roman"/>
          <w:szCs w:val="28"/>
          <w:vertAlign w:val="superscript"/>
        </w:rPr>
        <w:instrText xml:space="preserve"> ADDIN ZOTERO_ITEM CSL_CITATION {"citationID":"KvGokObc","properties":{"formattedCitation":"[52]","plainCitation":"[52]","noteIndex":0},"citationItems":[{"id":600,"uris":["http://zotero.org/users/8237658/items/KNR3M5EG"],"itemData":{"id":600,"type":"book","title":"Proctor ES, Smith TJ. Bone marrow fibrocytes: villain or white knight in thyroid-associated ophthalmopathy? Curr Opin Endocrinol Diabetes Obes. 2022 Oct 1;29(5):441-448. doi: 10.1097/MED.0000000000000765. Epub 2022 Aug 11. PMID: 35950703."}}],"schema":"https://github.com/citation-style-language/schema/raw/master/csl-citation.json"} </w:instrText>
      </w:r>
      <w:r w:rsidRPr="002B136D">
        <w:rPr>
          <w:rFonts w:cs="Times New Roman"/>
          <w:szCs w:val="28"/>
          <w:vertAlign w:val="superscript"/>
        </w:rPr>
        <w:fldChar w:fldCharType="separate"/>
      </w:r>
      <w:r w:rsidR="00A6759A" w:rsidRPr="002B136D">
        <w:rPr>
          <w:rFonts w:cs="Times New Roman"/>
        </w:rPr>
        <w:t>[52]</w:t>
      </w:r>
      <w:r w:rsidRPr="002B136D">
        <w:rPr>
          <w:rFonts w:cs="Times New Roman"/>
          <w:szCs w:val="28"/>
        </w:rPr>
        <w:fldChar w:fldCharType="end"/>
      </w:r>
      <w:r w:rsidRPr="002B136D">
        <w:rPr>
          <w:rFonts w:cs="Times New Roman"/>
          <w:szCs w:val="28"/>
        </w:rPr>
        <w:t xml:space="preserve">. </w:t>
      </w:r>
    </w:p>
    <w:p w14:paraId="5EE63B25" w14:textId="0E02AA8B" w:rsidR="003C793E" w:rsidRPr="002B136D" w:rsidRDefault="006F1E37" w:rsidP="002B136D">
      <w:pPr>
        <w:spacing w:after="0" w:line="240" w:lineRule="auto"/>
        <w:ind w:firstLine="567"/>
        <w:contextualSpacing/>
        <w:jc w:val="both"/>
        <w:rPr>
          <w:szCs w:val="28"/>
        </w:rPr>
      </w:pPr>
      <w:r w:rsidRPr="002B136D">
        <w:rPr>
          <w:rFonts w:cs="Times New Roman"/>
          <w:szCs w:val="28"/>
        </w:rPr>
        <w:t xml:space="preserve">Несмотря на это, исследования in vitro не показали различий в пролиферации и миграции фибробластов между пациентами с ЭОП и здоровыми </w:t>
      </w:r>
      <w:r w:rsidRPr="002B136D">
        <w:rPr>
          <w:rFonts w:cs="Times New Roman"/>
          <w:szCs w:val="28"/>
        </w:rPr>
        <w:fldChar w:fldCharType="begin"/>
      </w:r>
      <w:r w:rsidR="00A6759A" w:rsidRPr="002B136D">
        <w:rPr>
          <w:rFonts w:cs="Times New Roman"/>
          <w:szCs w:val="28"/>
        </w:rPr>
        <w:instrText xml:space="preserve"> ADDIN ZOTERO_ITEM CSL_CITATION {"citationID":"nvUN3SRC","properties":{"formattedCitation":"[13]","plainCitation":"[13]","noteIndex":0},"citationItems":[{"id":517,"uris":["http://zotero.org/users/8237658/items/7WUJR8VL"],"itemData":{"id":517,"type":"book","title":"Wu Y, Zhang J, Deng W, Mo C, Liang Y, Huang K, Xu F, Tang F. Comparison of orbital fibroblasts from Graves' ophthalmopathy and healthy control. Heliyon. 2024 Mar 24;10(7):e28397. doi: 10.1016/j.heliyon.2024.e28397. PMID: 38571651; PMCID: PMC10987992."}}],"schema":"https://github.com/citation-style-language/schema/raw/master/csl-citation.json"} </w:instrText>
      </w:r>
      <w:r w:rsidRPr="002B136D">
        <w:rPr>
          <w:rFonts w:cs="Times New Roman"/>
          <w:szCs w:val="28"/>
        </w:rPr>
        <w:fldChar w:fldCharType="separate"/>
      </w:r>
      <w:r w:rsidR="00A6759A" w:rsidRPr="002B136D">
        <w:rPr>
          <w:rFonts w:cs="Times New Roman"/>
        </w:rPr>
        <w:t>[13</w:t>
      </w:r>
      <w:r w:rsidR="002932C4">
        <w:rPr>
          <w:rFonts w:cs="Times New Roman"/>
        </w:rPr>
        <w:t>,р. 283</w:t>
      </w:r>
      <w:r w:rsidR="00A6759A" w:rsidRPr="002B136D">
        <w:rPr>
          <w:rFonts w:cs="Times New Roman"/>
        </w:rPr>
        <w:t>]</w:t>
      </w:r>
      <w:r w:rsidRPr="002B136D">
        <w:rPr>
          <w:rFonts w:cs="Times New Roman"/>
          <w:szCs w:val="28"/>
        </w:rPr>
        <w:fldChar w:fldCharType="end"/>
      </w:r>
      <w:r w:rsidRPr="002B136D">
        <w:rPr>
          <w:rFonts w:cs="Times New Roman"/>
          <w:szCs w:val="28"/>
        </w:rPr>
        <w:t xml:space="preserve">, а механизмы миграции в орбиту остаются неясными. Фибробласты подразделяются на Thy1+ (CD90+) и Thy1− субпопуляции </w:t>
      </w:r>
      <w:r w:rsidRPr="002B136D">
        <w:rPr>
          <w:rFonts w:cs="Times New Roman"/>
          <w:szCs w:val="28"/>
        </w:rPr>
        <w:fldChar w:fldCharType="begin"/>
      </w:r>
      <w:r w:rsidR="00A6759A" w:rsidRPr="002B136D">
        <w:rPr>
          <w:rFonts w:cs="Times New Roman"/>
          <w:szCs w:val="28"/>
        </w:rPr>
        <w:instrText xml:space="preserve"> ADDIN ZOTERO_ITEM CSL_CITATION {"citationID":"ivGneojU","properties":{"formattedCitation":"[40,43,45]","plainCitation":"[40,43,45]","noteIndex":0},"citationItems":[{"id":253,"uris":["http://zotero.org/users/8237658/items/GQPVCML3"],"itemData":{"id":253,"type":"book","title":"Bahn RS. Current Insights into the Pathogenesis of Graves' Ophthalmopathy. Horm Metab Res. 2015;47(10):773-778. doi: https://doi.org/10.1055/s-0035-1555762."},"label":"page"},{"id":255,"uris":["http://zotero.org/users/8237658/items/H5WB4Z66"],"itemData":{"id":255,"type":"book","title":"Li H, Fitchett C, Kozdon K, et al. Independent adipogenic and contractile properties of fibroblasts in Graves’ orbitopathy: an in vitro model for the evaluation of treatments. PLoS One. 2014; 9(4):e95586. doi: https://doi.org/10.1371/journal.pone.0095586."},"label":"page"},{"id":252,"uris":["http://zotero.org/users/8237658/items/8N43KNKT"],"itemData":{"id":252,"type":"book","title":"Dik WA, Virakul S, van Steensel L. Current perspectives on the role of orbital fibroblasts in the pathogenesis of Graves’ ophthalmopathy. Exp Eye Res. 2016;142:83-91. doi: https://doi.org/10.1016/j.exer.2015.02.007."},"label":"page"}],"schema":"https://github.com/citation-style-language/schema/raw/master/csl-citation.json"} </w:instrText>
      </w:r>
      <w:r w:rsidRPr="002B136D">
        <w:rPr>
          <w:rFonts w:cs="Times New Roman"/>
          <w:szCs w:val="28"/>
        </w:rPr>
        <w:fldChar w:fldCharType="separate"/>
      </w:r>
      <w:r w:rsidR="00A6759A" w:rsidRPr="002B136D">
        <w:rPr>
          <w:rFonts w:cs="Times New Roman"/>
        </w:rPr>
        <w:t>[40,</w:t>
      </w:r>
      <w:r w:rsidR="002932C4">
        <w:rPr>
          <w:rFonts w:cs="Times New Roman"/>
        </w:rPr>
        <w:t>р. 773</w:t>
      </w:r>
      <w:r w:rsidR="00A6759A" w:rsidRPr="002B136D">
        <w:rPr>
          <w:rFonts w:cs="Times New Roman"/>
        </w:rPr>
        <w:t>]</w:t>
      </w:r>
      <w:r w:rsidRPr="002B136D">
        <w:rPr>
          <w:rFonts w:cs="Times New Roman"/>
          <w:szCs w:val="28"/>
        </w:rPr>
        <w:fldChar w:fldCharType="end"/>
      </w:r>
      <w:r w:rsidRPr="002B136D">
        <w:rPr>
          <w:rFonts w:cs="Times New Roman"/>
          <w:szCs w:val="28"/>
        </w:rPr>
        <w:t>: Thy1+ участвуют в дифференцировке и фиброгенезе, а Thy1− – в ремоделировании в адипоциты. TGF-β индуцирует дифференцировку Thy1+ фибробластов в миофибробласты, прекращение пролиферации и синтез компонентов внеклеточного матрикса (GAG, фибронектин, коллаген I, III и IV типов, α-SMA). α</w:t>
      </w:r>
      <w:proofErr w:type="gramStart"/>
      <w:r w:rsidRPr="002B136D">
        <w:rPr>
          <w:rFonts w:cs="Times New Roman"/>
          <w:szCs w:val="28"/>
        </w:rPr>
        <w:t>-SMA, ключевой фактор фиброгенеза, является преобладающей изоформой актина в гладкомышечных тканях</w:t>
      </w:r>
      <w:r w:rsidR="003E39AF" w:rsidRPr="002B136D">
        <w:rPr>
          <w:rFonts w:cs="Times New Roman"/>
          <w:szCs w:val="28"/>
        </w:rPr>
        <w:t xml:space="preserve"> </w:t>
      </w:r>
      <w:proofErr w:type="gramEnd"/>
      <w:r w:rsidR="00701C59" w:rsidRPr="002B136D">
        <w:rPr>
          <w:rFonts w:cs="Times New Roman"/>
          <w:szCs w:val="28"/>
        </w:rPr>
        <w:fldChar w:fldCharType="begin"/>
      </w:r>
      <w:r w:rsidR="00954DC5" w:rsidRPr="002B136D">
        <w:rPr>
          <w:rFonts w:cs="Times New Roman"/>
          <w:szCs w:val="28"/>
        </w:rPr>
        <w:instrText xml:space="preserve"> ADDIN ZOTERO_ITEM CSL_CITATION {"citationID":"RbrnUGmF","properties":{"formattedCitation":"[6,46,53]","plainCitation":"[6,46,53]","noteIndex":0},"citationItems":[{"id":281,"uris":["http://zotero.org/users/8237658/items/W8WM5788"],"itemData":{"id":281,"type":"book","title":"Е.С.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офтальмопатии"},"label":"page"},{"id":257,"uris":["http://zotero.org/users/8237658/items/8CJPFJ8X"],"itemData":{"id":257,"type":"book","title":"Shu DY, Lovicu FJ. Myofibroblast transdifferentiation: The dark force in ocular wound healing and fibrosis. Prog Retin Eye Res. 2017; 60:44-65. doi: https://doi.org/10.1016/j.preteyeres.2017.08.001."},"label":"page"},{"id":602,"uris":["http://zotero.org/users/8237658/items/TJMZM43P"],"itemData":{"id":602,"type":"book","title":"Tsai CC, Wu SB, Kau HC, Wei YH. Essential role of connective tissue growth factor (CTGF) in transforming growth factor-β1 (TGF-β1)-induced myofibroblast transdifferentiation from Graves' orbital fibroblasts. Sci Rep. 2018 May 8;8(1):7276. doi: 10.1038/s41598-018-25370-3. PMID: 29739987; PMCID: PMC5940888."},"label":"page"}],"schema":"https://github.com/citation-style-language/schema/raw/master/csl-citation.json"} </w:instrText>
      </w:r>
      <w:r w:rsidR="00701C59" w:rsidRPr="002B136D">
        <w:rPr>
          <w:rFonts w:cs="Times New Roman"/>
          <w:szCs w:val="28"/>
        </w:rPr>
        <w:fldChar w:fldCharType="separate"/>
      </w:r>
      <w:r w:rsidR="00954DC5" w:rsidRPr="002B136D">
        <w:rPr>
          <w:rFonts w:cs="Times New Roman"/>
        </w:rPr>
        <w:t>[53]</w:t>
      </w:r>
      <w:r w:rsidR="00701C59" w:rsidRPr="002B136D">
        <w:rPr>
          <w:rFonts w:cs="Times New Roman"/>
          <w:szCs w:val="28"/>
        </w:rPr>
        <w:fldChar w:fldCharType="end"/>
      </w:r>
      <w:proofErr w:type="gramStart"/>
      <w:r w:rsidR="003E39AF" w:rsidRPr="002B136D">
        <w:rPr>
          <w:rFonts w:cs="Times New Roman"/>
          <w:szCs w:val="28"/>
        </w:rPr>
        <w:t xml:space="preserve">. При этом экспрессия α-SMA напрямую </w:t>
      </w:r>
      <w:r w:rsidR="003C2FF4" w:rsidRPr="002B136D">
        <w:rPr>
          <w:rFonts w:cs="Times New Roman"/>
          <w:szCs w:val="28"/>
        </w:rPr>
        <w:t>связана</w:t>
      </w:r>
      <w:r w:rsidR="003E39AF" w:rsidRPr="002B136D">
        <w:rPr>
          <w:rFonts w:cs="Times New Roman"/>
          <w:szCs w:val="28"/>
        </w:rPr>
        <w:t xml:space="preserve"> с активностью миофибробластов</w:t>
      </w:r>
      <w:r w:rsidR="00D7006C">
        <w:rPr>
          <w:rFonts w:cs="Times New Roman"/>
          <w:szCs w:val="28"/>
        </w:rPr>
        <w:t xml:space="preserve"> и </w:t>
      </w:r>
      <w:r w:rsidR="003C793E" w:rsidRPr="002B136D">
        <w:rPr>
          <w:rFonts w:cs="Times New Roman"/>
          <w:szCs w:val="28"/>
        </w:rPr>
        <w:t>окончательный маркер зрелых фибробластов</w:t>
      </w:r>
      <w:proofErr w:type="gramEnd"/>
      <w:r w:rsidR="003C793E" w:rsidRPr="002B136D">
        <w:rPr>
          <w:rFonts w:cs="Times New Roman"/>
          <w:szCs w:val="28"/>
        </w:rPr>
        <w:t xml:space="preserve"> </w:t>
      </w:r>
      <w:r w:rsidR="00443DD5" w:rsidRPr="002B136D">
        <w:rPr>
          <w:rFonts w:cs="Times New Roman"/>
          <w:szCs w:val="28"/>
        </w:rPr>
        <w:fldChar w:fldCharType="begin"/>
      </w:r>
      <w:r w:rsidR="00A6759A" w:rsidRPr="002B136D">
        <w:rPr>
          <w:rFonts w:cs="Times New Roman"/>
          <w:szCs w:val="28"/>
        </w:rPr>
        <w:instrText xml:space="preserve"> ADDIN ZOTERO_ITEM CSL_CITATION {"citationID":"iWM5iNH6","properties":{"formattedCitation":"[13,53]","plainCitation":"[13,53]","noteIndex":0},"citationItems":[{"id":517,"uris":["http://zotero.org/users/8237658/items/7WUJR8VL"],"itemData":{"id":517,"type":"book","title":"Wu Y, Zhang J, Deng W, Mo C, Liang Y, Huang K, Xu F, Tang F. Comparison of orbital fibroblasts from Graves' ophthalmopathy and healthy control. Heliyon. 2024 Mar 24;10(7):e28397. doi: 10.1016/j.heliyon.2024.e28397. PMID: 38571651; PMCID: PMC10987992."},"label":"page"},{"id":602,"uris":["http://zotero.org/users/8237658/items/TJMZM43P"],"itemData":{"id":602,"type":"book","title":"Tsai CC, Wu SB, Kau HC, Wei YH. Essential role of connective tissue growth factor (CTGF) in transforming growth factor-β1 (TGF-β1)-induced myofibroblast transdifferentiation from Graves' orbital fibroblasts. Sci Rep. 2018 May 8;8(1):7276. doi: 10.1038/s41598-018-25370-3. PMID: 29739987; PMCID: PMC5940888."},"label":"page"}],"schema":"https://github.com/citation-style-language/schema/raw/master/csl-citation.json"} </w:instrText>
      </w:r>
      <w:r w:rsidR="00443DD5" w:rsidRPr="002B136D">
        <w:rPr>
          <w:rFonts w:cs="Times New Roman"/>
          <w:szCs w:val="28"/>
        </w:rPr>
        <w:fldChar w:fldCharType="separate"/>
      </w:r>
      <w:r w:rsidR="00A6759A" w:rsidRPr="002B136D">
        <w:rPr>
          <w:rFonts w:cs="Times New Roman"/>
        </w:rPr>
        <w:t>[53</w:t>
      </w:r>
      <w:r w:rsidR="002932C4">
        <w:rPr>
          <w:rFonts w:cs="Times New Roman"/>
        </w:rPr>
        <w:t>,р. 7276</w:t>
      </w:r>
      <w:r w:rsidR="00A6759A" w:rsidRPr="002B136D">
        <w:rPr>
          <w:rFonts w:cs="Times New Roman"/>
        </w:rPr>
        <w:t>]</w:t>
      </w:r>
      <w:r w:rsidR="00443DD5" w:rsidRPr="002B136D">
        <w:rPr>
          <w:rFonts w:cs="Times New Roman"/>
          <w:szCs w:val="28"/>
        </w:rPr>
        <w:fldChar w:fldCharType="end"/>
      </w:r>
      <w:r w:rsidR="003E39AF" w:rsidRPr="002B136D">
        <w:rPr>
          <w:rFonts w:cs="Times New Roman"/>
          <w:szCs w:val="28"/>
        </w:rPr>
        <w:t xml:space="preserve">. </w:t>
      </w:r>
      <w:r w:rsidR="003C793E" w:rsidRPr="002B136D">
        <w:rPr>
          <w:szCs w:val="28"/>
        </w:rPr>
        <w:t xml:space="preserve">Несмотря на то, что in vitro синтез α-SMA статистически не различался между группами, что ставит </w:t>
      </w:r>
      <w:r w:rsidR="003C793E" w:rsidRPr="002B136D">
        <w:rPr>
          <w:szCs w:val="28"/>
        </w:rPr>
        <w:lastRenderedPageBreak/>
        <w:t xml:space="preserve">под сомнение его роль при ЭОП </w:t>
      </w:r>
      <w:r w:rsidR="003C793E" w:rsidRPr="002B136D">
        <w:rPr>
          <w:szCs w:val="28"/>
        </w:rPr>
        <w:fldChar w:fldCharType="begin"/>
      </w:r>
      <w:r w:rsidR="00A6759A" w:rsidRPr="002B136D">
        <w:rPr>
          <w:szCs w:val="28"/>
        </w:rPr>
        <w:instrText xml:space="preserve"> ADDIN ZOTERO_ITEM CSL_CITATION {"citationID":"3gZInFcl","properties":{"formattedCitation":"[13]","plainCitation":"[13]","noteIndex":0},"citationItems":[{"id":517,"uris":["http://zotero.org/users/8237658/items/7WUJR8VL"],"itemData":{"id":517,"type":"book","title":"Wu Y, Zhang J, Deng W, Mo C, Liang Y, Huang K, Xu F, Tang F. Comparison of orbital fibroblasts from Graves' ophthalmopathy and healthy control. Heliyon. 2024 Mar 24;10(7):e28397. doi: 10.1016/j.heliyon.2024.e28397. PMID: 38571651; PMCID: PMC10987992."}}],"schema":"https://github.com/citation-style-language/schema/raw/master/csl-citation.json"} </w:instrText>
      </w:r>
      <w:r w:rsidR="003C793E" w:rsidRPr="002B136D">
        <w:rPr>
          <w:szCs w:val="28"/>
        </w:rPr>
        <w:fldChar w:fldCharType="separate"/>
      </w:r>
      <w:r w:rsidR="00A6759A" w:rsidRPr="002B136D">
        <w:rPr>
          <w:rFonts w:cs="Times New Roman"/>
        </w:rPr>
        <w:t>[13</w:t>
      </w:r>
      <w:r w:rsidR="002932C4">
        <w:rPr>
          <w:rFonts w:cs="Times New Roman"/>
        </w:rPr>
        <w:t>,р. 283</w:t>
      </w:r>
      <w:r w:rsidR="00A6759A" w:rsidRPr="002B136D">
        <w:rPr>
          <w:rFonts w:cs="Times New Roman"/>
        </w:rPr>
        <w:t>]</w:t>
      </w:r>
      <w:r w:rsidR="003C793E" w:rsidRPr="002B136D">
        <w:rPr>
          <w:szCs w:val="28"/>
        </w:rPr>
        <w:fldChar w:fldCharType="end"/>
      </w:r>
      <w:r w:rsidR="003C793E" w:rsidRPr="002B136D">
        <w:rPr>
          <w:szCs w:val="28"/>
        </w:rPr>
        <w:t xml:space="preserve">, другие исследования связывают повышение уровня этого белка с развитием данного заболевания </w:t>
      </w:r>
      <w:r w:rsidR="003C793E" w:rsidRPr="002B136D">
        <w:rPr>
          <w:szCs w:val="28"/>
        </w:rPr>
        <w:fldChar w:fldCharType="begin"/>
      </w:r>
      <w:r w:rsidR="00A6759A" w:rsidRPr="002B136D">
        <w:rPr>
          <w:szCs w:val="28"/>
        </w:rPr>
        <w:instrText xml:space="preserve"> ADDIN ZOTERO_ITEM CSL_CITATION {"citationID":"pDpdljO2","properties":{"formattedCitation":"[54]","plainCitation":"[54]","noteIndex":0},"citationItems":[{"id":630,"uris":["http://zotero.org/users/8237658/items/BQ4P8TEK"],"itemData":{"id":630,"type":"book","title":"Qi X, Luo B, Deng M, Cao J, Hou S, Xie Z, Tong B, Xiong W. Botox-A improve the thyroid-associated ophthalmopathy (TAO) orbital fibroblast activation through inhibiting the TGF-β/Smad signaling. Exp Eye Res. 2022 Apr;217:108971. doi: 10.1016/j.exer.2022.108971. Epub 2022 Jan 31. PMID: 35108585."}}],"schema":"https://github.com/citation-style-language/schema/raw/master/csl-citation.json"} </w:instrText>
      </w:r>
      <w:r w:rsidR="003C793E" w:rsidRPr="002B136D">
        <w:rPr>
          <w:szCs w:val="28"/>
        </w:rPr>
        <w:fldChar w:fldCharType="separate"/>
      </w:r>
      <w:r w:rsidR="00A6759A" w:rsidRPr="002B136D">
        <w:rPr>
          <w:rFonts w:cs="Times New Roman"/>
        </w:rPr>
        <w:t>[54]</w:t>
      </w:r>
      <w:r w:rsidR="003C793E" w:rsidRPr="002B136D">
        <w:rPr>
          <w:szCs w:val="28"/>
        </w:rPr>
        <w:fldChar w:fldCharType="end"/>
      </w:r>
      <w:r w:rsidR="003C793E" w:rsidRPr="002B136D">
        <w:rPr>
          <w:szCs w:val="28"/>
        </w:rPr>
        <w:t>.</w:t>
      </w:r>
    </w:p>
    <w:p w14:paraId="0639E15E" w14:textId="4C88142F" w:rsidR="00D51D40" w:rsidRDefault="00B0686C" w:rsidP="002B136D">
      <w:pPr>
        <w:spacing w:after="0" w:line="240" w:lineRule="auto"/>
        <w:ind w:firstLine="567"/>
        <w:contextualSpacing/>
        <w:jc w:val="both"/>
        <w:rPr>
          <w:rFonts w:cs="Times New Roman"/>
          <w:szCs w:val="28"/>
        </w:rPr>
      </w:pPr>
      <w:proofErr w:type="gramStart"/>
      <w:r>
        <w:rPr>
          <w:rFonts w:cs="Times New Roman"/>
          <w:szCs w:val="28"/>
        </w:rPr>
        <w:t>ГАГ –</w:t>
      </w:r>
      <w:r w:rsidR="00070DC6" w:rsidRPr="002B136D">
        <w:rPr>
          <w:rFonts w:cs="Times New Roman"/>
          <w:szCs w:val="28"/>
        </w:rPr>
        <w:t xml:space="preserve"> группа линейных полианионных гетерополисахаридов, включающая хондроитинсульфат, дерматансульфат, гепарансульфат, гепарин, кератансульфат и гиалуроновую кислоту.</w:t>
      </w:r>
      <w:proofErr w:type="gramEnd"/>
      <w:r w:rsidR="00070DC6" w:rsidRPr="002B136D">
        <w:rPr>
          <w:rFonts w:cs="Times New Roman"/>
          <w:szCs w:val="28"/>
        </w:rPr>
        <w:t xml:space="preserve"> </w:t>
      </w:r>
      <w:proofErr w:type="gramStart"/>
      <w:r w:rsidR="00070DC6" w:rsidRPr="002B136D">
        <w:rPr>
          <w:rFonts w:cs="Times New Roman"/>
          <w:szCs w:val="28"/>
        </w:rPr>
        <w:t xml:space="preserve">За исключением гиалуроновой кислоты, цепи этих макромолекул ковалентно связаны с белками ядра, формируя протеогликаны – компоненты клеточных мембран, внутриклеточных гранул и основного вещества межклеточного матрикса соединительной ткани </w:t>
      </w:r>
      <w:proofErr w:type="gramEnd"/>
      <w:r w:rsidR="00070DC6" w:rsidRPr="002B136D">
        <w:rPr>
          <w:rFonts w:cs="Times New Roman"/>
          <w:szCs w:val="28"/>
        </w:rPr>
        <w:fldChar w:fldCharType="begin"/>
      </w:r>
      <w:r w:rsidR="00A6759A" w:rsidRPr="002B136D">
        <w:rPr>
          <w:rFonts w:cs="Times New Roman"/>
          <w:szCs w:val="28"/>
        </w:rPr>
        <w:instrText xml:space="preserve"> ADDIN ZOTERO_ITEM CSL_CITATION {"citationID":"GGvbOXFl","properties":{"formattedCitation":"[55]","plainCitation":"[55]","noteIndex":0},"citationItems":[{"id":263,"uris":["http://zotero.org/users/8237658/items/JEY85YAF"],"itemData":{"id":263,"type":"book","title":"Krieger CC, Gershengorn MC. A modified ELISA accurately measures secretion of high molecular weight hyaluronan (HA) by Graves’ disease orbital cells. Endocrinology. 2014;155(2):627-634. doi: https://doi.org/10.1210/en.2013-1890."}}],"schema":"https://github.com/citation-style-language/schema/raw/master/csl-citation.json"} </w:instrText>
      </w:r>
      <w:r w:rsidR="00070DC6" w:rsidRPr="002B136D">
        <w:rPr>
          <w:rFonts w:cs="Times New Roman"/>
          <w:szCs w:val="28"/>
        </w:rPr>
        <w:fldChar w:fldCharType="separate"/>
      </w:r>
      <w:r w:rsidR="00A6759A" w:rsidRPr="002B136D">
        <w:rPr>
          <w:rFonts w:cs="Times New Roman"/>
        </w:rPr>
        <w:t>[55]</w:t>
      </w:r>
      <w:r w:rsidR="00070DC6" w:rsidRPr="002B136D">
        <w:rPr>
          <w:rFonts w:cs="Times New Roman"/>
          <w:szCs w:val="28"/>
        </w:rPr>
        <w:fldChar w:fldCharType="end"/>
      </w:r>
      <w:proofErr w:type="gramStart"/>
      <w:r w:rsidR="00070DC6" w:rsidRPr="002B136D">
        <w:rPr>
          <w:rFonts w:cs="Times New Roman"/>
          <w:szCs w:val="28"/>
        </w:rPr>
        <w:t>. Благодаря своим гидрофильным свойствам ГАГ связывают воду и способствуют развитию отека ретробульбарных тканей</w:t>
      </w:r>
      <w:proofErr w:type="gramEnd"/>
      <w:r w:rsidR="00070DC6" w:rsidRPr="002B136D">
        <w:rPr>
          <w:rFonts w:cs="Times New Roman"/>
          <w:szCs w:val="28"/>
        </w:rPr>
        <w:t xml:space="preserve"> </w:t>
      </w:r>
      <w:r w:rsidR="00070DC6" w:rsidRPr="002B136D">
        <w:rPr>
          <w:rFonts w:cs="Times New Roman"/>
          <w:szCs w:val="28"/>
        </w:rPr>
        <w:fldChar w:fldCharType="begin"/>
      </w:r>
      <w:r w:rsidR="00A6759A" w:rsidRPr="002B136D">
        <w:rPr>
          <w:rFonts w:cs="Times New Roman"/>
          <w:szCs w:val="28"/>
        </w:rPr>
        <w:instrText xml:space="preserve"> ADDIN ZOTERO_ITEM CSL_CITATION {"citationID":"dGGJ4hrF","properties":{"formattedCitation":"[25,41]","plainCitation":"[25,41]","noteIndex":0},"citationItems":[{"id":264,"uris":["http://zotero.org/users/8237658/items/UQWAF4ML"],"itemData":{"id":264,"type":"book","title":"Bartalena L, Baldeschi L, Boboridis K, et al. The 2016 European Thyroid Association/European Group on Graves’ Orbitopathy Guidelines for the Management of Graves’ Orbitopathy. Eur Thyroid J. 2016;5(1):9-26. doi: https://doi.org/10.1159/000443828."},"label":"page"},{"id":265,"uris":["http://zotero.org/users/8237658/items/2PAHSGUV"],"itemData":{"id":265,"type":"book","title":"Krieger CC, Neumann S, Place RF, et al. Bidirectional TSH and IGF-1 receptor cross talk mediates stimulation of hyaluronan secretion by Graves’ disease immunoglobins. J Clin Endocrinol Metab. 2015;100(3):1071-1077."},"label":"page"}],"schema":"https://github.com/citation-style-language/schema/raw/master/csl-citation.json"} </w:instrText>
      </w:r>
      <w:r w:rsidR="00070DC6" w:rsidRPr="002B136D">
        <w:rPr>
          <w:rFonts w:cs="Times New Roman"/>
          <w:szCs w:val="28"/>
        </w:rPr>
        <w:fldChar w:fldCharType="separate"/>
      </w:r>
      <w:r w:rsidR="00A6759A" w:rsidRPr="002B136D">
        <w:rPr>
          <w:rFonts w:cs="Times New Roman"/>
        </w:rPr>
        <w:t>[41</w:t>
      </w:r>
      <w:r w:rsidR="002932C4">
        <w:rPr>
          <w:rFonts w:cs="Times New Roman"/>
        </w:rPr>
        <w:t>,р. 1071</w:t>
      </w:r>
      <w:r w:rsidR="00A6759A" w:rsidRPr="002B136D">
        <w:rPr>
          <w:rFonts w:cs="Times New Roman"/>
        </w:rPr>
        <w:t>]</w:t>
      </w:r>
      <w:r w:rsidR="00070DC6" w:rsidRPr="002B136D">
        <w:rPr>
          <w:rFonts w:cs="Times New Roman"/>
          <w:szCs w:val="28"/>
        </w:rPr>
        <w:fldChar w:fldCharType="end"/>
      </w:r>
      <w:r w:rsidR="00070DC6" w:rsidRPr="002B136D">
        <w:rPr>
          <w:rFonts w:cs="Times New Roman"/>
          <w:szCs w:val="28"/>
        </w:rPr>
        <w:t xml:space="preserve">. </w:t>
      </w:r>
    </w:p>
    <w:p w14:paraId="3ADEC135" w14:textId="2E0E4C0D" w:rsidR="00860A3E" w:rsidRPr="002B136D" w:rsidRDefault="00070DC6" w:rsidP="002B136D">
      <w:pPr>
        <w:spacing w:after="0" w:line="240" w:lineRule="auto"/>
        <w:ind w:firstLine="567"/>
        <w:contextualSpacing/>
        <w:jc w:val="both"/>
        <w:rPr>
          <w:rFonts w:cs="Times New Roman"/>
          <w:szCs w:val="28"/>
        </w:rPr>
      </w:pPr>
      <w:proofErr w:type="gramStart"/>
      <w:r w:rsidRPr="002B136D">
        <w:rPr>
          <w:rFonts w:cs="Times New Roman"/>
          <w:szCs w:val="28"/>
        </w:rPr>
        <w:t xml:space="preserve">Kriger C.C. и соавт. показали прямую корреляцию между концентрацией ГАГ в суточной моче и активностью эндокринной офтальмопатии (ЭОП)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{"citationID":"q892jJEB","properties":{"formattedCitation":"[56]","plainCitation":"[56]","noteIndex":0},"citationItems":[{"id":272,"uris":["http://zotero.org/users/8237658/items/ZXW3Q9DF"],"itemData":{"id":272,"type":"book","title":"Slowik M, Urbaniak-Kujda D, Bohdanowicz-Pawlak A, et al. CD8+CD28-lymphocytes in peripheral blood and serum concentrations of soluble interleukin 6 receptor are increased in patients with Graves’ orbitopathy and correlate with disease activity. Endocr Res. 2012;37(2):89-95. doi: https://doi.org/10.3109/07435800.2011.635622."}}],"schema":"https://github.com/citation-style-language/schema/raw/master/csl-citation.json"} </w:instrText>
      </w:r>
      <w:r w:rsidRPr="002B136D">
        <w:rPr>
          <w:rFonts w:cs="Times New Roman"/>
          <w:szCs w:val="28"/>
        </w:rPr>
        <w:fldChar w:fldCharType="separate"/>
      </w:r>
      <w:r w:rsidR="00A6759A" w:rsidRPr="002B136D">
        <w:rPr>
          <w:rFonts w:cs="Times New Roman"/>
        </w:rPr>
        <w:t>[56]</w:t>
      </w:r>
      <w:r w:rsidRPr="002B136D">
        <w:rPr>
          <w:rFonts w:cs="Times New Roman"/>
          <w:szCs w:val="28"/>
        </w:rPr>
        <w:fldChar w:fldCharType="end"/>
      </w:r>
      <w:proofErr w:type="gramStart"/>
      <w:r w:rsidRPr="002B136D">
        <w:rPr>
          <w:rFonts w:cs="Times New Roman"/>
          <w:szCs w:val="28"/>
        </w:rPr>
        <w:t>. Продукция гиалуроновой кислоты орбитальными фибробластами Thy1+/CD90+ усиливается медиаторами, такими как лейкорегулин, IL-1β, TNF-α, IFN-γ, TGF-β, PGE2, PDGF и IGF-1</w:t>
      </w:r>
      <w:proofErr w:type="gramEnd"/>
      <w:r w:rsidRPr="002B136D">
        <w:rPr>
          <w:rFonts w:cs="Times New Roman"/>
          <w:szCs w:val="28"/>
        </w:rPr>
        <w:t xml:space="preserve"> </w:t>
      </w:r>
      <w:r w:rsidR="00860A3E" w:rsidRPr="002B136D">
        <w:rPr>
          <w:rFonts w:cs="Times New Roman"/>
          <w:szCs w:val="28"/>
        </w:rPr>
        <w:fldChar w:fldCharType="begin"/>
      </w:r>
      <w:r w:rsidR="00A6759A" w:rsidRPr="002B136D">
        <w:rPr>
          <w:rFonts w:cs="Times New Roman"/>
          <w:szCs w:val="28"/>
        </w:rPr>
        <w:instrText xml:space="preserve"> ADDIN ZOTERO_ITEM CSL_CITATION {"citationID":"igxC4zcG","properties":{"formattedCitation":"[45,57,58]","plainCitation":"[45,57,58]","noteIndex":0},"citationItems":[{"id":252,"uris":["http://zotero.org/users/8237658/items/8N43KNKT"],"itemData":{"id":252,"type":"book","title":"Dik WA, Virakul S, van Steensel L. Current perspectives on the role of orbital fibroblasts in the pathogenesis of Graves’ ophthalmopathy. Exp Eye Res. 2016;142:83-91. doi: https://doi.org/10.1016/j.exer.2015.02.007."},"label":"page"},{"id":266,"uris":["http://zotero.org/users/8237658/items/G9N74HNF"],"itemData":{"id":266,"type":"book","title":"van Steensel L, Paridaens D, van Meurs M, et al. Orbit-infiltrating mast cells, monocytes, and macrophages produce PDGF isoforms that orchestrate orbital fibroblast activation in Graves’ ophthalmopathy. J Clin Endocrinol Metab. 2012;97(3):E400-408. doi: https://doi.org/10.1210/jc.2011-2697."},"label":"page"},{"id":604,"uris":["http://zotero.org/users/8237658/items/H87P6S2T"],"itemData":{"id":604,"type":"book","title":"Łacheta D, Miśkiewicz P, Głuszko A, Nowicka G, Struga M, Kantor I, Poślednik KB, Mirza S, Szczepański MJ. Immunological Aspects of Graves' Ophthalmopathy. Biomed Res Int. 2019 Nov 12;2019:7453260. doi: 10.1155/2019/7453260. PMID: 31781640; PMCID: PMC6875285."},"label":"page"}],"schema":"https://github.com/citation-style-language/schema/raw/master/csl-citation.json"} </w:instrText>
      </w:r>
      <w:r w:rsidR="00860A3E" w:rsidRPr="002B136D">
        <w:rPr>
          <w:rFonts w:cs="Times New Roman"/>
          <w:szCs w:val="28"/>
        </w:rPr>
        <w:fldChar w:fldCharType="separate"/>
      </w:r>
      <w:r w:rsidR="00A6759A" w:rsidRPr="002B136D">
        <w:rPr>
          <w:rFonts w:cs="Times New Roman"/>
        </w:rPr>
        <w:t>[57,58]</w:t>
      </w:r>
      <w:r w:rsidR="00860A3E" w:rsidRPr="002B136D">
        <w:rPr>
          <w:rFonts w:cs="Times New Roman"/>
          <w:szCs w:val="28"/>
        </w:rPr>
        <w:fldChar w:fldCharType="end"/>
      </w:r>
      <w:r w:rsidR="00860A3E" w:rsidRPr="002B136D">
        <w:rPr>
          <w:rFonts w:cs="Times New Roman"/>
          <w:szCs w:val="28"/>
        </w:rPr>
        <w:t>.</w:t>
      </w:r>
    </w:p>
    <w:p w14:paraId="359EC80F" w14:textId="2765B743" w:rsidR="00D51D40" w:rsidRDefault="00860A3E" w:rsidP="002B136D">
      <w:pPr>
        <w:spacing w:after="0" w:line="240" w:lineRule="auto"/>
        <w:ind w:firstLine="567"/>
        <w:contextualSpacing/>
        <w:jc w:val="both"/>
        <w:rPr>
          <w:rFonts w:cs="Times New Roman"/>
          <w:szCs w:val="28"/>
        </w:rPr>
      </w:pPr>
      <w:r w:rsidRPr="002B136D">
        <w:rPr>
          <w:rFonts w:cs="Times New Roman"/>
          <w:szCs w:val="28"/>
        </w:rPr>
        <w:t xml:space="preserve">Орбитальные фибробласты отличаются от других фибробластов тем, что легче превращаются в жировые клетки (адипоциты) </w:t>
      </w:r>
      <w:r w:rsidRPr="002B136D">
        <w:rPr>
          <w:rFonts w:cs="Times New Roman"/>
          <w:szCs w:val="28"/>
        </w:rPr>
        <w:fldChar w:fldCharType="begin"/>
      </w:r>
      <w:r w:rsidR="00A6759A" w:rsidRPr="002B136D">
        <w:rPr>
          <w:rFonts w:cs="Times New Roman"/>
          <w:szCs w:val="28"/>
        </w:rPr>
        <w:instrText xml:space="preserve"> ADDIN ZOTERO_ITEM CSL_CITATION {"citationID":"SfOWymTp","properties":{"formattedCitation":"[40,45,59]","plainCitation":"[40,45,59]","noteIndex":0},"citationItems":[{"id":253,"uris":["http://zotero.org/users/8237658/items/GQPVCML3"],"itemData":{"id":253,"type":"book","title":"Bahn RS. Current Insights into the Pathogenesis of Graves' Ophthalmopathy. Horm Metab Res. 2015;47(10):773-778. doi: https://doi.org/10.1055/s-0035-1555762."},"label":"page"},{"id":252,"uris":["http://zotero.org/users/8237658/items/8N43KNKT"],"itemData":{"id":252,"type":"book","title":"Dik WA, Virakul S, van Steensel L. Current perspectives on the role of orbital fibroblasts in the pathogenesis of Graves’ ophthalmopathy. Exp Eye Res. 2016;142:83-91. doi: https://doi.org/10.1016/j.exer.2015.02.007."},"label":"page"},{"id":267,"uris":["http://zotero.org/users/8237658/items/VKU6CT3W"],"itemData":{"id":267,"type":"book","title":"Петунина Н.А., Трухина Л.В., Мартиросян Н.С. Эндокринная офтальмопатия: современный взгляд. // Проблемы эндокрино логии. – 2013. – Т. 58. – №6. – С. 24-32. [Petunina NA, Trukhina LV, Martirosyan NS. Endocrine ophthalmopathy: state-of-the-art approaches. Problems of endocrinology. 2013; 58(6):24-32. (In Russ.)] doi: https://doi.org/10.14341/probl201258624-32."},"label":"page"}],"schema":"https://github.com/citation-style-language/schema/raw/master/csl-citation.json"} </w:instrText>
      </w:r>
      <w:r w:rsidRPr="002B136D">
        <w:rPr>
          <w:rFonts w:cs="Times New Roman"/>
          <w:szCs w:val="28"/>
        </w:rPr>
        <w:fldChar w:fldCharType="separate"/>
      </w:r>
      <w:r w:rsidR="00A6759A" w:rsidRPr="002B136D">
        <w:rPr>
          <w:rFonts w:cs="Times New Roman"/>
        </w:rPr>
        <w:t>[59]</w:t>
      </w:r>
      <w:r w:rsidRPr="002B136D">
        <w:rPr>
          <w:rFonts w:cs="Times New Roman"/>
          <w:szCs w:val="28"/>
          <w:lang w:val="en-US"/>
        </w:rPr>
        <w:fldChar w:fldCharType="end"/>
      </w:r>
      <w:r w:rsidRPr="002B136D">
        <w:rPr>
          <w:rFonts w:cs="Times New Roman"/>
          <w:szCs w:val="28"/>
        </w:rPr>
        <w:t xml:space="preserve">.Регуляция адипогенеза в орбитальных фибробластах осуществляется посредством различных цитокинов, сигнальных молекул, оказывающих влияние на клеточную активность. В частности, цитокины IL-1β, IL-6 и PGD2 оказывают стимулирующее воздействие на процесс адипогенеза, способствуя дифференцировке фибробластов в жировые клетки. В то же время, цитокины IFN-γ и TNF-α, напротив, оказывают ингибирующее действие на адипогенез, подавляя трансформацию орбитальных фибробластов в адипоциты  </w:t>
      </w:r>
      <w:r w:rsidRPr="002B136D">
        <w:rPr>
          <w:rFonts w:cs="Times New Roman"/>
          <w:szCs w:val="28"/>
        </w:rPr>
        <w:fldChar w:fldCharType="begin"/>
      </w:r>
      <w:r w:rsidR="00A6759A" w:rsidRPr="002B136D">
        <w:rPr>
          <w:rFonts w:cs="Times New Roman"/>
          <w:szCs w:val="28"/>
        </w:rPr>
        <w:instrText xml:space="preserve"> ADDIN ZOTERO_ITEM CSL_CITATION {"citationID":"JNjfESav","properties":{"formattedCitation":"[45]","plainCitation":"[45]","noteIndex":0},"citationItems":[{"id":252,"uris":["http://zotero.org/users/8237658/items/8N43KNKT"],"itemData":{"id":252,"type":"book","title":"Dik WA, Virakul S, van Steensel L. Current perspectives on the role of orbital fibroblasts in the pathogenesis of Graves’ ophthalmopathy. Exp Eye Res. 2016;142:83-91. doi: https://doi.org/10.1016/j.exer.2015.02.007."}}],"schema":"https://github.com/citation-style-language/schema/raw/master/csl-citation.json"} </w:instrText>
      </w:r>
      <w:r w:rsidRPr="002B136D">
        <w:rPr>
          <w:rFonts w:cs="Times New Roman"/>
          <w:szCs w:val="28"/>
        </w:rPr>
        <w:fldChar w:fldCharType="separate"/>
      </w:r>
      <w:r w:rsidR="00A6759A" w:rsidRPr="002B136D">
        <w:rPr>
          <w:rFonts w:cs="Times New Roman"/>
        </w:rPr>
        <w:t>[45</w:t>
      </w:r>
      <w:r w:rsidR="002932C4">
        <w:rPr>
          <w:rFonts w:cs="Times New Roman"/>
        </w:rPr>
        <w:t>,р. 83</w:t>
      </w:r>
      <w:r w:rsidR="00A6759A" w:rsidRPr="002B136D">
        <w:rPr>
          <w:rFonts w:cs="Times New Roman"/>
        </w:rPr>
        <w:t>]</w:t>
      </w:r>
      <w:r w:rsidRPr="002B136D">
        <w:rPr>
          <w:rFonts w:cs="Times New Roman"/>
          <w:szCs w:val="28"/>
          <w:lang w:val="en-US"/>
        </w:rPr>
        <w:fldChar w:fldCharType="end"/>
      </w:r>
      <w:r w:rsidRPr="002B136D">
        <w:rPr>
          <w:rFonts w:cs="Times New Roman"/>
          <w:szCs w:val="28"/>
        </w:rPr>
        <w:t>.</w:t>
      </w:r>
      <w:r w:rsidR="00145E8F" w:rsidRPr="002B136D">
        <w:rPr>
          <w:rFonts w:cs="Times New Roman"/>
          <w:szCs w:val="28"/>
        </w:rPr>
        <w:t xml:space="preserve"> </w:t>
      </w:r>
    </w:p>
    <w:p w14:paraId="35080ED0" w14:textId="77777777" w:rsidR="00D51D40" w:rsidRDefault="00145E8F" w:rsidP="002B136D">
      <w:pPr>
        <w:spacing w:after="0" w:line="240" w:lineRule="auto"/>
        <w:ind w:firstLine="567"/>
        <w:contextualSpacing/>
        <w:jc w:val="both"/>
        <w:rPr>
          <w:rFonts w:cs="Times New Roman"/>
          <w:szCs w:val="28"/>
        </w:rPr>
      </w:pPr>
      <w:r w:rsidRPr="002B136D">
        <w:rPr>
          <w:rFonts w:cs="Times New Roman"/>
          <w:szCs w:val="28"/>
        </w:rPr>
        <w:t xml:space="preserve">Таким образом, баланс между </w:t>
      </w:r>
      <w:proofErr w:type="gramStart"/>
      <w:r w:rsidRPr="002B136D">
        <w:rPr>
          <w:rFonts w:cs="Times New Roman"/>
          <w:szCs w:val="28"/>
        </w:rPr>
        <w:t>стимулирующими</w:t>
      </w:r>
      <w:proofErr w:type="gramEnd"/>
      <w:r w:rsidRPr="002B136D">
        <w:rPr>
          <w:rFonts w:cs="Times New Roman"/>
          <w:szCs w:val="28"/>
        </w:rPr>
        <w:t xml:space="preserve"> и ингибирующими цитокинами играет ключевую роль в определении судьбы орбитальных фибробластов.</w:t>
      </w:r>
      <w:r w:rsidR="00860A3E" w:rsidRPr="002B136D">
        <w:rPr>
          <w:rFonts w:cs="Times New Roman"/>
          <w:szCs w:val="28"/>
        </w:rPr>
        <w:t xml:space="preserve"> </w:t>
      </w:r>
      <w:r w:rsidRPr="002B136D">
        <w:rPr>
          <w:rFonts w:cs="Times New Roman"/>
          <w:szCs w:val="28"/>
        </w:rPr>
        <w:t xml:space="preserve">Важнейшую роль в процессе созревания преадипоцитов, клеток-предшественников адипоцитов, играет фактор PPAR-γ. Активация PPAR-γ стимулирует липогенез, то есть процесс образования и накопления жиров в клетках. Следовательно, PPAR-γ является ключевым регулятором дифференцировки преадипоцитов </w:t>
      </w:r>
      <w:proofErr w:type="gramStart"/>
      <w:r w:rsidRPr="002B136D">
        <w:rPr>
          <w:rFonts w:cs="Times New Roman"/>
          <w:szCs w:val="28"/>
        </w:rPr>
        <w:t>в</w:t>
      </w:r>
      <w:proofErr w:type="gramEnd"/>
      <w:r w:rsidRPr="002B136D">
        <w:rPr>
          <w:rFonts w:cs="Times New Roman"/>
          <w:szCs w:val="28"/>
        </w:rPr>
        <w:t xml:space="preserve"> зрелые адипоциты </w:t>
      </w:r>
      <w:r w:rsidR="00860A3E" w:rsidRPr="002B136D">
        <w:rPr>
          <w:rFonts w:cs="Times New Roman"/>
          <w:szCs w:val="28"/>
        </w:rPr>
        <w:fldChar w:fldCharType="begin"/>
      </w:r>
      <w:r w:rsidR="00A6759A" w:rsidRPr="002B136D">
        <w:rPr>
          <w:rFonts w:cs="Times New Roman"/>
          <w:szCs w:val="28"/>
        </w:rPr>
        <w:instrText xml:space="preserve"> ADDIN ZOTERO_ITEM CSL_CITATION {"citationID":"pdAwMldE","properties":{"formattedCitation":"[60]","plainCitation":"[60]","noteIndex":0},"citationItems":[{"id":268,"uris":["http://zotero.org/users/8237658/items/DBPFQAXR"],"itemData":{"id":268,"type":"book","title":"Fanale D, Amodeo V, Caruso S. The interplay between metabolism, PPAR signaling pathway, and cancer. PPAR Res. 2017;2017:1830626. doi: https://doi.org/10.1155/2017/1830626."}}],"schema":"https://github.com/citation-style-language/schema/raw/master/csl-citation.json"} </w:instrText>
      </w:r>
      <w:r w:rsidR="00860A3E" w:rsidRPr="002B136D">
        <w:rPr>
          <w:rFonts w:cs="Times New Roman"/>
          <w:szCs w:val="28"/>
        </w:rPr>
        <w:fldChar w:fldCharType="separate"/>
      </w:r>
      <w:r w:rsidR="00A6759A" w:rsidRPr="002B136D">
        <w:rPr>
          <w:rFonts w:cs="Times New Roman"/>
        </w:rPr>
        <w:t>[60]</w:t>
      </w:r>
      <w:r w:rsidR="00860A3E" w:rsidRPr="002B136D">
        <w:rPr>
          <w:rFonts w:cs="Times New Roman"/>
          <w:szCs w:val="28"/>
          <w:lang w:val="en-US"/>
        </w:rPr>
        <w:fldChar w:fldCharType="end"/>
      </w:r>
      <w:r w:rsidR="00860A3E" w:rsidRPr="002B136D">
        <w:rPr>
          <w:rFonts w:cs="Times New Roman"/>
          <w:szCs w:val="28"/>
        </w:rPr>
        <w:t xml:space="preserve">. </w:t>
      </w:r>
    </w:p>
    <w:p w14:paraId="4A15217E" w14:textId="04344EA0" w:rsidR="00860A3E" w:rsidRPr="002B136D" w:rsidRDefault="00860A3E" w:rsidP="002B136D">
      <w:pPr>
        <w:spacing w:after="0" w:line="240" w:lineRule="auto"/>
        <w:ind w:firstLine="567"/>
        <w:contextualSpacing/>
        <w:jc w:val="both"/>
        <w:rPr>
          <w:rFonts w:cs="Times New Roman"/>
          <w:szCs w:val="28"/>
        </w:rPr>
      </w:pPr>
      <w:r w:rsidRPr="002B136D">
        <w:rPr>
          <w:rFonts w:cs="Times New Roman"/>
          <w:szCs w:val="28"/>
        </w:rPr>
        <w:t xml:space="preserve">Пероксисомы являются внутриклеточными органеллами, содержащие различные ферменты (в основном оксидазы и каталазы). Данные органеллы выполняют метаболические функции: </w:t>
      </w:r>
      <w:proofErr w:type="gramStart"/>
      <w:r w:rsidRPr="002B136D">
        <w:rPr>
          <w:rFonts w:cs="Times New Roman"/>
          <w:szCs w:val="28"/>
        </w:rPr>
        <w:t>β-</w:t>
      </w:r>
      <w:proofErr w:type="gramEnd"/>
      <w:r w:rsidRPr="002B136D">
        <w:rPr>
          <w:rFonts w:cs="Times New Roman"/>
          <w:szCs w:val="28"/>
        </w:rPr>
        <w:t xml:space="preserve">окисление жирных кислот, аэробное клеточное дыхание, участие в метаболизме холестерина </w:t>
      </w:r>
      <w:r w:rsidR="00AF31F3">
        <w:rPr>
          <w:rFonts w:cs="Times New Roman"/>
          <w:szCs w:val="28"/>
        </w:rPr>
        <w:t>(рисунок</w:t>
      </w:r>
      <w:r w:rsidR="002932C4">
        <w:rPr>
          <w:rFonts w:cs="Times New Roman"/>
          <w:szCs w:val="28"/>
        </w:rPr>
        <w:t xml:space="preserve"> </w:t>
      </w:r>
      <w:r w:rsidRPr="002B136D">
        <w:rPr>
          <w:rFonts w:cs="Times New Roman"/>
          <w:szCs w:val="28"/>
        </w:rPr>
        <w:t xml:space="preserve">1). </w:t>
      </w:r>
    </w:p>
    <w:p w14:paraId="27B2B16C" w14:textId="77777777" w:rsidR="00860A3E" w:rsidRDefault="00860A3E" w:rsidP="00860A3E">
      <w:pPr>
        <w:spacing w:after="0" w:line="240" w:lineRule="auto"/>
        <w:ind w:firstLine="709"/>
        <w:contextualSpacing/>
        <w:jc w:val="both"/>
        <w:rPr>
          <w:rFonts w:cs="Times New Roman"/>
          <w:szCs w:val="28"/>
        </w:rPr>
      </w:pPr>
    </w:p>
    <w:p w14:paraId="24E15F55" w14:textId="3EE8FFD3" w:rsidR="00D51D40" w:rsidRDefault="00D51D40" w:rsidP="00D51D40">
      <w:pPr>
        <w:spacing w:after="0" w:line="240" w:lineRule="auto"/>
        <w:contextualSpacing/>
        <w:jc w:val="center"/>
        <w:rPr>
          <w:rFonts w:cs="Times New Roman"/>
          <w:szCs w:val="28"/>
        </w:rPr>
      </w:pPr>
      <w:r w:rsidRPr="002B136D">
        <w:rPr>
          <w:rFonts w:cs="Times New Roman"/>
          <w:noProof/>
          <w:szCs w:val="28"/>
          <w:lang w:eastAsia="ru-RU"/>
        </w:rPr>
        <w:lastRenderedPageBreak/>
        <w:drawing>
          <wp:inline distT="0" distB="0" distL="0" distR="0" wp14:anchorId="0BAB2084" wp14:editId="3F0B19C8">
            <wp:extent cx="5718349" cy="3409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24460" cy="3413594"/>
                    </a:xfrm>
                    <a:prstGeom prst="rect">
                      <a:avLst/>
                    </a:prstGeom>
                  </pic:spPr>
                </pic:pic>
              </a:graphicData>
            </a:graphic>
          </wp:inline>
        </w:drawing>
      </w:r>
    </w:p>
    <w:p w14:paraId="13461640" w14:textId="77777777" w:rsidR="00D51D40" w:rsidRPr="00D51D40" w:rsidRDefault="00D51D40" w:rsidP="00D51D40">
      <w:pPr>
        <w:spacing w:after="0" w:line="240" w:lineRule="auto"/>
        <w:contextualSpacing/>
        <w:jc w:val="both"/>
        <w:rPr>
          <w:rFonts w:cs="Times New Roman"/>
          <w:szCs w:val="28"/>
        </w:rPr>
      </w:pPr>
    </w:p>
    <w:p w14:paraId="7CE7F91E" w14:textId="175550DE" w:rsidR="00D51D40" w:rsidRDefault="009327F2" w:rsidP="00D51D40">
      <w:pPr>
        <w:spacing w:after="0" w:line="240" w:lineRule="auto"/>
        <w:contextualSpacing/>
        <w:jc w:val="center"/>
        <w:rPr>
          <w:rFonts w:cs="Times New Roman"/>
          <w:szCs w:val="28"/>
          <w:lang w:val="kk-KZ"/>
        </w:rPr>
      </w:pPr>
      <w:r w:rsidRPr="00D51D40">
        <w:rPr>
          <w:rFonts w:cs="Times New Roman"/>
          <w:szCs w:val="28"/>
        </w:rPr>
        <w:t>Рисунок 1</w:t>
      </w:r>
      <w:r w:rsidR="00D51D40" w:rsidRPr="00D51D40">
        <w:rPr>
          <w:rFonts w:cs="Times New Roman"/>
          <w:szCs w:val="28"/>
        </w:rPr>
        <w:t xml:space="preserve"> - </w:t>
      </w:r>
      <w:r w:rsidRPr="00D51D40">
        <w:rPr>
          <w:rFonts w:cs="Times New Roman"/>
          <w:szCs w:val="28"/>
        </w:rPr>
        <w:t xml:space="preserve">Ремоделирование субпопуляции </w:t>
      </w:r>
      <w:r w:rsidRPr="00D51D40">
        <w:rPr>
          <w:rFonts w:cs="Times New Roman"/>
          <w:szCs w:val="28"/>
          <w:lang w:val="en-US"/>
        </w:rPr>
        <w:t>Th</w:t>
      </w:r>
      <w:r w:rsidRPr="00D51D40">
        <w:rPr>
          <w:rFonts w:cs="Times New Roman"/>
          <w:szCs w:val="28"/>
        </w:rPr>
        <w:t>1</w:t>
      </w:r>
      <w:r w:rsidRPr="00D51D40">
        <w:rPr>
          <w:rFonts w:cs="Times New Roman"/>
          <w:szCs w:val="28"/>
          <w:vertAlign w:val="superscript"/>
        </w:rPr>
        <w:t>+</w:t>
      </w:r>
      <w:r w:rsidRPr="00D51D40">
        <w:rPr>
          <w:rFonts w:cs="Times New Roman"/>
          <w:szCs w:val="28"/>
        </w:rPr>
        <w:t>/</w:t>
      </w:r>
      <w:r w:rsidRPr="00D51D40">
        <w:rPr>
          <w:rFonts w:cs="Times New Roman"/>
          <w:szCs w:val="28"/>
          <w:lang w:val="en-US"/>
        </w:rPr>
        <w:t>Thy</w:t>
      </w:r>
      <w:r w:rsidRPr="00D51D40">
        <w:rPr>
          <w:rFonts w:cs="Times New Roman"/>
          <w:szCs w:val="28"/>
        </w:rPr>
        <w:t>1</w:t>
      </w:r>
      <w:r w:rsidRPr="00D51D40">
        <w:rPr>
          <w:rFonts w:cs="Times New Roman"/>
          <w:szCs w:val="28"/>
          <w:vertAlign w:val="superscript"/>
        </w:rPr>
        <w:t>-</w:t>
      </w:r>
      <w:r w:rsidRPr="00D51D40">
        <w:rPr>
          <w:rFonts w:cs="Times New Roman"/>
          <w:szCs w:val="28"/>
        </w:rPr>
        <w:t>(</w:t>
      </w:r>
      <w:r w:rsidRPr="00D51D40">
        <w:rPr>
          <w:rFonts w:cs="Times New Roman"/>
          <w:szCs w:val="28"/>
          <w:lang w:val="en-US"/>
        </w:rPr>
        <w:t>CD</w:t>
      </w:r>
      <w:r w:rsidRPr="00D51D40">
        <w:rPr>
          <w:rFonts w:cs="Times New Roman"/>
          <w:szCs w:val="28"/>
        </w:rPr>
        <w:t>90</w:t>
      </w:r>
      <w:r w:rsidRPr="00D51D40">
        <w:rPr>
          <w:rFonts w:cs="Times New Roman"/>
          <w:szCs w:val="28"/>
          <w:vertAlign w:val="superscript"/>
        </w:rPr>
        <w:t>+</w:t>
      </w:r>
      <w:r w:rsidRPr="00D51D40">
        <w:rPr>
          <w:rFonts w:cs="Times New Roman"/>
          <w:szCs w:val="28"/>
        </w:rPr>
        <w:t>/</w:t>
      </w:r>
      <w:r w:rsidRPr="00D51D40">
        <w:rPr>
          <w:rFonts w:cs="Times New Roman"/>
          <w:szCs w:val="28"/>
          <w:lang w:val="en-US"/>
        </w:rPr>
        <w:t>CD</w:t>
      </w:r>
      <w:r w:rsidRPr="00D51D40">
        <w:rPr>
          <w:rFonts w:cs="Times New Roman"/>
          <w:szCs w:val="28"/>
        </w:rPr>
        <w:t>90</w:t>
      </w:r>
      <w:r w:rsidRPr="00D51D40">
        <w:rPr>
          <w:rFonts w:cs="Times New Roman"/>
          <w:szCs w:val="28"/>
          <w:vertAlign w:val="superscript"/>
        </w:rPr>
        <w:t>-</w:t>
      </w:r>
      <w:r w:rsidRPr="00D51D40">
        <w:rPr>
          <w:rFonts w:cs="Times New Roman"/>
          <w:szCs w:val="28"/>
        </w:rPr>
        <w:t>) орбитальных фибробластов при ЭОП</w:t>
      </w:r>
      <w:r w:rsidRPr="00D51D40">
        <w:rPr>
          <w:rFonts w:cs="Times New Roman"/>
          <w:szCs w:val="28"/>
          <w:lang w:val="kk-KZ"/>
        </w:rPr>
        <w:t xml:space="preserve"> </w:t>
      </w:r>
    </w:p>
    <w:p w14:paraId="13259D70" w14:textId="77777777" w:rsidR="00D51D40" w:rsidRPr="00D51D40" w:rsidRDefault="00D51D40" w:rsidP="00D51D40">
      <w:pPr>
        <w:spacing w:after="0" w:line="240" w:lineRule="auto"/>
        <w:contextualSpacing/>
        <w:jc w:val="center"/>
        <w:rPr>
          <w:rFonts w:cs="Times New Roman"/>
          <w:szCs w:val="28"/>
          <w:lang w:val="kk-KZ"/>
        </w:rPr>
      </w:pPr>
    </w:p>
    <w:p w14:paraId="1757178B" w14:textId="4E7D8451" w:rsidR="009327F2" w:rsidRPr="00D51D40" w:rsidRDefault="00D7006C" w:rsidP="00D51D40">
      <w:pPr>
        <w:spacing w:after="0" w:line="240" w:lineRule="auto"/>
        <w:ind w:firstLine="567"/>
        <w:contextualSpacing/>
        <w:rPr>
          <w:rFonts w:cs="Times New Roman"/>
          <w:sz w:val="24"/>
          <w:szCs w:val="24"/>
          <w:lang w:val="kk-KZ"/>
        </w:rPr>
      </w:pPr>
      <w:r>
        <w:rPr>
          <w:rFonts w:cs="Times New Roman"/>
          <w:sz w:val="24"/>
          <w:szCs w:val="24"/>
          <w:lang w:val="kk-KZ"/>
        </w:rPr>
        <w:t xml:space="preserve">Примечание - </w:t>
      </w:r>
      <w:r w:rsidR="00D51D40" w:rsidRPr="00D51D40">
        <w:rPr>
          <w:rFonts w:cs="Times New Roman"/>
          <w:sz w:val="24"/>
          <w:szCs w:val="24"/>
          <w:lang w:val="kk-KZ"/>
        </w:rPr>
        <w:t xml:space="preserve">Источник </w:t>
      </w:r>
      <w:r w:rsidR="009327F2" w:rsidRPr="00D51D40">
        <w:rPr>
          <w:rFonts w:cs="Times New Roman"/>
          <w:sz w:val="24"/>
          <w:szCs w:val="24"/>
          <w:lang w:val="kk-KZ"/>
        </w:rPr>
        <w:fldChar w:fldCharType="begin"/>
      </w:r>
      <w:r w:rsidR="004B40F7" w:rsidRPr="00D51D40">
        <w:rPr>
          <w:rFonts w:cs="Times New Roman"/>
          <w:sz w:val="24"/>
          <w:szCs w:val="24"/>
          <w:lang w:val="kk-KZ"/>
        </w:rPr>
        <w:instrText xml:space="preserve"> ADDIN ZOTERO_ITEM CSL_CITATION {"citationID":"XodjrGKq","properties":{"formattedCitation":"[6]","plainCitation":"[6]","noteIndex":0},"citationItems":[{"id":281,"uris":["http://zotero.org/users/8237658/items/W8WM5788"],"itemData":{"id":281,"type":"book","title":"Е.С.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офтальмопатии"}}],"schema":"https://github.com/citation-style-language/schema/raw/master/csl-citation.json"} </w:instrText>
      </w:r>
      <w:r w:rsidR="009327F2" w:rsidRPr="00D51D40">
        <w:rPr>
          <w:rFonts w:cs="Times New Roman"/>
          <w:sz w:val="24"/>
          <w:szCs w:val="24"/>
          <w:lang w:val="kk-KZ"/>
        </w:rPr>
        <w:fldChar w:fldCharType="separate"/>
      </w:r>
      <w:r w:rsidR="004B40F7" w:rsidRPr="00D51D40">
        <w:rPr>
          <w:rFonts w:cs="Times New Roman"/>
          <w:sz w:val="24"/>
          <w:szCs w:val="24"/>
        </w:rPr>
        <w:t>[6</w:t>
      </w:r>
      <w:r w:rsidR="002932C4">
        <w:rPr>
          <w:rFonts w:cs="Times New Roman"/>
          <w:sz w:val="24"/>
          <w:szCs w:val="24"/>
        </w:rPr>
        <w:t>,с. 18</w:t>
      </w:r>
      <w:r w:rsidR="004B40F7" w:rsidRPr="00D51D40">
        <w:rPr>
          <w:rFonts w:cs="Times New Roman"/>
          <w:sz w:val="24"/>
          <w:szCs w:val="24"/>
        </w:rPr>
        <w:t>]</w:t>
      </w:r>
      <w:r w:rsidR="009327F2" w:rsidRPr="00D51D40">
        <w:rPr>
          <w:rFonts w:cs="Times New Roman"/>
          <w:sz w:val="24"/>
          <w:szCs w:val="24"/>
          <w:lang w:val="kk-KZ"/>
        </w:rPr>
        <w:fldChar w:fldCharType="end"/>
      </w:r>
    </w:p>
    <w:p w14:paraId="1411D464" w14:textId="77777777" w:rsidR="00847E6E" w:rsidRPr="002B136D" w:rsidRDefault="00847E6E" w:rsidP="00167A90">
      <w:pPr>
        <w:spacing w:after="0" w:line="240" w:lineRule="auto"/>
        <w:ind w:firstLine="709"/>
        <w:contextualSpacing/>
        <w:jc w:val="both"/>
        <w:rPr>
          <w:rFonts w:cs="Times New Roman"/>
          <w:szCs w:val="28"/>
        </w:rPr>
      </w:pPr>
    </w:p>
    <w:p w14:paraId="0FB29E25" w14:textId="16F178F2" w:rsidR="00D62C52" w:rsidRPr="002B136D" w:rsidRDefault="00806EC2" w:rsidP="00D51D40">
      <w:pPr>
        <w:spacing w:after="0" w:line="240" w:lineRule="auto"/>
        <w:ind w:firstLine="567"/>
        <w:contextualSpacing/>
        <w:jc w:val="both"/>
        <w:rPr>
          <w:rFonts w:cs="Times New Roman"/>
          <w:b/>
          <w:bCs/>
          <w:noProof/>
          <w:szCs w:val="28"/>
          <w:lang w:eastAsia="ru-RU"/>
        </w:rPr>
      </w:pPr>
      <w:r w:rsidRPr="002B136D">
        <w:rPr>
          <w:rFonts w:cs="Times New Roman"/>
          <w:szCs w:val="28"/>
          <w:lang w:val="kk-KZ"/>
        </w:rPr>
        <w:t>По данным авторов, данные трасформации фибробластов в клинике ЭОП происходят</w:t>
      </w:r>
      <w:r w:rsidR="00D77B6D" w:rsidRPr="002B136D">
        <w:rPr>
          <w:rFonts w:cs="Times New Roman"/>
          <w:szCs w:val="28"/>
          <w:lang w:val="kk-KZ"/>
        </w:rPr>
        <w:t xml:space="preserve"> </w:t>
      </w:r>
      <w:r w:rsidRPr="002B136D">
        <w:rPr>
          <w:rFonts w:cs="Times New Roman"/>
          <w:szCs w:val="28"/>
          <w:lang w:val="kk-KZ"/>
        </w:rPr>
        <w:t>по определенной фазе, которая о</w:t>
      </w:r>
      <w:r w:rsidR="00CD150E" w:rsidRPr="002B136D">
        <w:rPr>
          <w:rFonts w:cs="Times New Roman"/>
          <w:szCs w:val="28"/>
          <w:lang w:val="kk-KZ"/>
        </w:rPr>
        <w:t>ценивается по шкале активности по</w:t>
      </w:r>
      <w:r w:rsidR="00D77B6D" w:rsidRPr="002B136D">
        <w:rPr>
          <w:rFonts w:cs="Times New Roman"/>
          <w:szCs w:val="28"/>
          <w:lang w:val="kk-KZ"/>
        </w:rPr>
        <w:t xml:space="preserve"> </w:t>
      </w:r>
      <w:r w:rsidR="00CD150E" w:rsidRPr="002B136D">
        <w:rPr>
          <w:rFonts w:cs="Times New Roman"/>
          <w:szCs w:val="28"/>
          <w:lang w:val="en-US"/>
        </w:rPr>
        <w:t>CAS</w:t>
      </w:r>
      <w:r w:rsidR="00CD150E" w:rsidRPr="002B136D">
        <w:rPr>
          <w:rFonts w:cs="Times New Roman"/>
          <w:szCs w:val="28"/>
          <w:lang w:val="kk-KZ"/>
        </w:rPr>
        <w:t xml:space="preserve"> и классифицируется на </w:t>
      </w:r>
      <w:r w:rsidR="00CD150E" w:rsidRPr="002B136D">
        <w:rPr>
          <w:rFonts w:cs="Times New Roman"/>
          <w:szCs w:val="28"/>
        </w:rPr>
        <w:t>фазы активная и неактивная ЭОП</w:t>
      </w:r>
      <w:r w:rsidR="00EF60B6" w:rsidRPr="002B136D">
        <w:rPr>
          <w:rFonts w:cs="Times New Roman"/>
          <w:szCs w:val="28"/>
        </w:rPr>
        <w:t xml:space="preserve"> </w:t>
      </w:r>
      <w:r w:rsidR="00EF60B6" w:rsidRPr="002B136D">
        <w:rPr>
          <w:rFonts w:cs="Times New Roman"/>
          <w:szCs w:val="28"/>
        </w:rPr>
        <w:fldChar w:fldCharType="begin"/>
      </w:r>
      <w:r w:rsidR="00A6759A" w:rsidRPr="002B136D">
        <w:rPr>
          <w:rFonts w:cs="Times New Roman"/>
          <w:szCs w:val="28"/>
        </w:rPr>
        <w:instrText xml:space="preserve"> ADDIN ZOTERO_ITEM CSL_CITATION {"citationID":"aLBinybY","properties":{"formattedCitation":"[61]","plainCitation":"[61]","noteIndex":0},"citationItems":[{"id":316,"uris":["http://zotero.org/users/8237658/items/HLAHWWEG"],"itemData":{"id":316,"type":"book","title":"Eckstein AK, Lösch C, Glowacka D, Schott M, Mann K, Esser J, Morgenthaler NG. Euthyroid and primarily hypothyroid patients develop milder and significantly more asymmetrical Graves ophthalmopathy. Br J Ophthalmol. 2009 Aug;93(8):1052-6. doi: 10.1136/bjo.2007.137265. Epub 2009 Feb 15. PMID: 19221109."}}],"schema":"https://github.com/citation-style-language/schema/raw/master/csl-citation.json"} </w:instrText>
      </w:r>
      <w:r w:rsidR="00EF60B6" w:rsidRPr="002B136D">
        <w:rPr>
          <w:rFonts w:cs="Times New Roman"/>
          <w:szCs w:val="28"/>
        </w:rPr>
        <w:fldChar w:fldCharType="separate"/>
      </w:r>
      <w:r w:rsidR="00A6759A" w:rsidRPr="002B136D">
        <w:rPr>
          <w:rFonts w:cs="Times New Roman"/>
        </w:rPr>
        <w:t>[61]</w:t>
      </w:r>
      <w:r w:rsidR="00EF60B6" w:rsidRPr="002B136D">
        <w:rPr>
          <w:rFonts w:cs="Times New Roman"/>
          <w:szCs w:val="28"/>
        </w:rPr>
        <w:fldChar w:fldCharType="end"/>
      </w:r>
      <w:r w:rsidR="007F59B1" w:rsidRPr="002B136D">
        <w:rPr>
          <w:rFonts w:cs="Times New Roman"/>
          <w:szCs w:val="28"/>
        </w:rPr>
        <w:t>.</w:t>
      </w:r>
    </w:p>
    <w:p w14:paraId="292F2F87" w14:textId="77777777" w:rsidR="00D51D40" w:rsidRDefault="00D51D40" w:rsidP="00D51D40">
      <w:pPr>
        <w:spacing w:after="0" w:line="360" w:lineRule="auto"/>
        <w:rPr>
          <w:rFonts w:cs="Times New Roman"/>
          <w:b/>
          <w:bCs/>
          <w:noProof/>
          <w:szCs w:val="28"/>
          <w:lang w:eastAsia="ru-RU"/>
        </w:rPr>
      </w:pPr>
    </w:p>
    <w:p w14:paraId="5D3EF020" w14:textId="190FBBA0" w:rsidR="008E286A" w:rsidRDefault="00847E6E" w:rsidP="00D51D40">
      <w:pPr>
        <w:spacing w:after="0" w:line="240" w:lineRule="auto"/>
        <w:rPr>
          <w:rFonts w:cs="Times New Roman"/>
          <w:noProof/>
          <w:szCs w:val="28"/>
          <w:lang w:eastAsia="ru-RU"/>
        </w:rPr>
      </w:pPr>
      <w:r w:rsidRPr="00D51D40">
        <w:rPr>
          <w:rFonts w:cs="Times New Roman"/>
          <w:noProof/>
          <w:szCs w:val="28"/>
          <w:lang w:eastAsia="ru-RU"/>
        </w:rPr>
        <w:t xml:space="preserve">Таблица 1 </w:t>
      </w:r>
      <w:r w:rsidR="00D51D40" w:rsidRPr="00D51D40">
        <w:rPr>
          <w:rFonts w:cs="Times New Roman"/>
          <w:noProof/>
          <w:szCs w:val="28"/>
          <w:lang w:eastAsia="ru-RU"/>
        </w:rPr>
        <w:t xml:space="preserve">- </w:t>
      </w:r>
      <w:r w:rsidR="007F3950" w:rsidRPr="00D51D40">
        <w:rPr>
          <w:rFonts w:cs="Times New Roman"/>
          <w:noProof/>
          <w:szCs w:val="28"/>
          <w:lang w:eastAsia="ru-RU"/>
        </w:rPr>
        <w:t xml:space="preserve">Шкала оценки </w:t>
      </w:r>
      <w:r w:rsidR="008E286A" w:rsidRPr="00D51D40">
        <w:rPr>
          <w:rFonts w:cs="Times New Roman"/>
          <w:noProof/>
          <w:szCs w:val="28"/>
          <w:lang w:eastAsia="ru-RU"/>
        </w:rPr>
        <w:t>активности</w:t>
      </w:r>
      <w:r w:rsidR="008E286A" w:rsidRPr="00D51D40">
        <w:rPr>
          <w:rFonts w:cs="Times New Roman"/>
          <w:noProof/>
          <w:szCs w:val="28"/>
          <w:lang w:val="kk-KZ" w:eastAsia="ru-RU"/>
        </w:rPr>
        <w:t xml:space="preserve"> по </w:t>
      </w:r>
      <w:r w:rsidR="008E286A" w:rsidRPr="00D51D40">
        <w:rPr>
          <w:rFonts w:cs="Times New Roman"/>
          <w:noProof/>
          <w:szCs w:val="28"/>
          <w:lang w:val="en-US" w:eastAsia="ru-RU"/>
        </w:rPr>
        <w:t>CAS</w:t>
      </w:r>
    </w:p>
    <w:p w14:paraId="1EEB509B" w14:textId="77777777" w:rsidR="00D51D40" w:rsidRPr="00D51D40" w:rsidRDefault="00D51D40" w:rsidP="00D51D40">
      <w:pPr>
        <w:spacing w:after="0" w:line="240" w:lineRule="auto"/>
        <w:rPr>
          <w:rFonts w:cs="Times New Roman"/>
          <w:noProof/>
          <w:szCs w:val="28"/>
          <w:lang w:eastAsia="ru-RU"/>
        </w:rPr>
      </w:pPr>
    </w:p>
    <w:tbl>
      <w:tblPr>
        <w:tblStyle w:val="1"/>
        <w:tblW w:w="0" w:type="auto"/>
        <w:tblInd w:w="108" w:type="dxa"/>
        <w:tblLook w:val="04A0" w:firstRow="1" w:lastRow="0" w:firstColumn="1" w:lastColumn="0" w:noHBand="0" w:noVBand="1"/>
      </w:tblPr>
      <w:tblGrid>
        <w:gridCol w:w="707"/>
        <w:gridCol w:w="8932"/>
      </w:tblGrid>
      <w:tr w:rsidR="00D51D40" w:rsidRPr="002B136D" w14:paraId="2025F7C6" w14:textId="77777777" w:rsidTr="00D51D40">
        <w:tc>
          <w:tcPr>
            <w:tcW w:w="707" w:type="dxa"/>
          </w:tcPr>
          <w:p w14:paraId="528EE905" w14:textId="77777777" w:rsidR="008E286A" w:rsidRPr="00D51D40" w:rsidRDefault="008E286A" w:rsidP="009327F2">
            <w:pPr>
              <w:pStyle w:val="a3"/>
              <w:numPr>
                <w:ilvl w:val="0"/>
                <w:numId w:val="2"/>
              </w:numPr>
              <w:jc w:val="both"/>
              <w:rPr>
                <w:rFonts w:cs="Times New Roman"/>
                <w:noProof/>
                <w:sz w:val="24"/>
                <w:szCs w:val="24"/>
                <w:lang w:val="kk-KZ" w:eastAsia="ru-RU"/>
              </w:rPr>
            </w:pPr>
          </w:p>
        </w:tc>
        <w:tc>
          <w:tcPr>
            <w:tcW w:w="8932" w:type="dxa"/>
          </w:tcPr>
          <w:p w14:paraId="4F8E4626" w14:textId="7777777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val="kk-KZ" w:eastAsia="ru-RU"/>
              </w:rPr>
              <w:t>С</w:t>
            </w:r>
            <w:r w:rsidRPr="00D51D40">
              <w:rPr>
                <w:rFonts w:cs="Times New Roman"/>
                <w:noProof/>
                <w:sz w:val="24"/>
                <w:szCs w:val="24"/>
                <w:lang w:eastAsia="ru-RU"/>
              </w:rPr>
              <w:t>понтанная ретробульбарная боль</w:t>
            </w:r>
          </w:p>
        </w:tc>
      </w:tr>
      <w:tr w:rsidR="00D51D40" w:rsidRPr="002B136D" w14:paraId="4E7F2EC1" w14:textId="77777777" w:rsidTr="00D51D40">
        <w:tc>
          <w:tcPr>
            <w:tcW w:w="707" w:type="dxa"/>
          </w:tcPr>
          <w:p w14:paraId="6B9F23D8"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532F0928" w14:textId="7777777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val="kk-KZ" w:eastAsia="ru-RU"/>
              </w:rPr>
              <w:t>Б</w:t>
            </w:r>
            <w:r w:rsidRPr="00D51D40">
              <w:rPr>
                <w:rFonts w:cs="Times New Roman"/>
                <w:noProof/>
                <w:sz w:val="24"/>
                <w:szCs w:val="24"/>
                <w:lang w:eastAsia="ru-RU"/>
              </w:rPr>
              <w:t>оль при взгляде верх или вниз</w:t>
            </w:r>
          </w:p>
        </w:tc>
      </w:tr>
      <w:tr w:rsidR="00D51D40" w:rsidRPr="002B136D" w14:paraId="5410B57F" w14:textId="77777777" w:rsidTr="00D51D40">
        <w:tc>
          <w:tcPr>
            <w:tcW w:w="707" w:type="dxa"/>
          </w:tcPr>
          <w:p w14:paraId="0031792F"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0502B61A" w14:textId="77777777" w:rsidR="008E286A" w:rsidRPr="00D51D40" w:rsidRDefault="008E286A" w:rsidP="009327F2">
            <w:pPr>
              <w:contextualSpacing/>
              <w:jc w:val="both"/>
              <w:rPr>
                <w:rFonts w:cs="Times New Roman"/>
                <w:noProof/>
                <w:sz w:val="24"/>
                <w:szCs w:val="24"/>
                <w:lang w:val="kk-KZ" w:eastAsia="ru-RU"/>
              </w:rPr>
            </w:pPr>
            <w:r w:rsidRPr="00D51D40">
              <w:rPr>
                <w:rFonts w:cs="Times New Roman"/>
                <w:noProof/>
                <w:sz w:val="24"/>
                <w:szCs w:val="24"/>
                <w:lang w:val="kk-KZ" w:eastAsia="ru-RU"/>
              </w:rPr>
              <w:t>П</w:t>
            </w:r>
            <w:r w:rsidRPr="00D51D40">
              <w:rPr>
                <w:rFonts w:cs="Times New Roman"/>
                <w:noProof/>
                <w:sz w:val="24"/>
                <w:szCs w:val="24"/>
                <w:lang w:eastAsia="ru-RU"/>
              </w:rPr>
              <w:t>окраснение век</w:t>
            </w:r>
          </w:p>
        </w:tc>
      </w:tr>
      <w:tr w:rsidR="00D51D40" w:rsidRPr="002B136D" w14:paraId="3F66B374" w14:textId="77777777" w:rsidTr="00D51D40">
        <w:tc>
          <w:tcPr>
            <w:tcW w:w="707" w:type="dxa"/>
          </w:tcPr>
          <w:p w14:paraId="200FBE3D"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1701E97A" w14:textId="7777777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val="kk-KZ" w:eastAsia="ru-RU"/>
              </w:rPr>
              <w:t>И</w:t>
            </w:r>
            <w:r w:rsidRPr="00D51D40">
              <w:rPr>
                <w:rFonts w:cs="Times New Roman"/>
                <w:noProof/>
                <w:sz w:val="24"/>
                <w:szCs w:val="24"/>
                <w:lang w:eastAsia="ru-RU"/>
              </w:rPr>
              <w:t>нъекция конъюнктивы</w:t>
            </w:r>
          </w:p>
        </w:tc>
      </w:tr>
      <w:tr w:rsidR="00D51D40" w:rsidRPr="002B136D" w14:paraId="0E2BC214" w14:textId="77777777" w:rsidTr="00D51D40">
        <w:tc>
          <w:tcPr>
            <w:tcW w:w="707" w:type="dxa"/>
          </w:tcPr>
          <w:p w14:paraId="61FF4394"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18D067D3" w14:textId="7777777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val="kk-KZ" w:eastAsia="ru-RU"/>
              </w:rPr>
              <w:t>О</w:t>
            </w:r>
            <w:r w:rsidRPr="00D51D40">
              <w:rPr>
                <w:rFonts w:cs="Times New Roman"/>
                <w:noProof/>
                <w:sz w:val="24"/>
                <w:szCs w:val="24"/>
                <w:lang w:eastAsia="ru-RU"/>
              </w:rPr>
              <w:t>тек век</w:t>
            </w:r>
          </w:p>
        </w:tc>
      </w:tr>
      <w:tr w:rsidR="00D51D40" w:rsidRPr="002B136D" w14:paraId="10A962A1" w14:textId="77777777" w:rsidTr="00D51D40">
        <w:tc>
          <w:tcPr>
            <w:tcW w:w="707" w:type="dxa"/>
          </w:tcPr>
          <w:p w14:paraId="3FC12420"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6F93B591" w14:textId="7777777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val="kk-KZ" w:eastAsia="ru-RU"/>
              </w:rPr>
              <w:t>Х</w:t>
            </w:r>
            <w:r w:rsidRPr="00D51D40">
              <w:rPr>
                <w:rFonts w:cs="Times New Roman"/>
                <w:noProof/>
                <w:sz w:val="24"/>
                <w:szCs w:val="24"/>
                <w:lang w:eastAsia="ru-RU"/>
              </w:rPr>
              <w:t>емоз</w:t>
            </w:r>
          </w:p>
        </w:tc>
      </w:tr>
      <w:tr w:rsidR="00D51D40" w:rsidRPr="002B136D" w14:paraId="3DCEAE72" w14:textId="77777777" w:rsidTr="00D51D40">
        <w:tc>
          <w:tcPr>
            <w:tcW w:w="707" w:type="dxa"/>
          </w:tcPr>
          <w:p w14:paraId="4D398424"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328F481F" w14:textId="7777777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val="kk-KZ" w:eastAsia="ru-RU"/>
              </w:rPr>
              <w:t>П</w:t>
            </w:r>
            <w:r w:rsidRPr="00D51D40">
              <w:rPr>
                <w:rFonts w:cs="Times New Roman"/>
                <w:noProof/>
                <w:sz w:val="24"/>
                <w:szCs w:val="24"/>
                <w:lang w:eastAsia="ru-RU"/>
              </w:rPr>
              <w:t>окраснение и отек полулунной складки и слезного мясца</w:t>
            </w:r>
          </w:p>
        </w:tc>
      </w:tr>
      <w:tr w:rsidR="00D51D40" w:rsidRPr="002B136D" w14:paraId="53CE7B92" w14:textId="77777777" w:rsidTr="00D51D40">
        <w:tc>
          <w:tcPr>
            <w:tcW w:w="9639" w:type="dxa"/>
            <w:gridSpan w:val="2"/>
          </w:tcPr>
          <w:p w14:paraId="3D071572" w14:textId="2AAC2F97" w:rsidR="008E286A" w:rsidRPr="00D51D40" w:rsidRDefault="007F3950" w:rsidP="009327F2">
            <w:pPr>
              <w:contextualSpacing/>
              <w:jc w:val="both"/>
              <w:rPr>
                <w:rFonts w:cs="Times New Roman"/>
                <w:noProof/>
                <w:sz w:val="24"/>
                <w:szCs w:val="24"/>
                <w:lang w:val="kk-KZ" w:eastAsia="ru-RU"/>
              </w:rPr>
            </w:pPr>
            <w:r w:rsidRPr="00D51D40">
              <w:rPr>
                <w:rFonts w:cs="Times New Roman"/>
                <w:noProof/>
                <w:sz w:val="24"/>
                <w:szCs w:val="24"/>
                <w:lang w:eastAsia="ru-RU"/>
              </w:rPr>
              <w:t>ЭОП считается неактивной при 1–2 баллах и активной при 3 и более (CAS ≥3/7-10). Офтальмолог определяет дополнительные признаки при динамическом наблюдении, повторно устанавливая степень активности ЭОП через 2 месяца для дальнейшей тактики ведения пациента. Дополнительные признаки для оценки активности указываются с 7-10</w:t>
            </w:r>
          </w:p>
        </w:tc>
      </w:tr>
      <w:tr w:rsidR="00D51D40" w:rsidRPr="002B136D" w14:paraId="3D355CE8" w14:textId="77777777" w:rsidTr="00D51D40">
        <w:tc>
          <w:tcPr>
            <w:tcW w:w="707" w:type="dxa"/>
          </w:tcPr>
          <w:p w14:paraId="336782FB"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2518A317" w14:textId="21288612"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eastAsia="ru-RU"/>
              </w:rPr>
              <w:t>Увеличение экзофтальма более чем на 2 мм за последние 2 месяца</w:t>
            </w:r>
          </w:p>
        </w:tc>
      </w:tr>
      <w:tr w:rsidR="00D51D40" w:rsidRPr="002B136D" w14:paraId="3B99C3F7" w14:textId="77777777" w:rsidTr="00D51D40">
        <w:tc>
          <w:tcPr>
            <w:tcW w:w="707" w:type="dxa"/>
          </w:tcPr>
          <w:p w14:paraId="433A08EC"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24751B01" w14:textId="6E49D2CA"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eastAsia="ru-RU"/>
              </w:rPr>
              <w:t>Уменьшение подвижности глаза более чем на 8° в любом направлении за последние 2 месяца</w:t>
            </w:r>
          </w:p>
        </w:tc>
      </w:tr>
      <w:tr w:rsidR="00D51D40" w:rsidRPr="002B136D" w14:paraId="7333E933" w14:textId="77777777" w:rsidTr="00D51D40">
        <w:tc>
          <w:tcPr>
            <w:tcW w:w="707" w:type="dxa"/>
          </w:tcPr>
          <w:p w14:paraId="14FFA2F7" w14:textId="77777777" w:rsidR="008E286A" w:rsidRPr="00D51D40" w:rsidRDefault="008E286A" w:rsidP="009327F2">
            <w:pPr>
              <w:pStyle w:val="a3"/>
              <w:numPr>
                <w:ilvl w:val="0"/>
                <w:numId w:val="2"/>
              </w:numPr>
              <w:jc w:val="both"/>
              <w:rPr>
                <w:rFonts w:cs="Times New Roman"/>
                <w:noProof/>
                <w:sz w:val="24"/>
                <w:szCs w:val="24"/>
                <w:lang w:eastAsia="ru-RU"/>
              </w:rPr>
            </w:pPr>
          </w:p>
        </w:tc>
        <w:tc>
          <w:tcPr>
            <w:tcW w:w="8932" w:type="dxa"/>
          </w:tcPr>
          <w:p w14:paraId="2E1B951B" w14:textId="3DC5F4B7" w:rsidR="008E286A" w:rsidRPr="00D51D40" w:rsidRDefault="008E286A" w:rsidP="009327F2">
            <w:pPr>
              <w:contextualSpacing/>
              <w:jc w:val="both"/>
              <w:rPr>
                <w:rFonts w:cs="Times New Roman"/>
                <w:noProof/>
                <w:sz w:val="24"/>
                <w:szCs w:val="24"/>
                <w:lang w:eastAsia="ru-RU"/>
              </w:rPr>
            </w:pPr>
            <w:r w:rsidRPr="00D51D40">
              <w:rPr>
                <w:rFonts w:cs="Times New Roman"/>
                <w:noProof/>
                <w:sz w:val="24"/>
                <w:szCs w:val="24"/>
                <w:lang w:eastAsia="ru-RU"/>
              </w:rPr>
              <w:t>Снижение зрения более чем на 1 десятую остроты зрения за последние 2 месяца</w:t>
            </w:r>
          </w:p>
        </w:tc>
      </w:tr>
    </w:tbl>
    <w:p w14:paraId="7A7A3812" w14:textId="77777777" w:rsidR="00D51D40" w:rsidRDefault="00D51D40" w:rsidP="00042688">
      <w:pPr>
        <w:spacing w:after="0" w:line="240" w:lineRule="auto"/>
        <w:ind w:firstLine="709"/>
        <w:contextualSpacing/>
        <w:jc w:val="both"/>
        <w:rPr>
          <w:rFonts w:cs="Times New Roman"/>
          <w:szCs w:val="28"/>
        </w:rPr>
      </w:pPr>
    </w:p>
    <w:p w14:paraId="5F070803" w14:textId="3C72AE3C" w:rsidR="00042688" w:rsidRPr="002B136D" w:rsidRDefault="00042688" w:rsidP="00D51D40">
      <w:pPr>
        <w:spacing w:after="0" w:line="240" w:lineRule="auto"/>
        <w:ind w:firstLine="567"/>
        <w:contextualSpacing/>
        <w:jc w:val="both"/>
        <w:rPr>
          <w:rFonts w:cs="Times New Roman"/>
          <w:szCs w:val="28"/>
        </w:rPr>
      </w:pPr>
      <w:r w:rsidRPr="002B136D">
        <w:rPr>
          <w:rFonts w:cs="Times New Roman"/>
          <w:szCs w:val="28"/>
        </w:rPr>
        <w:lastRenderedPageBreak/>
        <w:t xml:space="preserve">В активной фазе эндокринной офтальмопатии (ЭОП) наблюдается выраженный дисбаланс между провоспалительными и </w:t>
      </w:r>
      <w:proofErr w:type="gramStart"/>
      <w:r w:rsidRPr="002B136D">
        <w:rPr>
          <w:rFonts w:cs="Times New Roman"/>
          <w:szCs w:val="28"/>
        </w:rPr>
        <w:t>противовоспалительными</w:t>
      </w:r>
      <w:proofErr w:type="gramEnd"/>
      <w:r w:rsidRPr="002B136D">
        <w:rPr>
          <w:rFonts w:cs="Times New Roman"/>
          <w:szCs w:val="28"/>
        </w:rPr>
        <w:t xml:space="preserve"> цитокинами, которые присутствуют как в крови, так и в слезной жидкости. Этот дисбаланс характеризуется, в частности, увеличенной продукцией ряда ключевых цитокинов, включая интерлейкин-1 бета (IL-1β), интерлейкин-4 (IL-4), интерлейкин-6 (IL-6), интерлейкин-10 (IL-10), интерлейкин-8 (IL-8) и фактор некроза опухоли альфа (TNF-α). Данный цитокиновый профиль, как показывают результаты исследований </w:t>
      </w:r>
      <w:r w:rsidRPr="002B136D">
        <w:rPr>
          <w:rFonts w:cs="Times New Roman"/>
          <w:szCs w:val="28"/>
        </w:rPr>
        <w:fldChar w:fldCharType="begin"/>
      </w:r>
      <w:r w:rsidR="00A6759A" w:rsidRPr="002B136D">
        <w:rPr>
          <w:rFonts w:cs="Times New Roman"/>
          <w:szCs w:val="28"/>
        </w:rPr>
        <w:instrText xml:space="preserve"> ADDIN ZOTERO_ITEM CSL_CITATION {"citationID":"Mg6TRNQN","properties":{"formattedCitation":"[58,62]","plainCitation":"[58,62]","noteIndex":0},"citationItems":[{"id":604,"uris":["http://zotero.org/users/8237658/items/H87P6S2T"],"itemData":{"id":604,"type":"book","title":"Łacheta D, Miśkiewicz P, Głuszko A, Nowicka G, Struga M, Kantor I, Poślednik KB, Mirza S, Szczepański MJ. Immunological Aspects of Graves' Ophthalmopathy. Biomed Res Int. 2019 Nov 12;2019:7453260. doi: 10.1155/2019/7453260. PMID: 31781640; PMCID: PMC6875285."},"label":"page"},{"id":269,"uris":["http://zotero.org/users/8237658/items/J7TUHQPG"],"itemData":{"id":269,"type":"book","title":"Харинцев В.В., Серебрякова О.В., Серкин Д.М., и др. Роль некоторых про- и противовоспалительных цитокинов в течении эндокринной офтальмопатии. // Забайкальский медицинский вестник. – 2016. – №2. – С. 33-40. [Kharintsev VV, Serebryakova OV, Serkin DM, et al. The role of some proinflammatory and anti-inflammatory cytokines in the development of endocrine ophthalmopathy. Zabaykal’skiy meditsinskiy vestnik. 2016;(2):33-40. (In Russ.)]"},"label":"page"}],"schema":"https://github.com/citation-style-language/schema/raw/master/csl-citation.json"} </w:instrText>
      </w:r>
      <w:r w:rsidRPr="002B136D">
        <w:rPr>
          <w:rFonts w:cs="Times New Roman"/>
          <w:szCs w:val="28"/>
        </w:rPr>
        <w:fldChar w:fldCharType="separate"/>
      </w:r>
      <w:r w:rsidR="00A6759A" w:rsidRPr="002B136D">
        <w:rPr>
          <w:rFonts w:cs="Times New Roman"/>
        </w:rPr>
        <w:t>[62]</w:t>
      </w:r>
      <w:r w:rsidRPr="002B136D">
        <w:rPr>
          <w:rFonts w:cs="Times New Roman"/>
          <w:szCs w:val="28"/>
        </w:rPr>
        <w:fldChar w:fldCharType="end"/>
      </w:r>
      <w:r w:rsidRPr="002B136D">
        <w:rPr>
          <w:rFonts w:cs="Times New Roman"/>
          <w:szCs w:val="28"/>
        </w:rPr>
        <w:t>,</w:t>
      </w:r>
      <w:r w:rsidR="00D37443" w:rsidRPr="002B136D">
        <w:rPr>
          <w:rFonts w:cs="Times New Roman"/>
          <w:szCs w:val="28"/>
        </w:rPr>
        <w:t xml:space="preserve"> </w:t>
      </w:r>
      <w:r w:rsidRPr="002B136D">
        <w:rPr>
          <w:rFonts w:cs="Times New Roman"/>
          <w:szCs w:val="28"/>
        </w:rPr>
        <w:t>свидетельствует о наличии активного воспалительного процесса в тканях, составляющих орбиту глаза.</w:t>
      </w:r>
    </w:p>
    <w:p w14:paraId="2BCB324F" w14:textId="232C1172" w:rsidR="00042688" w:rsidRPr="002B136D" w:rsidRDefault="00042688" w:rsidP="00D51D40">
      <w:pPr>
        <w:spacing w:after="0" w:line="240" w:lineRule="auto"/>
        <w:ind w:firstLine="567"/>
        <w:contextualSpacing/>
        <w:jc w:val="both"/>
        <w:rPr>
          <w:rFonts w:cs="Times New Roman"/>
          <w:szCs w:val="28"/>
        </w:rPr>
      </w:pPr>
      <w:r w:rsidRPr="002B136D">
        <w:rPr>
          <w:rFonts w:cs="Times New Roman"/>
          <w:szCs w:val="28"/>
        </w:rPr>
        <w:t xml:space="preserve">Особую роль в патогенезе ЭОП играет интерлейкин-6 (IL-6). Этот цитокин выполняет важную функцию, заключающуюся в усилении экспрессии рецептора тиреотропного гормона (рТТГ) и рецептора инсулиноподобного фактора роста 1 (IGF-1R) на поверхности фибробластов. Это, в свою очередь, приводит к стимуляции активности фибробластов и ускорению их дифференцировки. </w:t>
      </w:r>
      <w:proofErr w:type="gramStart"/>
      <w:r w:rsidRPr="002B136D">
        <w:rPr>
          <w:rFonts w:cs="Times New Roman"/>
          <w:szCs w:val="28"/>
        </w:rPr>
        <w:t xml:space="preserve">Более того, IL-6 способствует ускоренной дифференцировке В-лимфоцитов, что приводит к увеличению выработки аутоантител, направленных против рецептора тиреотропного гормона (рТТГ)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{"citationID":"T9xowZif","properties":{"formattedCitation":"[63]","plainCitation":"[63]","noteIndex":0},"citationItems":[{"id":603,"uris":["http://zotero.org/users/8237658/items/NLF2A9MT"],"itemData":{"id":603,"type":"book","title":"Wang R, Song D, Zhong Y, Li H. Potential role of IGF-1R in the interaction between orbital fibroblasts and B lymphocytes: an implication for B lymphocyte depletion in the active inflammatory phase of thyroid-associated ophthalmopathy. BMC Immunol. 2024 May 11;25(1):31. doi: 10.1186/s12865-024-00613-3. PMID: 38734625; PMCID: PMC11088061."}}],"schema":"https://github.com/citation-style-language/schema/raw/master/csl-citation.json"} </w:instrText>
      </w:r>
      <w:r w:rsidRPr="002B136D">
        <w:rPr>
          <w:rFonts w:cs="Times New Roman"/>
          <w:szCs w:val="28"/>
        </w:rPr>
        <w:fldChar w:fldCharType="separate"/>
      </w:r>
      <w:r w:rsidR="00A6759A" w:rsidRPr="002B136D">
        <w:rPr>
          <w:rFonts w:cs="Times New Roman"/>
        </w:rPr>
        <w:t>[63]</w:t>
      </w:r>
      <w:r w:rsidRPr="002B136D">
        <w:rPr>
          <w:rFonts w:cs="Times New Roman"/>
          <w:szCs w:val="28"/>
        </w:rPr>
        <w:fldChar w:fldCharType="end"/>
      </w:r>
      <w:proofErr w:type="gramStart"/>
      <w:r w:rsidRPr="002B136D">
        <w:rPr>
          <w:rFonts w:cs="Times New Roman"/>
          <w:szCs w:val="28"/>
        </w:rPr>
        <w:t xml:space="preserve">. Наблюдается четкая корреляция между активностью ЭОП и уровнем растворимого рецептора интерлейкина-6 (IL-6R)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{"citationID":"qKmvGUAb","properties":{"formattedCitation":"[56]","plainCitation":"[56]","noteIndex":0},"citationItems":[{"id":272,"uris":["http://zotero.org/users/8237658/items/ZXW3Q9DF"],"itemData":{"id":272,"type":"book","title":"Slowik M, Urbaniak-Kujda D, Bohdanowicz-Pawlak A, et al. CD8+CD28-lymphocytes in peripheral blood and serum concentrations of soluble interleukin 6 receptor are increased in patients with Graves’ orbitopathy and correlate with disease activity. Endocr Res. 2012;37(2):89-95. doi: https://doi.org/10.3109/07435800.2011.635622."}}],"schema":"https://github.com/citation-style-language/schema/raw/master/csl-citation.json"} </w:instrText>
      </w:r>
      <w:r w:rsidRPr="002B136D">
        <w:rPr>
          <w:rFonts w:cs="Times New Roman"/>
          <w:szCs w:val="28"/>
        </w:rPr>
        <w:fldChar w:fldCharType="separate"/>
      </w:r>
      <w:r w:rsidR="00A6759A" w:rsidRPr="002B136D">
        <w:rPr>
          <w:rFonts w:cs="Times New Roman"/>
        </w:rPr>
        <w:t>[56</w:t>
      </w:r>
      <w:r w:rsidR="002932C4">
        <w:rPr>
          <w:rFonts w:cs="Times New Roman"/>
        </w:rPr>
        <w:t>,р. 89</w:t>
      </w:r>
      <w:r w:rsidR="00A6759A" w:rsidRPr="002B136D">
        <w:rPr>
          <w:rFonts w:cs="Times New Roman"/>
        </w:rPr>
        <w:t>]</w:t>
      </w:r>
      <w:r w:rsidRPr="002B136D">
        <w:rPr>
          <w:rFonts w:cs="Times New Roman"/>
          <w:szCs w:val="28"/>
        </w:rPr>
        <w:fldChar w:fldCharType="end"/>
      </w:r>
      <w:proofErr w:type="gramStart"/>
      <w:r w:rsidRPr="002B136D">
        <w:rPr>
          <w:rFonts w:cs="Times New Roman"/>
          <w:szCs w:val="28"/>
        </w:rPr>
        <w:t>, что подчеркивает значимость IL-6 в развитии и прогрессировании заболевания.</w:t>
      </w:r>
      <w:proofErr w:type="gramEnd"/>
    </w:p>
    <w:p w14:paraId="2D55C4A9" w14:textId="1717534C" w:rsidR="00042688" w:rsidRPr="002B136D" w:rsidRDefault="00042688" w:rsidP="00D51D40">
      <w:pPr>
        <w:spacing w:after="0" w:line="240" w:lineRule="auto"/>
        <w:ind w:firstLine="567"/>
        <w:contextualSpacing/>
        <w:jc w:val="both"/>
        <w:rPr>
          <w:rFonts w:cs="Times New Roman"/>
          <w:szCs w:val="28"/>
        </w:rPr>
      </w:pPr>
      <w:r w:rsidRPr="002B136D">
        <w:rPr>
          <w:rFonts w:cs="Times New Roman"/>
          <w:szCs w:val="28"/>
        </w:rPr>
        <w:t xml:space="preserve">Кроме того, интерлейкин-1 бета (IL-1β) и лейкорегулин стимулируют продукцию простагландина E2 (PGE2). PGE2 оказывает воздействие на иммунные клетки, тем самым усиливая аутоиммунный ответ, который играет ключевую роль в развитии ЭОП. Помимо этого, IL-1β также стимулирует экспрессию IL-6 орбитальными фибробластами </w:t>
      </w:r>
      <w:r w:rsidRPr="002B136D">
        <w:rPr>
          <w:rFonts w:cs="Times New Roman"/>
          <w:szCs w:val="28"/>
        </w:rPr>
        <w:fldChar w:fldCharType="begin"/>
      </w:r>
      <w:r w:rsidR="00A6759A" w:rsidRPr="002B136D">
        <w:rPr>
          <w:rFonts w:cs="Times New Roman"/>
          <w:szCs w:val="28"/>
        </w:rPr>
        <w:instrText xml:space="preserve"> ADDIN ZOTERO_ITEM CSL_CITATION {"citationID":"6FGAwRHV","properties":{"formattedCitation":"[45]","plainCitation":"[45]","noteIndex":0},"citationItems":[{"id":252,"uris":["http://zotero.org/users/8237658/items/8N43KNKT"],"itemData":{"id":252,"type":"book","title":"Dik WA, Virakul S, van Steensel L. Current perspectives on the role of orbital fibroblasts in the pathogenesis of Graves’ ophthalmopathy. Exp Eye Res. 2016;142:83-91. doi: https://doi.org/10.1016/j.exer.2015.02.007."}}],"schema":"https://github.com/citation-style-language/schema/raw/master/csl-citation.json"} </w:instrText>
      </w:r>
      <w:r w:rsidRPr="002B136D">
        <w:rPr>
          <w:rFonts w:cs="Times New Roman"/>
          <w:szCs w:val="28"/>
        </w:rPr>
        <w:fldChar w:fldCharType="separate"/>
      </w:r>
      <w:r w:rsidR="00A6759A" w:rsidRPr="002B136D">
        <w:rPr>
          <w:rFonts w:cs="Times New Roman"/>
        </w:rPr>
        <w:t>[45</w:t>
      </w:r>
      <w:r w:rsidR="00F81358">
        <w:rPr>
          <w:rFonts w:cs="Times New Roman"/>
        </w:rPr>
        <w:t>,р. 83</w:t>
      </w:r>
      <w:r w:rsidR="00A6759A" w:rsidRPr="002B136D">
        <w:rPr>
          <w:rFonts w:cs="Times New Roman"/>
        </w:rPr>
        <w:t>]</w:t>
      </w:r>
      <w:r w:rsidRPr="002B136D">
        <w:rPr>
          <w:rFonts w:cs="Times New Roman"/>
          <w:szCs w:val="28"/>
        </w:rPr>
        <w:fldChar w:fldCharType="end"/>
      </w:r>
      <w:r w:rsidRPr="002B136D">
        <w:rPr>
          <w:rFonts w:cs="Times New Roman"/>
          <w:szCs w:val="28"/>
        </w:rPr>
        <w:t xml:space="preserve">, </w:t>
      </w:r>
      <w:proofErr w:type="gramStart"/>
      <w:r w:rsidRPr="002B136D">
        <w:rPr>
          <w:rFonts w:cs="Times New Roman"/>
          <w:szCs w:val="28"/>
        </w:rPr>
        <w:t>формируя</w:t>
      </w:r>
      <w:proofErr w:type="gramEnd"/>
      <w:r w:rsidRPr="002B136D">
        <w:rPr>
          <w:rFonts w:cs="Times New Roman"/>
          <w:szCs w:val="28"/>
        </w:rPr>
        <w:t xml:space="preserve"> таким образом петлю положительной обратной связи, поддерживающую воспаление.</w:t>
      </w:r>
    </w:p>
    <w:p w14:paraId="4E665791" w14:textId="6EC01169" w:rsidR="00042688" w:rsidRPr="002B136D" w:rsidRDefault="00042688" w:rsidP="00D51D40">
      <w:pPr>
        <w:spacing w:after="0" w:line="240" w:lineRule="auto"/>
        <w:ind w:firstLine="567"/>
        <w:contextualSpacing/>
        <w:jc w:val="both"/>
        <w:rPr>
          <w:rFonts w:cs="Times New Roman"/>
          <w:szCs w:val="28"/>
        </w:rPr>
      </w:pPr>
      <w:r w:rsidRPr="002B136D">
        <w:rPr>
          <w:rFonts w:cs="Times New Roman"/>
          <w:szCs w:val="28"/>
        </w:rPr>
        <w:t>В связи с патогенетической ролью IL-6, блокаторы IL-6 применяются в качестве терапевтического подхода при ЭОП. Однако, несмотря на их потенциальную эффективность, их широкое использование ограничено рядом факторов. К этим факторам относятся высокая стоимость лечения, значительная продолжительность терапевтического курса и возможность развития побочных эффектов</w:t>
      </w:r>
      <w:r w:rsidR="004B40F7" w:rsidRPr="002B136D">
        <w:rPr>
          <w:rFonts w:cs="Times New Roman"/>
          <w:szCs w:val="28"/>
        </w:rPr>
        <w:t xml:space="preserve"> </w:t>
      </w:r>
      <w:r w:rsidR="004B40F7" w:rsidRPr="002B136D">
        <w:rPr>
          <w:rFonts w:cs="Times New Roman"/>
          <w:szCs w:val="28"/>
          <w:lang w:val="en-US"/>
        </w:rPr>
        <w:fldChar w:fldCharType="begin"/>
      </w:r>
      <w:r w:rsidR="00A6759A" w:rsidRPr="002B136D">
        <w:rPr>
          <w:rFonts w:cs="Times New Roman"/>
          <w:szCs w:val="28"/>
        </w:rPr>
        <w:instrText xml:space="preserve"> ADDIN ZOTERO_ITEM CSL_CITATION {"citationID":"YJaNxkkC","properties":{"formattedCitation":"[64]","plainCitation":"[64]","noteIndex":0},"citationItems":[{"id":631,"uris":["http://zotero.org/users/8237658/items/54HFBI9Y"],"itemData":{"id":631,"type":"book","title":"Perez-Moreiras JV, Gomez-Reino JJ, Maneiro JR, Perez-Pampin E, Romo Lopez A, Rodríguez Alvarez FM, Castillo Laguarta JM, Del Estad Cabello A, Gessa Sorroche M, España Gregori E, Sales-Sanz M; Tocilizumab in Graves Orbitopathy Study Group. Efficacy of Tocilizumab in Patients With Moderate-to-Severe Corticosteroid-Resistant Graves Orbitopathy: A Randomized Clinical Trial. Am J Ophthalmol. 2018 Nov;195:181-190. doi: 10.1016/j.ajo.2018.07.038. Epub 2018 Aug 4. PMID: 30081019."}}],"schema":"https://github.com/citation-style-language/schema/raw/master/csl-citation.json"} </w:instrText>
      </w:r>
      <w:r w:rsidR="004B40F7" w:rsidRPr="002B136D">
        <w:rPr>
          <w:rFonts w:cs="Times New Roman"/>
          <w:szCs w:val="28"/>
          <w:lang w:val="en-US"/>
        </w:rPr>
        <w:fldChar w:fldCharType="separate"/>
      </w:r>
      <w:r w:rsidR="00A6759A" w:rsidRPr="002B136D">
        <w:rPr>
          <w:rFonts w:cs="Times New Roman"/>
        </w:rPr>
        <w:t>[64]</w:t>
      </w:r>
      <w:r w:rsidR="004B40F7" w:rsidRPr="002B136D">
        <w:rPr>
          <w:rFonts w:cs="Times New Roman"/>
          <w:szCs w:val="28"/>
          <w:lang w:val="en-US"/>
        </w:rPr>
        <w:fldChar w:fldCharType="end"/>
      </w:r>
      <w:r w:rsidRPr="002B136D">
        <w:rPr>
          <w:rFonts w:cs="Times New Roman"/>
          <w:szCs w:val="28"/>
        </w:rPr>
        <w:t>.</w:t>
      </w:r>
    </w:p>
    <w:p w14:paraId="6E472966" w14:textId="559B589B" w:rsidR="00042688" w:rsidRDefault="00645235" w:rsidP="00D51D40">
      <w:pPr>
        <w:spacing w:after="0" w:line="240" w:lineRule="auto"/>
        <w:ind w:firstLine="567"/>
        <w:contextualSpacing/>
        <w:jc w:val="both"/>
        <w:rPr>
          <w:rFonts w:cs="Times New Roman"/>
          <w:szCs w:val="28"/>
        </w:rPr>
      </w:pPr>
      <w:proofErr w:type="gramStart"/>
      <w:r w:rsidRPr="002B136D">
        <w:rPr>
          <w:rFonts w:cs="Times New Roman"/>
          <w:szCs w:val="28"/>
        </w:rPr>
        <w:t xml:space="preserve">В неактивной фазе заболевания происходит тканевое ремоделирование с фиброгенезом орбитальных мышц и ретробульбарной клетчатки, в патогенезе которого преобладают Th-2 клетки и ассоциированные цитокины </w:t>
      </w:r>
      <w:proofErr w:type="gramEnd"/>
      <w:r w:rsidR="008E38D1" w:rsidRPr="002B136D">
        <w:rPr>
          <w:rFonts w:cs="Times New Roman"/>
          <w:szCs w:val="28"/>
        </w:rPr>
        <w:fldChar w:fldCharType="begin"/>
      </w:r>
      <w:r w:rsidR="00A6759A" w:rsidRPr="002B136D">
        <w:rPr>
          <w:rFonts w:cs="Times New Roman"/>
          <w:szCs w:val="28"/>
        </w:rPr>
        <w:instrText xml:space="preserve"> ADDIN ZOTERO_ITEM CSL_CITATION {"citationID":"1XHMqlvU","properties":{"formattedCitation":"[40]","plainCitation":"[40]","noteIndex":0},"citationItems":[{"id":253,"uris":["http://zotero.org/users/8237658/items/GQPVCML3"],"itemData":{"id":253,"type":"book","title":"Bahn RS. Current Insights into the Pathogenesis of Graves' Ophthalmopathy. Horm Metab Res. 2015;47(10):773-778. doi: https://doi.org/10.1055/s-0035-1555762."}}],"schema":"https://github.com/citation-style-language/schema/raw/master/csl-citation.json"} </w:instrText>
      </w:r>
      <w:r w:rsidR="008E38D1" w:rsidRPr="002B136D">
        <w:rPr>
          <w:rFonts w:cs="Times New Roman"/>
          <w:szCs w:val="28"/>
        </w:rPr>
        <w:fldChar w:fldCharType="separate"/>
      </w:r>
      <w:r w:rsidR="00A6759A" w:rsidRPr="002B136D">
        <w:rPr>
          <w:rFonts w:cs="Times New Roman"/>
        </w:rPr>
        <w:t>[40</w:t>
      </w:r>
      <w:r w:rsidR="00F81358">
        <w:rPr>
          <w:rFonts w:cs="Times New Roman"/>
        </w:rPr>
        <w:t>,р. 773</w:t>
      </w:r>
      <w:r w:rsidR="00A6759A" w:rsidRPr="002B136D">
        <w:rPr>
          <w:rFonts w:cs="Times New Roman"/>
        </w:rPr>
        <w:t>]</w:t>
      </w:r>
      <w:r w:rsidR="008E38D1" w:rsidRPr="002B136D">
        <w:rPr>
          <w:rFonts w:cs="Times New Roman"/>
          <w:szCs w:val="28"/>
        </w:rPr>
        <w:fldChar w:fldCharType="end"/>
      </w:r>
      <w:proofErr w:type="gramStart"/>
      <w:r w:rsidR="008E38D1" w:rsidRPr="002B136D">
        <w:rPr>
          <w:rFonts w:cs="Times New Roman"/>
          <w:szCs w:val="28"/>
        </w:rPr>
        <w:t xml:space="preserve">. </w:t>
      </w:r>
      <w:r w:rsidRPr="002B136D">
        <w:rPr>
          <w:rFonts w:cs="Times New Roman"/>
          <w:szCs w:val="28"/>
        </w:rPr>
        <w:t xml:space="preserve">IL-4 стимулирует пролиферацию фибробластов и продукцию компонентов внеклеточного матрикса </w:t>
      </w:r>
      <w:proofErr w:type="gramEnd"/>
      <w:r w:rsidR="008E38D1" w:rsidRPr="002B136D">
        <w:rPr>
          <w:rFonts w:cs="Times New Roman"/>
          <w:szCs w:val="28"/>
        </w:rPr>
        <w:fldChar w:fldCharType="begin"/>
      </w:r>
      <w:r w:rsidR="00A6759A" w:rsidRPr="002B136D">
        <w:rPr>
          <w:rFonts w:cs="Times New Roman"/>
          <w:szCs w:val="28"/>
        </w:rPr>
        <w:instrText xml:space="preserve"> ADDIN ZOTERO_ITEM CSL_CITATION {"citationID":"l83glp6s","properties":{"formattedCitation":"[65]","plainCitation":"[65]","noteIndex":0},"citationItems":[{"id":274,"uris":["http://zotero.org/users/8237658/items/YM6HU5LG"],"itemData":{"id":274,"type":"book","title":"Han R, Smith TJ. T helper type 1 and type 2 cytokines exert divergent influence on the induction of prostaglandin E2 and hyaluronan synthesis by interleukin-1beta in orbital fibroblasts: implications for the pathogenesis of thyroid-associated ophthalmopathy. Endocrinology. 2006;147(1):13-19. doi: https://doi.org/10.1210/en.2005-1018."}}],"schema":"https://github.com/citation-style-language/schema/raw/master/csl-citation.json"} </w:instrText>
      </w:r>
      <w:r w:rsidR="008E38D1" w:rsidRPr="002B136D">
        <w:rPr>
          <w:rFonts w:cs="Times New Roman"/>
          <w:szCs w:val="28"/>
        </w:rPr>
        <w:fldChar w:fldCharType="separate"/>
      </w:r>
      <w:r w:rsidR="00A6759A" w:rsidRPr="002B136D">
        <w:rPr>
          <w:rFonts w:cs="Times New Roman"/>
        </w:rPr>
        <w:t>[65]</w:t>
      </w:r>
      <w:r w:rsidR="008E38D1" w:rsidRPr="002B136D">
        <w:rPr>
          <w:rFonts w:cs="Times New Roman"/>
          <w:szCs w:val="28"/>
        </w:rPr>
        <w:fldChar w:fldCharType="end"/>
      </w:r>
      <w:proofErr w:type="gramStart"/>
      <w:r w:rsidRPr="002B136D">
        <w:rPr>
          <w:rFonts w:cs="Times New Roman"/>
          <w:szCs w:val="28"/>
        </w:rPr>
        <w:t>, в то время как IFN-γ оказывает противовоспалительное действие и ингибирует орбитальный адипогенез</w:t>
      </w:r>
      <w:proofErr w:type="gramEnd"/>
      <w:r w:rsidRPr="002B136D">
        <w:rPr>
          <w:rFonts w:cs="Times New Roman"/>
          <w:szCs w:val="28"/>
        </w:rPr>
        <w:t xml:space="preserve"> </w:t>
      </w:r>
      <w:r w:rsidR="008E38D1" w:rsidRPr="002B136D">
        <w:rPr>
          <w:rFonts w:cs="Times New Roman"/>
          <w:szCs w:val="28"/>
        </w:rPr>
        <w:fldChar w:fldCharType="begin"/>
      </w:r>
      <w:r w:rsidR="00A6759A" w:rsidRPr="002B136D">
        <w:rPr>
          <w:rFonts w:cs="Times New Roman"/>
          <w:szCs w:val="28"/>
        </w:rPr>
        <w:instrText xml:space="preserve"> ADDIN ZOTERO_ITEM CSL_CITATION {"citationID":"kcUFRTXh","properties":{"formattedCitation":"[66]","plainCitation":"[66]","noteIndex":0},"citationItems":[{"id":275,"uris":["http://zotero.org/users/8237658/items/5PG926ZX"],"itemData":{"id":275,"type":"book","title":"Antonelli A, Ferrari SM, Fallahi P, et al. Monokine induced by interferon gamma (IFNgamma) (CXCL9) and IFNgamma inducible T-cell alpha-chemoattractant (CXCL11) involvement in Graves’ disease and ophthalmopathy: modulation by peroxisome proliferator-activated receptor-gamma agonists. J Clin Endocrinol Metab. 2009;94(5):1803-1809. doi: https://doi.org/10.1210/jc.2008-2450."}}],"schema":"https://github.com/citation-style-language/schema/raw/master/csl-citation.json"} </w:instrText>
      </w:r>
      <w:r w:rsidR="008E38D1" w:rsidRPr="002B136D">
        <w:rPr>
          <w:rFonts w:cs="Times New Roman"/>
          <w:szCs w:val="28"/>
        </w:rPr>
        <w:fldChar w:fldCharType="separate"/>
      </w:r>
      <w:r w:rsidR="00A6759A" w:rsidRPr="002B136D">
        <w:rPr>
          <w:rFonts w:cs="Times New Roman"/>
        </w:rPr>
        <w:t>[66]</w:t>
      </w:r>
      <w:r w:rsidR="008E38D1" w:rsidRPr="002B136D">
        <w:rPr>
          <w:rFonts w:cs="Times New Roman"/>
          <w:szCs w:val="28"/>
        </w:rPr>
        <w:fldChar w:fldCharType="end"/>
      </w:r>
      <w:r w:rsidR="008E38D1" w:rsidRPr="002B136D">
        <w:rPr>
          <w:rFonts w:cs="Times New Roman"/>
          <w:szCs w:val="28"/>
        </w:rPr>
        <w:t xml:space="preserve">. </w:t>
      </w:r>
      <w:r w:rsidRPr="002B136D">
        <w:rPr>
          <w:rFonts w:cs="Times New Roman"/>
          <w:szCs w:val="28"/>
        </w:rPr>
        <w:t xml:space="preserve">IFN-γ и TNF-α усиливают синтез MCP-1, MCP-2 и MCP-3, играющих ключевую роль в орбитальном фиброгенезе </w:t>
      </w:r>
      <w:r w:rsidR="008E38D1" w:rsidRPr="002B136D">
        <w:rPr>
          <w:rFonts w:cs="Times New Roman"/>
          <w:szCs w:val="28"/>
        </w:rPr>
        <w:fldChar w:fldCharType="begin"/>
      </w:r>
      <w:r w:rsidR="00A6759A" w:rsidRPr="002B136D">
        <w:rPr>
          <w:rFonts w:cs="Times New Roman"/>
          <w:szCs w:val="28"/>
        </w:rPr>
        <w:instrText xml:space="preserve"> ADDIN ZOTERO_ITEM CSL_CITATION {"citationID":"T82YoYtK","properties":{"formattedCitation":"[67]","plainCitation":"[67]","noteIndex":0},"citationItems":[{"id":276,"uris":["http://zotero.org/users/8237658/items/9DDDBGZ9"],"itemData":{"id":276,"type":"book","title":"Zhang J, Qiao Q, Liu M, et al. IL-17 promotes scar formation by inducing macrophage infiltration. Am J Pathol. 2018;188(7): 1693-1702. doi: https://doi.org/10.1016/j.ajpath.2018.04.005."}}],"schema":"https://github.com/citation-style-language/schema/raw/master/csl-citation.json"} </w:instrText>
      </w:r>
      <w:r w:rsidR="008E38D1" w:rsidRPr="002B136D">
        <w:rPr>
          <w:rFonts w:cs="Times New Roman"/>
          <w:szCs w:val="28"/>
        </w:rPr>
        <w:fldChar w:fldCharType="separate"/>
      </w:r>
      <w:r w:rsidR="00A6759A" w:rsidRPr="002B136D">
        <w:rPr>
          <w:rFonts w:cs="Times New Roman"/>
        </w:rPr>
        <w:t>[67]</w:t>
      </w:r>
      <w:r w:rsidR="008E38D1" w:rsidRPr="002B136D">
        <w:rPr>
          <w:rFonts w:cs="Times New Roman"/>
          <w:szCs w:val="28"/>
        </w:rPr>
        <w:fldChar w:fldCharType="end"/>
      </w:r>
      <w:r w:rsidR="008E38D1" w:rsidRPr="002B136D">
        <w:rPr>
          <w:rFonts w:cs="Times New Roman"/>
          <w:szCs w:val="28"/>
        </w:rPr>
        <w:t xml:space="preserve">. </w:t>
      </w:r>
      <w:r w:rsidRPr="002B136D">
        <w:rPr>
          <w:rFonts w:cs="Times New Roman"/>
          <w:szCs w:val="28"/>
        </w:rPr>
        <w:t xml:space="preserve">IFN-γ и IL-1β синергично увеличивают синтез гликозаминогликанов, фибронектина и коллагена орбитальными фибробластами </w:t>
      </w:r>
      <w:r w:rsidR="008E38D1" w:rsidRPr="002B136D">
        <w:rPr>
          <w:rFonts w:cs="Times New Roman"/>
          <w:szCs w:val="28"/>
        </w:rPr>
        <w:fldChar w:fldCharType="begin"/>
      </w:r>
      <w:r w:rsidR="00A6759A" w:rsidRPr="002B136D">
        <w:rPr>
          <w:rFonts w:cs="Times New Roman"/>
          <w:szCs w:val="28"/>
        </w:rPr>
        <w:instrText xml:space="preserve"> ADDIN ZOTERO_ITEM CSL_CITATION {"citationID":"IflPQNFc","properties":{"formattedCitation":"[65]","plainCitation":"[65]","noteIndex":0},"citationItems":[{"id":274,"uris":["http://zotero.org/users/8237658/items/YM6HU5LG"],"itemData":{"id":274,"type":"book","title":"Han R, Smith TJ. T helper type 1 and type 2 cytokines exert divergent influence on the induction of prostaglandin E2 and hyaluronan synthesis by interleukin-1beta in orbital fibroblasts: implications for the pathogenesis of thyroid-associated ophthalmopathy. Endocrinology. 2006;147(1):13-19. doi: https://doi.org/10.1210/en.2005-1018."}}],"schema":"https://github.com/citation-style-language/schema/raw/master/csl-citation.json"} </w:instrText>
      </w:r>
      <w:r w:rsidR="008E38D1" w:rsidRPr="002B136D">
        <w:rPr>
          <w:rFonts w:cs="Times New Roman"/>
          <w:szCs w:val="28"/>
        </w:rPr>
        <w:fldChar w:fldCharType="separate"/>
      </w:r>
      <w:r w:rsidR="00A6759A" w:rsidRPr="002B136D">
        <w:rPr>
          <w:rFonts w:cs="Times New Roman"/>
        </w:rPr>
        <w:t>[65</w:t>
      </w:r>
      <w:r w:rsidR="00F81358">
        <w:rPr>
          <w:rFonts w:cs="Times New Roman"/>
        </w:rPr>
        <w:t>,р. 13</w:t>
      </w:r>
      <w:r w:rsidR="00A6759A" w:rsidRPr="002B136D">
        <w:rPr>
          <w:rFonts w:cs="Times New Roman"/>
        </w:rPr>
        <w:t>]</w:t>
      </w:r>
      <w:r w:rsidR="008E38D1" w:rsidRPr="002B136D">
        <w:rPr>
          <w:rFonts w:cs="Times New Roman"/>
          <w:szCs w:val="28"/>
        </w:rPr>
        <w:fldChar w:fldCharType="end"/>
      </w:r>
      <w:r w:rsidR="008E38D1" w:rsidRPr="002B136D">
        <w:rPr>
          <w:rFonts w:cs="Times New Roman"/>
          <w:szCs w:val="28"/>
        </w:rPr>
        <w:t xml:space="preserve">. </w:t>
      </w:r>
      <w:r w:rsidRPr="002B136D">
        <w:rPr>
          <w:rFonts w:cs="Times New Roman"/>
          <w:szCs w:val="28"/>
        </w:rPr>
        <w:t xml:space="preserve">Кроме того, IL-1β активирует продукцию TIMP-1 орбитальными фибробластами, замедляя деградацию компонентов </w:t>
      </w:r>
      <w:r w:rsidRPr="002B136D">
        <w:rPr>
          <w:rFonts w:cs="Times New Roman"/>
          <w:szCs w:val="28"/>
        </w:rPr>
        <w:lastRenderedPageBreak/>
        <w:t xml:space="preserve">соединительной ткани и способствуя фиброзу </w:t>
      </w:r>
      <w:r w:rsidR="008E38D1" w:rsidRPr="002B136D">
        <w:rPr>
          <w:rFonts w:cs="Times New Roman"/>
          <w:szCs w:val="28"/>
        </w:rPr>
        <w:fldChar w:fldCharType="begin"/>
      </w:r>
      <w:r w:rsidR="00A6759A" w:rsidRPr="002B136D">
        <w:rPr>
          <w:rFonts w:cs="Times New Roman"/>
          <w:szCs w:val="28"/>
        </w:rPr>
        <w:instrText xml:space="preserve"> ADDIN ZOTERO_ITEM CSL_CITATION {"citationID":"k3jblFCc","properties":{"formattedCitation":"[68]","plainCitation":"[68]","noteIndex":0},"citationItems":[{"id":606,"uris":["http://zotero.org/users/8237658/items/DVYJLRK2"],"itemData":{"id":606,"type":"book","title":"Chung SA, Jeon BK, Choi YH, Back KO, Lee JB, Kook KH. Pirfenidone attenuates the IL-1β-induced hyaluronic acid increase in orbital fibroblasts from patients with thyroid-associated ophthalmopathy. Invest Ophthalmol Vis Sci. 2014 Apr 9;55(4):2276-83. doi: 10.1167/iovs.13-13759. PMID: 24627146."}}],"schema":"https://github.com/citation-style-language/schema/raw/master/csl-citation.json"} </w:instrText>
      </w:r>
      <w:r w:rsidR="008E38D1" w:rsidRPr="002B136D">
        <w:rPr>
          <w:rFonts w:cs="Times New Roman"/>
          <w:szCs w:val="28"/>
        </w:rPr>
        <w:fldChar w:fldCharType="separate"/>
      </w:r>
      <w:r w:rsidR="00A6759A" w:rsidRPr="002B136D">
        <w:rPr>
          <w:rFonts w:cs="Times New Roman"/>
        </w:rPr>
        <w:t>[68]</w:t>
      </w:r>
      <w:r w:rsidR="008E38D1" w:rsidRPr="002B136D">
        <w:rPr>
          <w:rFonts w:cs="Times New Roman"/>
          <w:szCs w:val="28"/>
        </w:rPr>
        <w:fldChar w:fldCharType="end"/>
      </w:r>
      <w:r w:rsidR="008E38D1" w:rsidRPr="002B136D">
        <w:rPr>
          <w:rFonts w:cs="Times New Roman"/>
          <w:szCs w:val="28"/>
        </w:rPr>
        <w:t xml:space="preserve">. </w:t>
      </w:r>
      <w:r w:rsidRPr="002B136D">
        <w:rPr>
          <w:rFonts w:cs="Times New Roman"/>
          <w:szCs w:val="28"/>
        </w:rPr>
        <w:t xml:space="preserve">IFN-γ также стимулирует экспрессию CD40 и растворимой формы ICAM-1 фибробластами орбиты, усиливая лейкоцитарную инфильтрацию ретробульбарных тканей и хроническое воспаление </w:t>
      </w:r>
      <w:r w:rsidR="008E38D1" w:rsidRPr="002B136D">
        <w:rPr>
          <w:rFonts w:cs="Times New Roman"/>
          <w:szCs w:val="28"/>
        </w:rPr>
        <w:fldChar w:fldCharType="begin"/>
      </w:r>
      <w:r w:rsidR="00A6759A" w:rsidRPr="002B136D">
        <w:rPr>
          <w:rFonts w:cs="Times New Roman"/>
          <w:szCs w:val="28"/>
        </w:rPr>
        <w:instrText xml:space="preserve"> ADDIN ZOTERO_ITEM CSL_CITATION {"citationID":"GtGAEENQ","properties":{"formattedCitation":"[69]","plainCitation":"[69]","noteIndex":0},"citationItems":[{"id":262,"uris":["http://zotero.org/users/8237658/items/NWE6U933"],"itemData":{"id":262,"type":"book","title":"Cherng S, Young J, Ma H. Alpha-smooth muscle actin (α-SMA). J Am Sci. 2008;4(4):7-9."}}],"schema":"https://github.com/citation-style-language/schema/raw/master/csl-citation.json"} </w:instrText>
      </w:r>
      <w:r w:rsidR="008E38D1" w:rsidRPr="002B136D">
        <w:rPr>
          <w:rFonts w:cs="Times New Roman"/>
          <w:szCs w:val="28"/>
        </w:rPr>
        <w:fldChar w:fldCharType="separate"/>
      </w:r>
      <w:r w:rsidR="00A6759A" w:rsidRPr="002B136D">
        <w:rPr>
          <w:rFonts w:cs="Times New Roman"/>
        </w:rPr>
        <w:t>[69]</w:t>
      </w:r>
      <w:r w:rsidR="008E38D1" w:rsidRPr="002B136D">
        <w:rPr>
          <w:rFonts w:cs="Times New Roman"/>
          <w:szCs w:val="28"/>
        </w:rPr>
        <w:fldChar w:fldCharType="end"/>
      </w:r>
      <w:r w:rsidR="008E38D1" w:rsidRPr="002B136D">
        <w:rPr>
          <w:rFonts w:cs="Times New Roman"/>
          <w:szCs w:val="28"/>
        </w:rPr>
        <w:t xml:space="preserve">. </w:t>
      </w:r>
      <w:r w:rsidRPr="002B136D">
        <w:rPr>
          <w:rFonts w:cs="Times New Roman"/>
          <w:szCs w:val="28"/>
        </w:rPr>
        <w:t xml:space="preserve">TGF-β напрямую усиливает экспрессию рТТГ, не влияя на адипогенез, и активирует профиброгенные CD90+ фибробласты, синтезирующие α-SMA и компоненты внеклеточного матрикса </w:t>
      </w:r>
      <w:r w:rsidR="008E38D1" w:rsidRPr="002B136D">
        <w:rPr>
          <w:rFonts w:cs="Times New Roman"/>
          <w:szCs w:val="28"/>
        </w:rPr>
        <w:fldChar w:fldCharType="begin"/>
      </w:r>
      <w:r w:rsidR="00954DC5" w:rsidRPr="002B136D">
        <w:rPr>
          <w:rFonts w:cs="Times New Roman"/>
          <w:szCs w:val="28"/>
        </w:rPr>
        <w:instrText xml:space="preserve"> ADDIN ZOTERO_ITEM CSL_CITATION {"citationID":"Y1KUPSLM","properties":{"formattedCitation":"[6,39,66]","plainCitation":"[6,39,66]","noteIndex":0},"citationItems":[{"id":281,"uris":["http://zotero.org/users/8237658/items/W8WM5788"],"itemData":{"id":281,"type":"book","title":"Е.С.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офтальмопатии"},"label":"page"},{"id":249,"uris":["http://zotero.org/users/8237658/items/S8TWEFFT"],"itemData":{"id":249,"type":"book","title":"Khong J. J., McNab A. A., Ebeling P. R., Craig J. E., Selva D. Pathogenesis of thyroid eye disease: review and update on molecular mechanisms. British Journal of Ophthalmology. 2016;100(1):142–150. doi: 10.1136/bjophthalmol-2015-307399. [PubMed] [CrossRef] [Google Scholar]"},"label":"page"},{"id":275,"uris":["http://zotero.org/users/8237658/items/5PG926ZX"],"itemData":{"id":275,"type":"book","title":"Antonelli A, Ferrari SM, Fallahi P, et al. Monokine induced by interferon gamma (IFNgamma) (CXCL9) and IFNgamma inducible T-cell alpha-chemoattractant (CXCL11) involvement in Graves’ disease and ophthalmopathy: modulation by peroxisome proliferator-activated receptor-gamma agonists. J Clin Endocrinol Metab. 2009;94(5):1803-1809. doi: https://doi.org/10.1210/jc.2008-2450."},"label":"page"}],"schema":"https://github.com/citation-style-language/schema/raw/master/csl-citation.json"} </w:instrText>
      </w:r>
      <w:r w:rsidR="008E38D1" w:rsidRPr="002B136D">
        <w:rPr>
          <w:rFonts w:cs="Times New Roman"/>
          <w:szCs w:val="28"/>
        </w:rPr>
        <w:fldChar w:fldCharType="separate"/>
      </w:r>
      <w:r w:rsidR="00954DC5" w:rsidRPr="002B136D">
        <w:rPr>
          <w:rFonts w:cs="Times New Roman"/>
        </w:rPr>
        <w:t>[66</w:t>
      </w:r>
      <w:r w:rsidR="00F81358">
        <w:rPr>
          <w:rFonts w:cs="Times New Roman"/>
        </w:rPr>
        <w:t>,р. 1803</w:t>
      </w:r>
      <w:r w:rsidR="00954DC5" w:rsidRPr="002B136D">
        <w:rPr>
          <w:rFonts w:cs="Times New Roman"/>
        </w:rPr>
        <w:t>]</w:t>
      </w:r>
      <w:r w:rsidR="008E38D1" w:rsidRPr="002B136D">
        <w:rPr>
          <w:rFonts w:cs="Times New Roman"/>
          <w:szCs w:val="28"/>
        </w:rPr>
        <w:fldChar w:fldCharType="end"/>
      </w:r>
      <w:r w:rsidR="008E38D1" w:rsidRPr="002B136D">
        <w:rPr>
          <w:rFonts w:cs="Times New Roman"/>
          <w:szCs w:val="28"/>
        </w:rPr>
        <w:t>.</w:t>
      </w:r>
    </w:p>
    <w:p w14:paraId="00C3A184" w14:textId="77777777" w:rsidR="00D51D40" w:rsidRPr="002B136D" w:rsidRDefault="00D51D40" w:rsidP="00D51D40">
      <w:pPr>
        <w:spacing w:after="0" w:line="240" w:lineRule="auto"/>
        <w:ind w:firstLine="567"/>
        <w:contextualSpacing/>
        <w:jc w:val="both"/>
        <w:rPr>
          <w:rFonts w:cs="Times New Roman"/>
          <w:szCs w:val="28"/>
        </w:rPr>
      </w:pPr>
    </w:p>
    <w:p w14:paraId="7C617B8E" w14:textId="77777777" w:rsidR="00491D06" w:rsidRPr="002B136D" w:rsidRDefault="00B86156" w:rsidP="00D51D40">
      <w:pPr>
        <w:spacing w:after="0" w:line="240" w:lineRule="auto"/>
        <w:ind w:firstLine="567"/>
        <w:contextualSpacing/>
        <w:jc w:val="both"/>
        <w:rPr>
          <w:rFonts w:cs="Times New Roman"/>
          <w:szCs w:val="28"/>
        </w:rPr>
      </w:pPr>
      <w:r w:rsidRPr="002B136D">
        <w:rPr>
          <w:rFonts w:cs="Times New Roman"/>
          <w:b/>
          <w:szCs w:val="28"/>
        </w:rPr>
        <w:t xml:space="preserve">1.3 </w:t>
      </w:r>
      <w:r w:rsidR="00491D06" w:rsidRPr="002B136D">
        <w:rPr>
          <w:rFonts w:cs="Times New Roman"/>
          <w:b/>
          <w:szCs w:val="28"/>
        </w:rPr>
        <w:t>Современное состояние диагностики ЭОП</w:t>
      </w:r>
    </w:p>
    <w:p w14:paraId="113BF71D" w14:textId="77777777" w:rsidR="0069047F" w:rsidRPr="002B136D" w:rsidRDefault="0069047F" w:rsidP="00D51D40">
      <w:pPr>
        <w:spacing w:after="0" w:line="240" w:lineRule="auto"/>
        <w:ind w:firstLine="567"/>
        <w:contextualSpacing/>
        <w:jc w:val="both"/>
        <w:rPr>
          <w:rFonts w:cs="Times New Roman"/>
          <w:szCs w:val="28"/>
        </w:rPr>
      </w:pPr>
      <w:r w:rsidRPr="002B136D">
        <w:rPr>
          <w:rFonts w:cs="Times New Roman"/>
          <w:szCs w:val="28"/>
        </w:rPr>
        <w:t>Существующие методы диагностики ЭОП в основном описывают патологические изменения в орбите, не позволяя прогнозировать развитие заболевания при патологиях щитовидной железы. Инновационная диагностика ЭОП основана на анамнезе, специфических симптомах, иммунологических и гормональных анализах, а также офтальмологическом обследовании, включающем оценку подвижности глаз, репозицию глаза, измерение ширины глазной щели, исследование остроты и полей зрения, экзофтальмометрию, биомикроскопию, тонометрию, офтальмоскопию и исследование цветового зрения. Дополнительно используются ОСТ, HRT, КТ, МСКТ и МРТ орбит. Диагностика ЭОП играет ключевую роль в планировании лечения, поскольку выбор терапии зависит от стадии и формы заболевания. Отсутствие единой классификации ЭОП затрудняет интерпретацию результатов различных диагностических методов. Рекомендуется проводить диагностику ЭОП одновременно с оценкой функции щитовидной железы, учитывая, что у пациентов с гипер- или гипотиреозом тяжелая форма ЭОП развивается чаще, чем у пациентов с эутиреозом.</w:t>
      </w:r>
    </w:p>
    <w:p w14:paraId="7A1F9032" w14:textId="77777777" w:rsidR="0069047F" w:rsidRPr="002B136D" w:rsidRDefault="0069047F" w:rsidP="00D51D40">
      <w:pPr>
        <w:spacing w:after="0" w:line="240" w:lineRule="auto"/>
        <w:ind w:firstLine="567"/>
        <w:contextualSpacing/>
        <w:jc w:val="both"/>
        <w:rPr>
          <w:rFonts w:cs="Times New Roman"/>
          <w:szCs w:val="28"/>
        </w:rPr>
      </w:pPr>
      <w:r w:rsidRPr="002B136D">
        <w:rPr>
          <w:rFonts w:cs="Times New Roman"/>
          <w:szCs w:val="28"/>
        </w:rPr>
        <w:t>Оценка функциональной активности щитовидной железы проводится комплексом диагностических исследований, включающим лабораторные анализы крови на уровень свободного Т</w:t>
      </w:r>
      <w:proofErr w:type="gramStart"/>
      <w:r w:rsidRPr="002B136D">
        <w:rPr>
          <w:rFonts w:cs="Times New Roman"/>
          <w:szCs w:val="28"/>
        </w:rPr>
        <w:t>4</w:t>
      </w:r>
      <w:proofErr w:type="gramEnd"/>
      <w:r w:rsidRPr="002B136D">
        <w:rPr>
          <w:rFonts w:cs="Times New Roman"/>
          <w:szCs w:val="28"/>
        </w:rPr>
        <w:t>, свободного Т3, ТТГ, а также антител к ТПО и рТТГ (для исключения аутоиммунных заболеваний). Дополнительно необходимо УЗИ щитовидной железы для оценки структуры, размеров и выявления узловых образований.</w:t>
      </w:r>
    </w:p>
    <w:p w14:paraId="2E47B919" w14:textId="3F173ECA" w:rsidR="0069047F" w:rsidRPr="002B136D" w:rsidRDefault="0069047F" w:rsidP="00D51D40">
      <w:pPr>
        <w:spacing w:after="0" w:line="240" w:lineRule="auto"/>
        <w:ind w:firstLine="567"/>
        <w:contextualSpacing/>
        <w:jc w:val="both"/>
        <w:rPr>
          <w:rFonts w:cs="Times New Roman"/>
          <w:szCs w:val="28"/>
          <w:highlight w:val="yellow"/>
          <w:lang w:val="kk-KZ"/>
        </w:rPr>
      </w:pPr>
      <w:r w:rsidRPr="002B136D">
        <w:rPr>
          <w:rFonts w:cs="Times New Roman"/>
          <w:szCs w:val="28"/>
        </w:rPr>
        <w:t xml:space="preserve">Компьютерная томография (КТ) орбит выявляет характерные для активной фазы эндокринной офтальмопатии (ЭОП) изменения мягких тканей, такие как утолщение и повышение плотности экстраокулярных мышц и орбитальной клетчатки </w:t>
      </w:r>
      <w:r w:rsidRPr="002B136D">
        <w:rPr>
          <w:rFonts w:cs="Times New Roman"/>
          <w:szCs w:val="28"/>
        </w:rPr>
        <w:fldChar w:fldCharType="begin"/>
      </w:r>
      <w:r w:rsidR="00A6759A" w:rsidRPr="002B136D">
        <w:rPr>
          <w:rFonts w:cs="Times New Roman"/>
          <w:szCs w:val="28"/>
        </w:rPr>
        <w:instrText xml:space="preserve"> ADDIN ZOTERO_ITEM CSL_CITATION {"citationID":"2Q80eV71","properties":{"formattedCitation":"[70]","plainCitation":"[70]","noteIndex":0},"citationItems":[{"id":607,"uris":["http://zotero.org/users/8237658/items/H2S3ZCGA"],"itemData":{"id":607,"type":"book","title":"Bontzos G, Papadaki E, Mazonakis M, Maris TG, Tsakalis NG, Drakonaki EE, Detorakis ET. Extraocular Muscle Volumetry for Assessment of Thyroid Eye Disease. J Neuroophthalmol. 2022 Mar 1;42(1):e274-e280. doi: 10.1097/WNO.0000000000001339. Epub 2021 Sep 30. PMID: 34629402."}}],"schema":"https://github.com/citation-style-language/schema/raw/master/csl-citation.json"} </w:instrText>
      </w:r>
      <w:r w:rsidRPr="002B136D">
        <w:rPr>
          <w:rFonts w:cs="Times New Roman"/>
          <w:szCs w:val="28"/>
        </w:rPr>
        <w:fldChar w:fldCharType="separate"/>
      </w:r>
      <w:r w:rsidR="00A6759A" w:rsidRPr="002B136D">
        <w:rPr>
          <w:rFonts w:cs="Times New Roman"/>
        </w:rPr>
        <w:t>[70]</w:t>
      </w:r>
      <w:r w:rsidRPr="002B136D">
        <w:rPr>
          <w:rFonts w:cs="Times New Roman"/>
          <w:szCs w:val="28"/>
        </w:rPr>
        <w:fldChar w:fldCharType="end"/>
      </w:r>
      <w:r w:rsidRPr="002B136D">
        <w:rPr>
          <w:rFonts w:cs="Times New Roman"/>
          <w:szCs w:val="28"/>
        </w:rPr>
        <w:t xml:space="preserve">.КТ позволяет дифференцировать отек ретробульбарных тканей от фиброза при ЭОП </w:t>
      </w:r>
      <w:r w:rsidRPr="002B136D">
        <w:rPr>
          <w:rFonts w:cs="Times New Roman"/>
          <w:szCs w:val="28"/>
        </w:rPr>
        <w:fldChar w:fldCharType="begin"/>
      </w:r>
      <w:r w:rsidR="00A6759A" w:rsidRPr="002B136D">
        <w:rPr>
          <w:rFonts w:cs="Times New Roman"/>
          <w:szCs w:val="28"/>
        </w:rPr>
        <w:instrText xml:space="preserve"> ADDIN ZOTERO_ITEM CSL_CITATION {"citationID":"nDRKdYJC","properties":{"formattedCitation":"[71]","plainCitation":"[71]","noteIndex":0},"citationItems":[{"id":318,"uris":["http://zotero.org/users/8237658/items/PF7RQUBB"],"itemData":{"id":318,"type":"book","title":"Gonçalves ACP, Gebrim EM, Monteiro ML. Imaging studies for diagnosing Graves’ orbitopathy and dysthyroid optic neuropathy. Clinics. 2012;67(11):1327-1334. doi: 10.6061/clinics/2012(11)18."}}],"schema":"https://github.com/citation-style-language/schema/raw/master/csl-citation.json"} </w:instrText>
      </w:r>
      <w:r w:rsidRPr="002B136D">
        <w:rPr>
          <w:rFonts w:cs="Times New Roman"/>
          <w:szCs w:val="28"/>
        </w:rPr>
        <w:fldChar w:fldCharType="separate"/>
      </w:r>
      <w:r w:rsidR="00A6759A" w:rsidRPr="002B136D">
        <w:rPr>
          <w:rFonts w:cs="Times New Roman"/>
        </w:rPr>
        <w:t>[71]</w:t>
      </w:r>
      <w:r w:rsidRPr="002B136D">
        <w:rPr>
          <w:rFonts w:cs="Times New Roman"/>
          <w:szCs w:val="28"/>
        </w:rPr>
        <w:fldChar w:fldCharType="end"/>
      </w:r>
      <w:r w:rsidRPr="002B136D">
        <w:rPr>
          <w:rFonts w:cs="Times New Roman"/>
          <w:szCs w:val="28"/>
        </w:rPr>
        <w:t>. Однако, частое применение КТ для мониторинга аутоиммунных процессов ограничено высокой лучевой нагрузкой.</w:t>
      </w:r>
      <w:r w:rsidR="00731477" w:rsidRPr="002B136D">
        <w:rPr>
          <w:rFonts w:cs="Times New Roman"/>
          <w:szCs w:val="28"/>
          <w:lang w:val="kk-KZ"/>
        </w:rPr>
        <w:t xml:space="preserve"> </w:t>
      </w:r>
    </w:p>
    <w:p w14:paraId="1757761E" w14:textId="7C07D86E" w:rsidR="00731477" w:rsidRPr="002B136D" w:rsidRDefault="0069047F" w:rsidP="00D51D40">
      <w:pPr>
        <w:spacing w:after="0" w:line="240" w:lineRule="auto"/>
        <w:ind w:firstLine="567"/>
        <w:contextualSpacing/>
        <w:jc w:val="both"/>
        <w:rPr>
          <w:rFonts w:cs="Times New Roman"/>
          <w:szCs w:val="28"/>
        </w:rPr>
      </w:pPr>
      <w:r w:rsidRPr="002B136D">
        <w:rPr>
          <w:rFonts w:cs="Times New Roman"/>
          <w:szCs w:val="28"/>
        </w:rPr>
        <w:t xml:space="preserve">Мультиспиральная компьютерная томография (МСКТ) орбит превосходит стандартную КТ благодаря высокой скорости сканирования (5–30 мин), получению тонких срезов и сниженной лучевой нагрузке </w:t>
      </w:r>
      <w:r w:rsidR="00731477" w:rsidRPr="002B136D">
        <w:rPr>
          <w:rFonts w:cs="Times New Roman"/>
          <w:szCs w:val="28"/>
        </w:rPr>
        <w:fldChar w:fldCharType="begin"/>
      </w:r>
      <w:r w:rsidR="00A6759A" w:rsidRPr="002B136D">
        <w:rPr>
          <w:rFonts w:cs="Times New Roman"/>
          <w:szCs w:val="28"/>
        </w:rPr>
        <w:instrText xml:space="preserve"> ADDIN ZOTERO_ITEM CSL_CITATION {"citationID":"pafC6WGy","properties":{"formattedCitation":"[72]","plainCitation":"[72]","noteIndex":0},"citationItems":[{"id":608,"uris":["http://zotero.org/users/8237658/items/97UCKBNN"],"itemData":{"id":608,"type":"book","title":"Đorić I, Žarković M, Radojičić Z, Repac N, Janićijević A, Rotim K, Tasić G, Rasulić L. The Value of Multidetector Computed Tomography of Orbits in Globe Protrusion in Comparison to Hertel Exophthalmometry. Acta Clin Croat. 2017 Mar;56(1):21-27. doi: 10.20471/acc.2017.56.01.04. PMID: 29120123."}}],"schema":"https://github.com/citation-style-language/schema/raw/master/csl-citation.json"} </w:instrText>
      </w:r>
      <w:r w:rsidR="00731477" w:rsidRPr="002B136D">
        <w:rPr>
          <w:rFonts w:cs="Times New Roman"/>
          <w:szCs w:val="28"/>
        </w:rPr>
        <w:fldChar w:fldCharType="separate"/>
      </w:r>
      <w:r w:rsidR="00A6759A" w:rsidRPr="002B136D">
        <w:rPr>
          <w:rFonts w:cs="Times New Roman"/>
        </w:rPr>
        <w:t>[72]</w:t>
      </w:r>
      <w:r w:rsidR="00731477" w:rsidRPr="002B136D">
        <w:rPr>
          <w:rFonts w:cs="Times New Roman"/>
          <w:szCs w:val="28"/>
        </w:rPr>
        <w:fldChar w:fldCharType="end"/>
      </w:r>
      <w:r w:rsidR="00731477" w:rsidRPr="002B136D">
        <w:rPr>
          <w:rFonts w:cs="Times New Roman"/>
          <w:szCs w:val="28"/>
        </w:rPr>
        <w:t xml:space="preserve">. </w:t>
      </w:r>
    </w:p>
    <w:p w14:paraId="7EFFA115" w14:textId="6D72EA5A" w:rsidR="00731477" w:rsidRPr="002B136D" w:rsidRDefault="0069047F" w:rsidP="00D51D40">
      <w:pPr>
        <w:spacing w:after="0" w:line="240" w:lineRule="auto"/>
        <w:ind w:firstLine="567"/>
        <w:contextualSpacing/>
        <w:jc w:val="both"/>
        <w:rPr>
          <w:rFonts w:cs="Times New Roman"/>
          <w:szCs w:val="28"/>
          <w:lang w:val="kk-KZ"/>
        </w:rPr>
      </w:pPr>
      <w:r w:rsidRPr="002B136D">
        <w:rPr>
          <w:rFonts w:cs="Times New Roman"/>
          <w:szCs w:val="28"/>
        </w:rPr>
        <w:t xml:space="preserve">МСКТ позволяет визуализировать костные и мягкотканные структуры в трехмерной проекции с объемной реконструкцией, что важно для дифференциальной диагностики причин экзофтальма и определения активности эндокринной офтальмопатии (ЭОП) </w:t>
      </w:r>
      <w:r w:rsidR="00731477" w:rsidRPr="002B136D">
        <w:rPr>
          <w:rFonts w:cs="Times New Roman"/>
          <w:szCs w:val="28"/>
        </w:rPr>
        <w:fldChar w:fldCharType="begin"/>
      </w:r>
      <w:r w:rsidR="00A6759A" w:rsidRPr="002B136D">
        <w:rPr>
          <w:rFonts w:cs="Times New Roman"/>
          <w:szCs w:val="28"/>
        </w:rPr>
        <w:instrText xml:space="preserve"> ADDIN ZOTERO_ITEM CSL_CITATION {"citationID":"MUenViiY","properties":{"formattedCitation":"[73]","plainCitation":"[73]","noteIndex":0},"citationItems":[{"id":319,"uris":["http://zotero.org/users/8237658/items/AQ4CAHPZ"],"itemData":{"id":319,"type":"book","title":"Lee JY, Bae K, Park KA, et al. Correlation between extraocular muscle size measured by computed tomography and the vertical angle of deviation in thyroid eye disease. PLoS One. 2016; 11(1):e0148167. doi: 10.1371/journal.pone.0148167."}}],"schema":"https://github.com/citation-style-language/schema/raw/master/csl-citation.json"} </w:instrText>
      </w:r>
      <w:r w:rsidR="00731477" w:rsidRPr="002B136D">
        <w:rPr>
          <w:rFonts w:cs="Times New Roman"/>
          <w:szCs w:val="28"/>
        </w:rPr>
        <w:fldChar w:fldCharType="separate"/>
      </w:r>
      <w:r w:rsidR="00A6759A" w:rsidRPr="002B136D">
        <w:rPr>
          <w:rFonts w:cs="Times New Roman"/>
        </w:rPr>
        <w:t>[73]</w:t>
      </w:r>
      <w:r w:rsidR="00731477" w:rsidRPr="002B136D">
        <w:rPr>
          <w:rFonts w:cs="Times New Roman"/>
          <w:szCs w:val="28"/>
        </w:rPr>
        <w:fldChar w:fldCharType="end"/>
      </w:r>
      <w:r w:rsidR="00731477" w:rsidRPr="002B136D">
        <w:rPr>
          <w:rFonts w:cs="Times New Roman"/>
          <w:szCs w:val="28"/>
        </w:rPr>
        <w:t>.</w:t>
      </w:r>
      <w:r w:rsidR="00731477" w:rsidRPr="002B136D">
        <w:rPr>
          <w:rFonts w:cs="Times New Roman"/>
          <w:szCs w:val="28"/>
          <w:lang w:val="kk-KZ"/>
        </w:rPr>
        <w:t xml:space="preserve"> </w:t>
      </w:r>
    </w:p>
    <w:p w14:paraId="59920C78" w14:textId="404A081E" w:rsidR="0086001E" w:rsidRPr="002B136D" w:rsidRDefault="00731477" w:rsidP="00D51D40">
      <w:pPr>
        <w:spacing w:after="0" w:line="240" w:lineRule="auto"/>
        <w:ind w:firstLine="567"/>
        <w:contextualSpacing/>
        <w:jc w:val="both"/>
        <w:rPr>
          <w:szCs w:val="28"/>
        </w:rPr>
      </w:pPr>
      <w:r w:rsidRPr="002B136D">
        <w:rPr>
          <w:rFonts w:cs="Times New Roman"/>
          <w:szCs w:val="28"/>
        </w:rPr>
        <w:lastRenderedPageBreak/>
        <w:t xml:space="preserve">МРТ орбит </w:t>
      </w:r>
      <w:proofErr w:type="gramStart"/>
      <w:r w:rsidRPr="002B136D">
        <w:rPr>
          <w:rFonts w:cs="Times New Roman"/>
          <w:szCs w:val="28"/>
        </w:rPr>
        <w:t>важна</w:t>
      </w:r>
      <w:proofErr w:type="gramEnd"/>
      <w:r w:rsidRPr="002B136D">
        <w:rPr>
          <w:rFonts w:cs="Times New Roman"/>
          <w:szCs w:val="28"/>
        </w:rPr>
        <w:t xml:space="preserve"> для оценки сдавления зрительного нерва глазодвигательными мышцами, особенно при эндокринной офтальмопатии (ЭОП), поскольку позволяет прогнозировать оптическую нейропатию и ухудшение зрения</w:t>
      </w:r>
      <w:r w:rsidRPr="002B136D">
        <w:rPr>
          <w:rFonts w:cs="Times New Roman"/>
          <w:szCs w:val="28"/>
          <w:lang w:val="kk-KZ"/>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{"citationID":"pXh2SMH3","properties":{"formattedCitation":"[74]","plainCitation":"[74]","noteIndex":0},"citationItems":[{"id":609,"uris":["http://zotero.org/users/8237658/items/WCFBUH3W"],"itemData":{"id":609,"type":"book","title":"Д.М. Бабаева, Е.Г. Бессмертная, Н.В. Тарбаева, Н.Н. Волеводз, Н.Ю. Свириденко, Н.Г. «Мокрышева Магнитно-резонансная томография орбит в диагностике эндокринной офтальмопатии: обзор литературы», ВЕСТНИК РОССИЙСКОГО НАУЧНОГО ЦЕНТРА РЕНТГЕНОРАДИОЛОГИИ (ВЕСТНИК РНЦРР), 2023, Т. 2023, № 2"}}],"schema":"https://github.com/citation-style-language/schema/raw/master/csl-citation.json"} </w:instrText>
      </w:r>
      <w:r w:rsidRPr="002B136D">
        <w:rPr>
          <w:rFonts w:cs="Times New Roman"/>
          <w:szCs w:val="28"/>
        </w:rPr>
        <w:fldChar w:fldCharType="separate"/>
      </w:r>
      <w:r w:rsidR="00A6759A" w:rsidRPr="002B136D">
        <w:rPr>
          <w:rFonts w:cs="Times New Roman"/>
        </w:rPr>
        <w:t>[74]</w:t>
      </w:r>
      <w:r w:rsidRPr="002B136D">
        <w:rPr>
          <w:rFonts w:cs="Times New Roman"/>
          <w:szCs w:val="28"/>
        </w:rPr>
        <w:fldChar w:fldCharType="end"/>
      </w:r>
      <w:r w:rsidRPr="002B136D">
        <w:rPr>
          <w:rFonts w:cs="Times New Roman"/>
          <w:szCs w:val="28"/>
        </w:rPr>
        <w:t>.МРТ выявляет компрессию зрительного нерва, что определяет тактику лечения.</w:t>
      </w:r>
      <w:r w:rsidRPr="002B136D">
        <w:rPr>
          <w:rFonts w:cs="Times New Roman"/>
          <w:szCs w:val="28"/>
          <w:lang w:val="kk-KZ"/>
        </w:rPr>
        <w:t xml:space="preserve"> </w:t>
      </w:r>
      <w:r w:rsidRPr="002B136D">
        <w:rPr>
          <w:rFonts w:cs="Times New Roman"/>
          <w:szCs w:val="28"/>
        </w:rPr>
        <w:t xml:space="preserve">Сопоставление результатов МРТ с клинической шкалой CAS повышает точность определения формы ЭОП </w:t>
      </w:r>
      <w:r w:rsidRPr="002B136D">
        <w:rPr>
          <w:rFonts w:cs="Times New Roman"/>
          <w:szCs w:val="28"/>
        </w:rPr>
        <w:fldChar w:fldCharType="begin"/>
      </w:r>
      <w:r w:rsidR="00A6759A" w:rsidRPr="002B136D">
        <w:rPr>
          <w:rFonts w:cs="Times New Roman"/>
          <w:szCs w:val="28"/>
        </w:rPr>
        <w:instrText xml:space="preserve"> ADDIN ZOTERO_ITEM CSL_CITATION {"citationID":"4uXoyxPl","properties":{"formattedCitation":"[75]","plainCitation":"[75]","noteIndex":0},"citationItems":[{"id":322,"uris":["http://zotero.org/users/8237658/items/BWPX35ZD"],"itemData":{"id":322,"type":"book","title":"Tachibana S, Murakami T, Noguchi H, et al. Orbital magnetic resonance imaging combined with clinical activity score can improve the sensitivity of detection of disease activity and prediction of response to immunosuppressive therapy for Graves’ ophthalmo pathy. Endocrine J. 2010;57(10):853-861. doi: 10.1507/endocrj.K10E-156."}}],"schema":"https://github.com/citation-style-language/schema/raw/master/csl-citation.json"} </w:instrText>
      </w:r>
      <w:r w:rsidRPr="002B136D">
        <w:rPr>
          <w:rFonts w:cs="Times New Roman"/>
          <w:szCs w:val="28"/>
        </w:rPr>
        <w:fldChar w:fldCharType="separate"/>
      </w:r>
      <w:r w:rsidR="00A6759A" w:rsidRPr="002B136D">
        <w:rPr>
          <w:rFonts w:cs="Times New Roman"/>
        </w:rPr>
        <w:t>[75]</w:t>
      </w:r>
      <w:r w:rsidRPr="002B136D">
        <w:rPr>
          <w:rFonts w:cs="Times New Roman"/>
          <w:szCs w:val="28"/>
        </w:rPr>
        <w:fldChar w:fldCharType="end"/>
      </w:r>
      <w:r w:rsidRPr="002B136D">
        <w:rPr>
          <w:rFonts w:cs="Times New Roman"/>
          <w:szCs w:val="28"/>
          <w:lang w:val="kk-KZ"/>
        </w:rPr>
        <w:t xml:space="preserve">, </w:t>
      </w:r>
      <w:r w:rsidRPr="002B136D">
        <w:rPr>
          <w:rFonts w:cs="Times New Roman"/>
          <w:szCs w:val="28"/>
        </w:rPr>
        <w:t>способствуя дифференциальной диагностике и стратификации пациентов по активности заболевания. Однако</w:t>
      </w:r>
      <w:proofErr w:type="gramStart"/>
      <w:r w:rsidRPr="002B136D">
        <w:rPr>
          <w:rFonts w:cs="Times New Roman"/>
          <w:szCs w:val="28"/>
        </w:rPr>
        <w:t>,</w:t>
      </w:r>
      <w:proofErr w:type="gramEnd"/>
      <w:r w:rsidRPr="002B136D">
        <w:rPr>
          <w:rFonts w:cs="Times New Roman"/>
          <w:szCs w:val="28"/>
        </w:rPr>
        <w:t xml:space="preserve"> МРТ не предоставляет прямой информации о плотности мягких тканей орбиты, что является ограничением. </w:t>
      </w:r>
      <w:r w:rsidR="0086001E" w:rsidRPr="002B136D">
        <w:rPr>
          <w:szCs w:val="28"/>
        </w:rPr>
        <w:t>Следовательно, комплексная оценка при ЭОП требует учета других методов диагностики.</w:t>
      </w:r>
    </w:p>
    <w:p w14:paraId="2419AE20" w14:textId="374920F9" w:rsidR="0086001E" w:rsidRPr="002B136D" w:rsidRDefault="0086001E" w:rsidP="00D51D40">
      <w:pPr>
        <w:spacing w:after="0" w:line="240" w:lineRule="auto"/>
        <w:ind w:firstLine="567"/>
        <w:contextualSpacing/>
        <w:jc w:val="both"/>
        <w:rPr>
          <w:rFonts w:cs="Times New Roman"/>
          <w:szCs w:val="28"/>
        </w:rPr>
      </w:pPr>
      <w:proofErr w:type="gramStart"/>
      <w:r w:rsidRPr="002B136D">
        <w:rPr>
          <w:rFonts w:cs="Times New Roman"/>
          <w:szCs w:val="28"/>
        </w:rPr>
        <w:t xml:space="preserve">Для диагностики истончения нервных волокон зрительного нерва, важного признака многих офтальмологических заболеваний, широко используются оптическая когерентная томография сетчатки (ОСТ) и Гейдельбергская ретинальная томография (HRT), позволяющие оценить состояние и деградацию этих волокон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{"citationID":"lJIqkpqc","properties":{"formattedCitation":"[76,77]","plainCitation":"[76,77]","noteIndex":0},"citationItems":[{"id":323,"uris":["http://zotero.org/users/8237658/items/JWSGQEWF"],"itemData":{"id":323,"type":"book","title":"Fallon M, Valero O, Pazos M, Anton A. Diagnostic accuracy of imaging devices in glaucoma: A meta-analysis. Surv Ophthalmol. 2017;62(4):446-461. doi: 10.1016/j.survophthal.2017.01.001."},"label":"page"},{"id":324,"uris":["http://zotero.org/users/8237658/items/HAQCFI49"],"itemData":{"id":324,"type":"book","title":"Park KA, Kim YD, In Woo K, et al. Optical coherence tomography measurements in compressive optic neuropathy associated with dysthyroid orbitopathy. Graefes Arch Clin Exp Ophthalmol. 2016;254(8):1617-1624. doi: 10.1007/s00417-016-3335-9."},"label":"page"}],"schema":"https://github.com/citation-style-language/schema/raw/master/csl-citation.json"} </w:instrText>
      </w:r>
      <w:r w:rsidRPr="002B136D">
        <w:rPr>
          <w:rFonts w:cs="Times New Roman"/>
          <w:szCs w:val="28"/>
        </w:rPr>
        <w:fldChar w:fldCharType="separate"/>
      </w:r>
      <w:r w:rsidR="00A6759A" w:rsidRPr="002B136D">
        <w:rPr>
          <w:rFonts w:cs="Times New Roman"/>
        </w:rPr>
        <w:t>[76,77]</w:t>
      </w:r>
      <w:r w:rsidRPr="002B136D">
        <w:rPr>
          <w:rFonts w:cs="Times New Roman"/>
          <w:szCs w:val="28"/>
        </w:rPr>
        <w:fldChar w:fldCharType="end"/>
      </w:r>
      <w:proofErr w:type="gramStart"/>
      <w:r w:rsidRPr="002B136D">
        <w:rPr>
          <w:rFonts w:cs="Times New Roman"/>
          <w:szCs w:val="28"/>
        </w:rPr>
        <w:t>.</w:t>
      </w:r>
      <w:r w:rsidRPr="002B136D">
        <w:rPr>
          <w:rFonts w:cs="Times New Roman"/>
          <w:szCs w:val="28"/>
          <w:lang w:val="kk-KZ"/>
        </w:rPr>
        <w:t xml:space="preserve"> </w:t>
      </w:r>
      <w:r w:rsidRPr="002B136D">
        <w:rPr>
          <w:rFonts w:cs="Times New Roman"/>
          <w:szCs w:val="28"/>
        </w:rPr>
        <w:t>При ОСТ контуры диска зрительного нерва рассчитываются автоматически, упрощая анализ, в отличие от HRT, где параметры определяются вручную, что трудозатратно и субъективно.</w:t>
      </w:r>
      <w:proofErr w:type="gramEnd"/>
    </w:p>
    <w:p w14:paraId="362944CC" w14:textId="1BC60202" w:rsidR="0086001E" w:rsidRPr="002B136D" w:rsidRDefault="0086001E" w:rsidP="00D51D40">
      <w:pPr>
        <w:spacing w:after="0" w:line="240" w:lineRule="auto"/>
        <w:ind w:firstLine="567"/>
        <w:contextualSpacing/>
        <w:jc w:val="both"/>
        <w:rPr>
          <w:rFonts w:cs="Times New Roman"/>
          <w:szCs w:val="28"/>
          <w:lang w:val="kk-KZ"/>
        </w:rPr>
      </w:pPr>
      <w:r w:rsidRPr="002B136D">
        <w:rPr>
          <w:rFonts w:cs="Times New Roman"/>
          <w:szCs w:val="28"/>
        </w:rPr>
        <w:t xml:space="preserve">Из-за различий в методологии расчета, совместное использование ОСТ и HRT у одного пациента может приводить к несопоставимым результатам. Мета-анализ показал, что высокоспектральная ОСТ диска зрительного нерва предоставляет более информативные данные, чем HRT </w:t>
      </w:r>
      <w:r w:rsidRPr="002B136D">
        <w:rPr>
          <w:rFonts w:cs="Times New Roman"/>
          <w:szCs w:val="28"/>
        </w:rPr>
        <w:fldChar w:fldCharType="begin"/>
      </w:r>
      <w:r w:rsidR="00A6759A" w:rsidRPr="002B136D">
        <w:rPr>
          <w:rFonts w:cs="Times New Roman"/>
          <w:szCs w:val="28"/>
        </w:rPr>
        <w:instrText xml:space="preserve"> ADDIN ZOTERO_ITEM CSL_CITATION {"citationID":"qezYkjeT","properties":{"formattedCitation":"[76]","plainCitation":"[76]","noteIndex":0},"citationItems":[{"id":323,"uris":["http://zotero.org/users/8237658/items/JWSGQEWF"],"itemData":{"id":323,"type":"book","title":"Fallon M, Valero O, Pazos M, Anton A. Diagnostic accuracy of imaging devices in glaucoma: A meta-analysis. Surv Ophthalmol. 2017;62(4):446-461. doi: 10.1016/j.survophthal.2017.01.001."}}],"schema":"https://github.com/citation-style-language/schema/raw/master/csl-citation.json"} </w:instrText>
      </w:r>
      <w:r w:rsidRPr="002B136D">
        <w:rPr>
          <w:rFonts w:cs="Times New Roman"/>
          <w:szCs w:val="28"/>
        </w:rPr>
        <w:fldChar w:fldCharType="separate"/>
      </w:r>
      <w:r w:rsidR="00A6759A" w:rsidRPr="002B136D">
        <w:rPr>
          <w:rFonts w:cs="Times New Roman"/>
        </w:rPr>
        <w:t>[76</w:t>
      </w:r>
      <w:r w:rsidR="00F81358">
        <w:rPr>
          <w:rFonts w:cs="Times New Roman"/>
        </w:rPr>
        <w:t>,р. 446</w:t>
      </w:r>
      <w:r w:rsidR="00A6759A" w:rsidRPr="002B136D">
        <w:rPr>
          <w:rFonts w:cs="Times New Roman"/>
        </w:rPr>
        <w:t>]</w:t>
      </w:r>
      <w:r w:rsidRPr="002B136D">
        <w:rPr>
          <w:rFonts w:cs="Times New Roman"/>
          <w:szCs w:val="28"/>
        </w:rPr>
        <w:fldChar w:fldCharType="end"/>
      </w:r>
      <w:r w:rsidRPr="002B136D">
        <w:rPr>
          <w:rFonts w:cs="Times New Roman"/>
          <w:szCs w:val="28"/>
        </w:rPr>
        <w:t>.</w:t>
      </w:r>
      <w:r w:rsidRPr="002B136D">
        <w:rPr>
          <w:rFonts w:cs="Times New Roman"/>
          <w:szCs w:val="28"/>
          <w:lang w:val="kk-KZ"/>
        </w:rPr>
        <w:t xml:space="preserve"> </w:t>
      </w:r>
      <w:r w:rsidRPr="002B136D">
        <w:rPr>
          <w:rFonts w:cs="Times New Roman"/>
          <w:szCs w:val="28"/>
        </w:rPr>
        <w:t>Оценка толщины хориоидеи с помощью ОСТ макулы является перспективным методом диагностики активности</w:t>
      </w:r>
      <w:r w:rsidRPr="002B136D">
        <w:rPr>
          <w:rFonts w:cs="Times New Roman"/>
          <w:szCs w:val="28"/>
          <w:lang w:val="kk-KZ"/>
        </w:rPr>
        <w:t xml:space="preserve"> </w:t>
      </w:r>
      <w:r w:rsidRPr="002B136D">
        <w:rPr>
          <w:rFonts w:cs="Times New Roman"/>
          <w:szCs w:val="28"/>
        </w:rPr>
        <w:t>ЭО</w:t>
      </w:r>
      <w:r w:rsidRPr="002B136D">
        <w:rPr>
          <w:rFonts w:cs="Times New Roman"/>
          <w:szCs w:val="28"/>
          <w:lang w:val="kk-KZ"/>
        </w:rPr>
        <w:t>П</w:t>
      </w:r>
      <w:r w:rsidRPr="002B136D">
        <w:rPr>
          <w:rFonts w:cs="Times New Roman"/>
          <w:szCs w:val="28"/>
        </w:rPr>
        <w:t xml:space="preserve">. Исследование S. Çalışkan и соавторов выявило, что толщина хориоидеи значительно различается в зависимости от стадии активности ЭОП, будучи достоверно выше в активной фазе </w:t>
      </w:r>
      <w:r w:rsidRPr="002B136D">
        <w:rPr>
          <w:rFonts w:cs="Times New Roman"/>
          <w:szCs w:val="28"/>
        </w:rPr>
        <w:fldChar w:fldCharType="begin"/>
      </w:r>
      <w:r w:rsidR="00A6759A" w:rsidRPr="002B136D">
        <w:rPr>
          <w:rFonts w:cs="Times New Roman"/>
          <w:szCs w:val="28"/>
        </w:rPr>
        <w:instrText xml:space="preserve"> ADDIN ZOTERO_ITEM CSL_CITATION {"citationID":"eEMEKLMt","properties":{"formattedCitation":"[78]","plainCitation":"[78]","noteIndex":0},"citationItems":[{"id":325,"uris":["http://zotero.org/users/8237658/items/LLHZC7D7"],"itemData":{"id":325,"type":"book","title":"Caliskan S, Acar M, Gurdal C. Choroidal thickness in patients with Graves’ ophthalmopathy. Curr Eye Res. 2017;42(3):484-490. doi: 10.1080/02713683.2016.1198488."}}],"schema":"https://github.com/citation-style-language/schema/raw/master/csl-citation.json"} </w:instrText>
      </w:r>
      <w:r w:rsidRPr="002B136D">
        <w:rPr>
          <w:rFonts w:cs="Times New Roman"/>
          <w:szCs w:val="28"/>
        </w:rPr>
        <w:fldChar w:fldCharType="separate"/>
      </w:r>
      <w:r w:rsidR="00A6759A" w:rsidRPr="002B136D">
        <w:rPr>
          <w:rFonts w:cs="Times New Roman"/>
        </w:rPr>
        <w:t>[78]</w:t>
      </w:r>
      <w:r w:rsidRPr="002B136D">
        <w:rPr>
          <w:rFonts w:cs="Times New Roman"/>
          <w:szCs w:val="28"/>
        </w:rPr>
        <w:fldChar w:fldCharType="end"/>
      </w:r>
      <w:r w:rsidRPr="002B136D">
        <w:rPr>
          <w:rFonts w:cs="Times New Roman"/>
          <w:szCs w:val="28"/>
        </w:rPr>
        <w:t xml:space="preserve">. </w:t>
      </w:r>
    </w:p>
    <w:p w14:paraId="73455A6E" w14:textId="7191E9B0" w:rsidR="00C24639" w:rsidRPr="002B136D" w:rsidRDefault="00C24639" w:rsidP="00D51D40">
      <w:pPr>
        <w:spacing w:after="0" w:line="240" w:lineRule="auto"/>
        <w:ind w:firstLine="567"/>
        <w:contextualSpacing/>
        <w:jc w:val="both"/>
        <w:rPr>
          <w:rFonts w:cs="Times New Roman"/>
          <w:szCs w:val="28"/>
          <w:lang w:val="kk-KZ"/>
        </w:rPr>
      </w:pPr>
      <w:r w:rsidRPr="002B136D">
        <w:rPr>
          <w:rFonts w:cs="Times New Roman"/>
          <w:szCs w:val="28"/>
        </w:rPr>
        <w:t xml:space="preserve">Китайские ученые обнаружили, что </w:t>
      </w:r>
      <w:proofErr w:type="gramStart"/>
      <w:r w:rsidRPr="002B136D">
        <w:rPr>
          <w:rFonts w:cs="Times New Roman"/>
          <w:szCs w:val="28"/>
        </w:rPr>
        <w:t>при</w:t>
      </w:r>
      <w:proofErr w:type="gramEnd"/>
      <w:r w:rsidRPr="002B136D">
        <w:rPr>
          <w:rFonts w:cs="Times New Roman"/>
          <w:szCs w:val="28"/>
        </w:rPr>
        <w:t xml:space="preserve"> активной ЭОП кровоснабжение снижается лишь в поверхностном слое макулы. </w:t>
      </w:r>
      <w:proofErr w:type="gramStart"/>
      <w:r w:rsidRPr="002B136D">
        <w:rPr>
          <w:rFonts w:cs="Times New Roman"/>
          <w:szCs w:val="28"/>
        </w:rPr>
        <w:t>При КОН (в острой и хронической фазах) снижается кровоснабжение поверхностного слоя макулы и диска зрительного нерва, причем снижение плотности сосудов коррелирует с тяжестью поражения поля зрения и истончением слоя нервных волокон и комплекса ганглиозных клеток сетчатки</w:t>
      </w:r>
      <w:r w:rsidRPr="002B136D">
        <w:rPr>
          <w:rFonts w:cs="Times New Roman"/>
          <w:szCs w:val="28"/>
          <w:lang w:val="kk-KZ"/>
        </w:rPr>
        <w:t xml:space="preserve"> </w:t>
      </w:r>
      <w:proofErr w:type="gramEnd"/>
      <w:r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{"citationID":"AtNgOJYt","properties":{"formattedCitation":"[79]","plainCitation":"[79]","noteIndex":0},"citationItems":[{"id":573,"uris":["http://zotero.org/users/8237658/items/QJ2N3WRQ"],"itemData":{"id":573,"type":"book","title":"Wang YH, Ma J, Li H, Xu HY, Gan LY, Zhang X, Wang XQ, Zhong Y. [Peripapillary and macular vessel density in eyes with different phases of thyroid-associated ophthalmopathy]. Zhonghua Yan Ke Za Zhi. 2020 Nov 11;56(11):824-831. Chinese. doi: 10.3760/cma.j.cn112142-20191115-00574. PMID: 33152840."}}],"schema":"https://github.com/citation-style-language/schema/raw/master/csl-citation.json"} </w:instrText>
      </w:r>
      <w:r w:rsidRPr="002B136D">
        <w:rPr>
          <w:rFonts w:cs="Times New Roman"/>
          <w:szCs w:val="28"/>
          <w:lang w:val="kk-KZ"/>
        </w:rPr>
        <w:fldChar w:fldCharType="separate"/>
      </w:r>
      <w:r w:rsidR="00A6759A" w:rsidRPr="002B136D">
        <w:rPr>
          <w:rFonts w:cs="Times New Roman"/>
        </w:rPr>
        <w:t>[79]</w:t>
      </w:r>
      <w:r w:rsidRPr="002B136D">
        <w:rPr>
          <w:rFonts w:cs="Times New Roman"/>
          <w:szCs w:val="28"/>
          <w:lang w:val="kk-KZ"/>
        </w:rPr>
        <w:fldChar w:fldCharType="end"/>
      </w:r>
      <w:proofErr w:type="gramStart"/>
      <w:r w:rsidRPr="002B136D">
        <w:rPr>
          <w:rFonts w:cs="Times New Roman"/>
          <w:szCs w:val="28"/>
        </w:rPr>
        <w:t>.</w:t>
      </w:r>
      <w:proofErr w:type="gramEnd"/>
    </w:p>
    <w:p w14:paraId="51552434" w14:textId="2EADA42F" w:rsidR="006838D0" w:rsidRPr="002B136D" w:rsidRDefault="00F07A95" w:rsidP="00D51D40">
      <w:pPr>
        <w:spacing w:after="0" w:line="240" w:lineRule="auto"/>
        <w:ind w:firstLine="567"/>
        <w:contextualSpacing/>
        <w:jc w:val="both"/>
        <w:rPr>
          <w:rFonts w:cs="Times New Roman"/>
          <w:szCs w:val="28"/>
          <w:lang w:val="kk-KZ"/>
        </w:rPr>
      </w:pPr>
      <w:r w:rsidRPr="002B136D">
        <w:rPr>
          <w:rFonts w:cs="Times New Roman"/>
          <w:szCs w:val="28"/>
          <w:lang w:val="kk-KZ"/>
        </w:rPr>
        <w:t>Также, при диагностике ЭОП применяются методы оценки гемодинамики орбиты.</w:t>
      </w:r>
      <w:r w:rsidR="00873672" w:rsidRPr="002B136D">
        <w:rPr>
          <w:rFonts w:cs="Times New Roman"/>
          <w:szCs w:val="28"/>
          <w:lang w:val="kk-KZ"/>
        </w:rPr>
        <w:t xml:space="preserve"> </w:t>
      </w:r>
      <w:r w:rsidR="006838D0" w:rsidRPr="002B136D">
        <w:rPr>
          <w:rFonts w:cs="Times New Roman"/>
          <w:szCs w:val="28"/>
          <w:lang w:val="kk-KZ"/>
        </w:rPr>
        <w:t xml:space="preserve">Триплексное сканирование, согласно исследованию Лиханцевой В.Г. и соавт. </w:t>
      </w:r>
      <w:r w:rsidR="006838D0" w:rsidRPr="002B136D">
        <w:rPr>
          <w:rFonts w:cs="Times New Roman"/>
          <w:szCs w:val="28"/>
        </w:rPr>
        <w:fldChar w:fldCharType="begin"/>
      </w:r>
      <w:r w:rsidR="00A6759A" w:rsidRPr="002B136D">
        <w:rPr>
          <w:rFonts w:cs="Times New Roman"/>
          <w:szCs w:val="28"/>
        </w:rPr>
        <w:instrText xml:space="preserve"> ADDIN ZOTERO_ITEM CSL_CITATION {"citationID":"3cA3i9oc","properties":{"formattedCitation":"[80]","plainCitation":"[80]","noteIndex":0},"citationItems":[{"id":326,"uris":["http://zotero.org/users/8237658/items/AIPJTM4S"],"itemData":{"id":326,"type":"book","title":"Лихванцева В.Г., Харлап С.И., Коростелева Е.В., и др. Гемодинамические нарушения в магистральных сосудах глаза в прогрессировании оптической нейропатии и изменении офтальмотонуса при эндокринной офтальмопатии. // Вестник офтальмологии. – 2015. – Т. 131. – №4. – C. 32–37. [Likhvantseva VG, Kharlap SI, Korosteleva EV, et al. Contribution of hemodynamic disturbances in magistral vessels to optic neuropathy progression and ocular tension changes in endocrine ophthalmopathy. Annals of ophthalmology. 2015;131(4):32-37. (In Russ.)]"}}],"schema":"https://github.com/citation-style-language/schema/raw/master/csl-citation.json"} </w:instrText>
      </w:r>
      <w:r w:rsidR="006838D0" w:rsidRPr="002B136D">
        <w:rPr>
          <w:rFonts w:cs="Times New Roman"/>
          <w:szCs w:val="28"/>
        </w:rPr>
        <w:fldChar w:fldCharType="separate"/>
      </w:r>
      <w:r w:rsidR="00A6759A" w:rsidRPr="002B136D">
        <w:rPr>
          <w:rFonts w:cs="Times New Roman"/>
        </w:rPr>
        <w:t>[80]</w:t>
      </w:r>
      <w:r w:rsidR="006838D0" w:rsidRPr="002B136D">
        <w:rPr>
          <w:rFonts w:cs="Times New Roman"/>
          <w:szCs w:val="28"/>
          <w:lang w:val="kk-KZ"/>
        </w:rPr>
        <w:fldChar w:fldCharType="end"/>
      </w:r>
      <w:r w:rsidR="006838D0" w:rsidRPr="002B136D">
        <w:rPr>
          <w:rFonts w:cs="Times New Roman"/>
          <w:szCs w:val="28"/>
          <w:lang w:val="kk-KZ"/>
        </w:rPr>
        <w:t xml:space="preserve">, выявило связь между гипоперфузией орбитальных тканей, нестабильным офтальмотонусом и развитием </w:t>
      </w:r>
      <w:proofErr w:type="gramStart"/>
      <w:r w:rsidR="006838D0" w:rsidRPr="002B136D">
        <w:rPr>
          <w:rFonts w:cs="Times New Roman"/>
          <w:szCs w:val="28"/>
          <w:lang w:val="kk-KZ"/>
        </w:rPr>
        <w:t>оптической</w:t>
      </w:r>
      <w:proofErr w:type="gramEnd"/>
      <w:r w:rsidR="006838D0" w:rsidRPr="002B136D">
        <w:rPr>
          <w:rFonts w:cs="Times New Roman"/>
          <w:szCs w:val="28"/>
          <w:lang w:val="kk-KZ"/>
        </w:rPr>
        <w:t xml:space="preserve"> нейропатии при ЭОП. Также, по данным Walasik-Szemplińska D. и соавт. </w:t>
      </w:r>
      <w:r w:rsidR="006838D0" w:rsidRPr="002B136D">
        <w:rPr>
          <w:rFonts w:cs="Times New Roman"/>
          <w:szCs w:val="28"/>
        </w:rPr>
        <w:fldChar w:fldCharType="begin"/>
      </w:r>
      <w:r w:rsidR="00A6759A" w:rsidRPr="002B136D">
        <w:rPr>
          <w:rFonts w:cs="Times New Roman"/>
          <w:szCs w:val="28"/>
        </w:rPr>
        <w:instrText xml:space="preserve"> ADDIN ZOTERO_ITEM CSL_CITATION {"citationID":"VRapzrUv","properties":{"formattedCitation":"[81]","plainCitation":"[81]","noteIndex":0},"citationItems":[{"id":327,"uris":["http://zotero.org/users/8237658/items/XRIDL7AK"],"itemData":{"id":327,"type":"book","title":"Walasik-Szemplinska D, Pauk-Domanska M, Sanocka U, SudolSzopinska I. Doppler imaging of orbital vessels in the assessment of the activity and severity of thyroid-associated orbitopathy. J Ultrason. 2015;15(63):388-397. doi: 10.15557/JoU.2015.0036."}}],"schema":"https://github.com/citation-style-language/schema/raw/master/csl-citation.json"} </w:instrText>
      </w:r>
      <w:r w:rsidR="006838D0" w:rsidRPr="002B136D">
        <w:rPr>
          <w:rFonts w:cs="Times New Roman"/>
          <w:szCs w:val="28"/>
        </w:rPr>
        <w:fldChar w:fldCharType="separate"/>
      </w:r>
      <w:r w:rsidR="00A6759A" w:rsidRPr="002B136D">
        <w:rPr>
          <w:rFonts w:cs="Times New Roman"/>
        </w:rPr>
        <w:t>[81]</w:t>
      </w:r>
      <w:r w:rsidR="006838D0" w:rsidRPr="002B136D">
        <w:rPr>
          <w:rFonts w:cs="Times New Roman"/>
          <w:szCs w:val="28"/>
          <w:lang w:val="kk-KZ"/>
        </w:rPr>
        <w:fldChar w:fldCharType="end"/>
      </w:r>
      <w:r w:rsidR="006838D0" w:rsidRPr="002B136D">
        <w:rPr>
          <w:rFonts w:cs="Times New Roman"/>
          <w:szCs w:val="28"/>
          <w:lang w:val="kk-KZ"/>
        </w:rPr>
        <w:t>, скорость кровотока в глазной артерии коррелирует со степенью активности ЭОП.</w:t>
      </w:r>
    </w:p>
    <w:p w14:paraId="074ABC02" w14:textId="1EA257EB" w:rsidR="006838D0" w:rsidRPr="002B136D" w:rsidRDefault="0065674C" w:rsidP="00D51D40">
      <w:pPr>
        <w:spacing w:after="0" w:line="240" w:lineRule="auto"/>
        <w:ind w:firstLine="567"/>
        <w:contextualSpacing/>
        <w:jc w:val="both"/>
        <w:rPr>
          <w:rFonts w:cs="Times New Roman"/>
          <w:szCs w:val="28"/>
        </w:rPr>
      </w:pPr>
      <w:r w:rsidRPr="002B136D">
        <w:rPr>
          <w:rFonts w:cs="Times New Roman"/>
          <w:szCs w:val="28"/>
        </w:rPr>
        <w:t>Перспективным направлением в диагностике активности ЭОП являются иммунологические исследования.</w:t>
      </w:r>
      <w:r w:rsidR="00D77B6D" w:rsidRPr="002B136D">
        <w:rPr>
          <w:rFonts w:cs="Times New Roman"/>
          <w:szCs w:val="28"/>
        </w:rPr>
        <w:t xml:space="preserve"> </w:t>
      </w:r>
      <w:r w:rsidR="006838D0" w:rsidRPr="002B136D">
        <w:rPr>
          <w:rFonts w:cs="Times New Roman"/>
          <w:szCs w:val="28"/>
        </w:rPr>
        <w:t xml:space="preserve">Титр антител к рецептору тиреотропного гормона (р-ТТГ) демонстрирует взаимосвязь с активностью эндокринной офтальмопатии (ЭОП), что позволяет использовать его в качестве маркера активности заболевания. </w:t>
      </w:r>
      <w:proofErr w:type="gramStart"/>
      <w:r w:rsidR="006838D0" w:rsidRPr="002B136D">
        <w:rPr>
          <w:rFonts w:cs="Times New Roman"/>
          <w:szCs w:val="28"/>
        </w:rPr>
        <w:t xml:space="preserve">В частности, наблюдается тенденция к снижению титра этих антител после проведения тиреостатической терапии, направленной на нормализацию функции щитовидной железы </w:t>
      </w:r>
      <w:proofErr w:type="gramEnd"/>
      <w:r w:rsidR="006838D0" w:rsidRPr="002B136D">
        <w:rPr>
          <w:rFonts w:cs="Times New Roman"/>
          <w:szCs w:val="28"/>
        </w:rPr>
        <w:fldChar w:fldCharType="begin"/>
      </w:r>
      <w:r w:rsidR="00A6759A" w:rsidRPr="002B136D">
        <w:rPr>
          <w:rFonts w:cs="Times New Roman"/>
          <w:szCs w:val="28"/>
        </w:rPr>
        <w:instrText xml:space="preserve"> ADDIN ZOTERO_ITEM CSL_CITATION {"citationID":"EJwaEKPr","properties":{"formattedCitation":"[25]","plainCitation":"[25]","noteIndex":0},"citationItems":[{"id":264,"uris":["http://zotero.org/users/8237658/items/UQWAF4ML"],"itemData":{"id":264,"type":"book","title":"Bartalena L, Baldeschi L, Boboridis K, et al. The 2016 European Thyroid Association/European Group on Graves’ Orbitopathy Guidelines for the Management of Graves’ Orbitopathy. Eur Thyroid J. 2016;5(1):9-26. doi: https://doi.org/10.1159/000443828."}}],"schema":"https://github.com/citation-style-language/schema/raw/master/csl-citation.json"} </w:instrText>
      </w:r>
      <w:r w:rsidR="006838D0" w:rsidRPr="002B136D">
        <w:rPr>
          <w:rFonts w:cs="Times New Roman"/>
          <w:szCs w:val="28"/>
        </w:rPr>
        <w:fldChar w:fldCharType="separate"/>
      </w:r>
      <w:r w:rsidR="00A6759A" w:rsidRPr="002B136D">
        <w:rPr>
          <w:rFonts w:cs="Times New Roman"/>
        </w:rPr>
        <w:t>[25</w:t>
      </w:r>
      <w:r w:rsidR="00F81358">
        <w:rPr>
          <w:rFonts w:cs="Times New Roman"/>
        </w:rPr>
        <w:t>,р. 9-26</w:t>
      </w:r>
      <w:r w:rsidR="00A6759A" w:rsidRPr="002B136D">
        <w:rPr>
          <w:rFonts w:cs="Times New Roman"/>
        </w:rPr>
        <w:t>]</w:t>
      </w:r>
      <w:r w:rsidR="006838D0" w:rsidRPr="002B136D">
        <w:rPr>
          <w:rFonts w:cs="Times New Roman"/>
          <w:szCs w:val="28"/>
        </w:rPr>
        <w:fldChar w:fldCharType="end"/>
      </w:r>
      <w:proofErr w:type="gramStart"/>
      <w:r w:rsidR="006838D0" w:rsidRPr="002B136D">
        <w:rPr>
          <w:rFonts w:cs="Times New Roman"/>
          <w:szCs w:val="28"/>
        </w:rPr>
        <w:t>.</w:t>
      </w:r>
      <w:r w:rsidR="006838D0" w:rsidRPr="002B136D">
        <w:rPr>
          <w:rFonts w:cs="Times New Roman"/>
          <w:szCs w:val="28"/>
          <w:lang w:val="kk-KZ"/>
        </w:rPr>
        <w:t xml:space="preserve"> </w:t>
      </w:r>
      <w:r w:rsidR="006838D0" w:rsidRPr="002B136D">
        <w:rPr>
          <w:rFonts w:cs="Times New Roman"/>
          <w:szCs w:val="28"/>
        </w:rPr>
        <w:t xml:space="preserve">Что касается </w:t>
      </w:r>
      <w:r w:rsidR="006838D0" w:rsidRPr="002B136D">
        <w:rPr>
          <w:rFonts w:cs="Times New Roman"/>
          <w:szCs w:val="28"/>
        </w:rPr>
        <w:lastRenderedPageBreak/>
        <w:t xml:space="preserve">других аутоантител, то антитела к тиреопероксидазе (АТ-ТПО) и антитела к тиреоглобулину (АТ-ТГ) также часто встречаются при эндокринной офтальмопатии, и их повышение наблюдается примерно в 50% случаев данного заболевания </w:t>
      </w:r>
      <w:proofErr w:type="gramEnd"/>
      <w:r w:rsidR="006838D0" w:rsidRPr="002B136D">
        <w:rPr>
          <w:rFonts w:cs="Times New Roman"/>
          <w:szCs w:val="28"/>
        </w:rPr>
        <w:fldChar w:fldCharType="begin"/>
      </w:r>
      <w:r w:rsidR="00A6759A" w:rsidRPr="002B136D">
        <w:rPr>
          <w:rFonts w:cs="Times New Roman"/>
          <w:szCs w:val="28"/>
        </w:rPr>
        <w:instrText xml:space="preserve"> ADDIN ZOTERO_ITEM CSL_CITATION {"citationID":"PpxejKEF","properties":{"formattedCitation":"[82]","plainCitation":"[82]","noteIndex":0},"citationItems":[{"id":233,"uris":["http://zotero.org/users/8237658/items/RG2QGHNF"],"itemData":{"id":233,"type":"book","title":"Sahli E, Gunduz K. Thyroid-associated ophthalmopathy. Turk J Ophthalmol. 2017;47(2):94-105. doi: 10.4274/tjo.80688."}}],"schema":"https://github.com/citation-style-language/schema/raw/master/csl-citation.json"} </w:instrText>
      </w:r>
      <w:r w:rsidR="006838D0" w:rsidRPr="002B136D">
        <w:rPr>
          <w:rFonts w:cs="Times New Roman"/>
          <w:szCs w:val="28"/>
        </w:rPr>
        <w:fldChar w:fldCharType="separate"/>
      </w:r>
      <w:r w:rsidR="00A6759A" w:rsidRPr="002B136D">
        <w:rPr>
          <w:rFonts w:cs="Times New Roman"/>
        </w:rPr>
        <w:t>[82]</w:t>
      </w:r>
      <w:r w:rsidR="006838D0" w:rsidRPr="002B136D">
        <w:rPr>
          <w:rFonts w:cs="Times New Roman"/>
          <w:szCs w:val="28"/>
        </w:rPr>
        <w:fldChar w:fldCharType="end"/>
      </w:r>
      <w:proofErr w:type="gramStart"/>
      <w:r w:rsidR="00D7006C">
        <w:rPr>
          <w:rFonts w:cs="Times New Roman"/>
          <w:szCs w:val="28"/>
        </w:rPr>
        <w:t xml:space="preserve">. </w:t>
      </w:r>
      <w:r w:rsidR="006838D0" w:rsidRPr="002B136D">
        <w:rPr>
          <w:rFonts w:cs="Times New Roman"/>
          <w:szCs w:val="28"/>
        </w:rPr>
        <w:t>Применение новых, более чувствительных методов исследования в</w:t>
      </w:r>
      <w:proofErr w:type="gramEnd"/>
      <w:r w:rsidR="006838D0" w:rsidRPr="002B136D">
        <w:rPr>
          <w:rFonts w:cs="Times New Roman"/>
          <w:szCs w:val="28"/>
        </w:rPr>
        <w:t xml:space="preserve"> иммунологии позволило достичь значительного прогресса в понимании иммунных процессов. В частности, стало возможным более детально определить субпопуляции Т-хелперов, выявить и идентифицировать функционально значимые, но при этом малые по численности субпопуляции этих клеток. Кроме того, современные методы позволили более детально охарактеризовать эти субпопуляции Т-хелперов как фенотипически, то есть по их поверхностным маркерам и структуре, так и функционально, то есть по их роли в иммунном ответе.</w:t>
      </w:r>
    </w:p>
    <w:p w14:paraId="136549D2" w14:textId="4A7E59A5" w:rsidR="006838D0" w:rsidRPr="002B136D" w:rsidRDefault="006838D0" w:rsidP="00D51D40">
      <w:pPr>
        <w:spacing w:after="0" w:line="240" w:lineRule="auto"/>
        <w:ind w:firstLine="567"/>
        <w:contextualSpacing/>
        <w:jc w:val="both"/>
        <w:rPr>
          <w:rFonts w:cs="Times New Roman"/>
          <w:szCs w:val="28"/>
          <w:lang w:val="kk-KZ"/>
        </w:rPr>
      </w:pPr>
      <w:r w:rsidRPr="002B136D">
        <w:rPr>
          <w:rFonts w:cs="Times New Roman"/>
          <w:szCs w:val="28"/>
        </w:rPr>
        <w:t xml:space="preserve">Т-лимфоциты, играющие ключевую роль в иммунном ответе, включают субпопуляции Т-хелперов (Th1, Th2, Th17), </w:t>
      </w:r>
      <w:proofErr w:type="gramStart"/>
      <w:r w:rsidRPr="002B136D">
        <w:rPr>
          <w:rFonts w:cs="Times New Roman"/>
          <w:szCs w:val="28"/>
        </w:rPr>
        <w:t>Т-регуляторные</w:t>
      </w:r>
      <w:proofErr w:type="gramEnd"/>
      <w:r w:rsidRPr="002B136D">
        <w:rPr>
          <w:rFonts w:cs="Times New Roman"/>
          <w:szCs w:val="28"/>
        </w:rPr>
        <w:t xml:space="preserve"> клетки (T-reg) и другие типы, регулирующие иммунные процессы </w:t>
      </w:r>
      <w:r w:rsidR="00CB17F1" w:rsidRPr="002B136D">
        <w:rPr>
          <w:rFonts w:cs="Times New Roman"/>
          <w:szCs w:val="28"/>
        </w:rPr>
        <w:fldChar w:fldCharType="begin"/>
      </w:r>
      <w:r w:rsidR="00A6759A" w:rsidRPr="002B136D">
        <w:rPr>
          <w:rFonts w:cs="Times New Roman"/>
          <w:szCs w:val="28"/>
        </w:rPr>
        <w:instrText xml:space="preserve"> ADDIN ZOTERO_ITEM CSL_CITATION {"citationID":"TnQTzHDy","properties":{"formattedCitation":"[83]","plainCitation":"[83]","noteIndex":0},"citationItems":[{"id":574,"uris":["http://zotero.org/users/8237658/items/F8GK2KNN"],"itemData":{"id":574,"type":"book","title":"Yan-Ru G, Wei-Wen C, Jia-Wang L, Hui-Lan Z. [Treg/Th17 balance and immunology of schistosome infection: a review]. Zhongguo Xue Xi Chong Bing Fang Zhi Za Zhi. 2018 Oct 17;30(5):588-591. Chinese. doi: 10.16250/j.32.1374.2018001. PMID: 30567041."}}],"schema":"https://github.com/citation-style-language/schema/raw/master/csl-citation.json"} </w:instrText>
      </w:r>
      <w:r w:rsidR="00CB17F1" w:rsidRPr="002B136D">
        <w:rPr>
          <w:rFonts w:cs="Times New Roman"/>
          <w:szCs w:val="28"/>
        </w:rPr>
        <w:fldChar w:fldCharType="separate"/>
      </w:r>
      <w:r w:rsidR="00A6759A" w:rsidRPr="002B136D">
        <w:rPr>
          <w:rFonts w:cs="Times New Roman"/>
        </w:rPr>
        <w:t>[83]</w:t>
      </w:r>
      <w:r w:rsidR="00CB17F1" w:rsidRPr="002B136D">
        <w:rPr>
          <w:rFonts w:cs="Times New Roman"/>
          <w:szCs w:val="28"/>
        </w:rPr>
        <w:fldChar w:fldCharType="end"/>
      </w:r>
      <w:r w:rsidR="00CB17F1" w:rsidRPr="002B136D">
        <w:rPr>
          <w:rFonts w:cs="Times New Roman"/>
          <w:szCs w:val="28"/>
        </w:rPr>
        <w:t>.</w:t>
      </w:r>
      <w:r w:rsidR="00CB17F1" w:rsidRPr="002B136D">
        <w:rPr>
          <w:rFonts w:cs="Times New Roman"/>
          <w:szCs w:val="28"/>
          <w:lang w:val="kk-KZ"/>
        </w:rPr>
        <w:t xml:space="preserve"> </w:t>
      </w:r>
      <w:r w:rsidRPr="002B136D">
        <w:rPr>
          <w:rFonts w:cs="Times New Roman"/>
          <w:szCs w:val="28"/>
        </w:rPr>
        <w:t>Дифференциация этих лимфоцитов из наивных клеток-предшественников, индуцированная различными цитокинами в ответ на презентацию антигенов или бактериальных компонентов, представлена на ри</w:t>
      </w:r>
      <w:r w:rsidR="00B60ACD">
        <w:rPr>
          <w:rFonts w:cs="Times New Roman"/>
          <w:szCs w:val="28"/>
        </w:rPr>
        <w:t>сунке</w:t>
      </w:r>
      <w:r w:rsidRPr="002B136D">
        <w:rPr>
          <w:rFonts w:cs="Times New Roman"/>
          <w:szCs w:val="28"/>
        </w:rPr>
        <w:t xml:space="preserve"> 2, адаптированном из </w:t>
      </w:r>
      <w:r w:rsidR="00CB17F1" w:rsidRPr="002B136D">
        <w:rPr>
          <w:rFonts w:cs="Times New Roman"/>
          <w:szCs w:val="28"/>
        </w:rPr>
        <w:fldChar w:fldCharType="begin"/>
      </w:r>
      <w:r w:rsidR="00A6759A" w:rsidRPr="002B136D">
        <w:rPr>
          <w:rFonts w:cs="Times New Roman"/>
          <w:szCs w:val="28"/>
        </w:rPr>
        <w:instrText xml:space="preserve"> ADDIN ZOTERO_ITEM CSL_CITATION {"citationID":"3p3PNwaj","properties":{"formattedCitation":"[84]","plainCitation":"[84]","noteIndex":0},"citationItems":[{"id":403,"uris":["http://zotero.org/users/8237658/items/L4H7EGIX"],"itemData":{"id":403,"type":"book","title":"Долгих, В. Т.  Иммунология : учебное пособие для вузов / В. Т. Долгих, А. Н. Золотов. — Москва : Издательство Юрайт, 2019. — 248 с. — (Высшее образование). — ISBN 978-5-534-09294-3. — Текст : электронный // Образовательная платформа Юрайт [сайт]. — URL: https://urait.ru/bcode/427581"}}],"schema":"https://github.com/citation-style-language/schema/raw/master/csl-citation.json"} </w:instrText>
      </w:r>
      <w:r w:rsidR="00CB17F1" w:rsidRPr="002B136D">
        <w:rPr>
          <w:rFonts w:cs="Times New Roman"/>
          <w:szCs w:val="28"/>
        </w:rPr>
        <w:fldChar w:fldCharType="separate"/>
      </w:r>
      <w:r w:rsidR="00A6759A" w:rsidRPr="002B136D">
        <w:rPr>
          <w:rFonts w:cs="Times New Roman"/>
        </w:rPr>
        <w:t>[84]</w:t>
      </w:r>
      <w:r w:rsidR="00CB17F1" w:rsidRPr="002B136D">
        <w:rPr>
          <w:rFonts w:cs="Times New Roman"/>
          <w:szCs w:val="28"/>
        </w:rPr>
        <w:fldChar w:fldCharType="end"/>
      </w:r>
      <w:r w:rsidR="00CB17F1" w:rsidRPr="002B136D">
        <w:rPr>
          <w:rFonts w:cs="Times New Roman"/>
          <w:szCs w:val="28"/>
          <w:lang w:val="kk-KZ"/>
        </w:rPr>
        <w:t>.</w:t>
      </w:r>
    </w:p>
    <w:p w14:paraId="2FCDC718" w14:textId="77777777" w:rsidR="006838D0" w:rsidRPr="002B136D" w:rsidRDefault="006838D0" w:rsidP="00D51D40">
      <w:pPr>
        <w:spacing w:after="0" w:line="240" w:lineRule="auto"/>
        <w:ind w:firstLine="567"/>
        <w:contextualSpacing/>
        <w:jc w:val="both"/>
        <w:rPr>
          <w:rFonts w:cs="Times New Roman"/>
          <w:szCs w:val="28"/>
        </w:rPr>
      </w:pPr>
      <w:r w:rsidRPr="002B136D">
        <w:rPr>
          <w:rFonts w:cs="Times New Roman"/>
          <w:szCs w:val="28"/>
        </w:rPr>
        <w:t>Определение уровней цитокинов, ставшее неотъемлемой частью диагностики и мониторинга аутоиммунных заболеваний, позволяет оценить состояние иммунной системы и активность воспаления.</w:t>
      </w:r>
    </w:p>
    <w:p w14:paraId="045BBA57" w14:textId="41688837" w:rsidR="006838D0" w:rsidRPr="002B136D" w:rsidRDefault="006838D0" w:rsidP="00D51D40">
      <w:pPr>
        <w:spacing w:after="0" w:line="240" w:lineRule="auto"/>
        <w:ind w:firstLine="567"/>
        <w:contextualSpacing/>
        <w:jc w:val="both"/>
        <w:rPr>
          <w:rFonts w:cs="Times New Roman"/>
          <w:szCs w:val="28"/>
        </w:rPr>
      </w:pPr>
      <w:r w:rsidRPr="002B136D">
        <w:rPr>
          <w:rFonts w:cs="Times New Roman"/>
          <w:szCs w:val="28"/>
        </w:rPr>
        <w:t xml:space="preserve">При эписклеральном отеке орбиты (ЭОП) в слезной жидкости и сыворотке крови наблюдается гиперэкспрессия IL-1β, IL-2, IL-4, IL-5, IL-6, IL-10, IL-8, IFN-γ и ФНО-α </w:t>
      </w:r>
      <w:r w:rsidR="00CB17F1" w:rsidRPr="002B136D">
        <w:rPr>
          <w:rFonts w:cs="Times New Roman"/>
          <w:szCs w:val="28"/>
        </w:rPr>
        <w:fldChar w:fldCharType="begin"/>
      </w:r>
      <w:r w:rsidR="00A6759A" w:rsidRPr="002B136D">
        <w:rPr>
          <w:rFonts w:cs="Times New Roman"/>
          <w:szCs w:val="28"/>
        </w:rPr>
        <w:instrText xml:space="preserve"> ADDIN ZOTERO_ITEM CSL_CITATION {"citationID":"6BLTm6N0","properties":{"formattedCitation":"[62]","plainCitation":"[62]","noteIndex":0},"citationItems":[{"id":269,"uris":["http://zotero.org/users/8237658/items/J7TUHQPG"],"itemData":{"id":269,"type":"book","title":"Харинцев В.В., Серебрякова О.В., Серкин Д.М., и др. Роль некоторых про- и противовоспалительных цитокинов в течении эндокринной офтальмопатии. // Забайкальский медицинский вестник. – 2016. – №2. – С. 33-40. [Kharintsev VV, Serebryakova OV, Serkin DM, et al. The role of some proinflammatory and anti-inflammatory cytokines in the development of endocrine ophthalmopathy. Zabaykal’skiy meditsinskiy vestnik. 2016;(2):33-40. (In Russ.)]"}}],"schema":"https://github.com/citation-style-language/schema/raw/master/csl-citation.json"} </w:instrText>
      </w:r>
      <w:r w:rsidR="00CB17F1" w:rsidRPr="002B136D">
        <w:rPr>
          <w:rFonts w:cs="Times New Roman"/>
          <w:szCs w:val="28"/>
        </w:rPr>
        <w:fldChar w:fldCharType="separate"/>
      </w:r>
      <w:r w:rsidR="00A6759A" w:rsidRPr="002B136D">
        <w:rPr>
          <w:rFonts w:cs="Times New Roman"/>
        </w:rPr>
        <w:t>[62</w:t>
      </w:r>
      <w:r w:rsidR="00F81358">
        <w:rPr>
          <w:rFonts w:cs="Times New Roman"/>
        </w:rPr>
        <w:t>,с. 33-40</w:t>
      </w:r>
      <w:r w:rsidR="00A6759A" w:rsidRPr="002B136D">
        <w:rPr>
          <w:rFonts w:cs="Times New Roman"/>
        </w:rPr>
        <w:t>]</w:t>
      </w:r>
      <w:r w:rsidR="00CB17F1" w:rsidRPr="002B136D">
        <w:rPr>
          <w:rFonts w:cs="Times New Roman"/>
          <w:szCs w:val="28"/>
        </w:rPr>
        <w:fldChar w:fldCharType="end"/>
      </w:r>
      <w:r w:rsidRPr="002B136D">
        <w:rPr>
          <w:rFonts w:cs="Times New Roman"/>
          <w:szCs w:val="28"/>
        </w:rPr>
        <w:t xml:space="preserve">, что указывает на активное воспаление в области глаза. </w:t>
      </w:r>
    </w:p>
    <w:p w14:paraId="643E8D21" w14:textId="77777777" w:rsidR="00CB17F1" w:rsidRPr="007E2F28" w:rsidRDefault="00CB17F1" w:rsidP="009327F2">
      <w:pPr>
        <w:spacing w:after="0" w:line="360" w:lineRule="auto"/>
        <w:jc w:val="center"/>
        <w:rPr>
          <w:rFonts w:cs="Times New Roman"/>
          <w:b/>
          <w:szCs w:val="28"/>
          <w:lang w:val="kk-KZ"/>
        </w:rPr>
      </w:pPr>
    </w:p>
    <w:p w14:paraId="6B3FBF14" w14:textId="77777777" w:rsidR="00254105" w:rsidRPr="002B136D" w:rsidRDefault="00254105" w:rsidP="007E2F28">
      <w:pPr>
        <w:spacing w:after="0" w:line="360" w:lineRule="auto"/>
        <w:jc w:val="center"/>
        <w:rPr>
          <w:rFonts w:cs="Times New Roman"/>
          <w:szCs w:val="28"/>
        </w:rPr>
      </w:pPr>
      <w:r w:rsidRPr="002B136D">
        <w:rPr>
          <w:rFonts w:cs="Times New Roman"/>
          <w:noProof/>
          <w:szCs w:val="28"/>
          <w:lang w:eastAsia="ru-RU"/>
        </w:rPr>
        <w:drawing>
          <wp:inline distT="0" distB="0" distL="0" distR="0" wp14:anchorId="781D995C" wp14:editId="73774E03">
            <wp:extent cx="4253278" cy="2529219"/>
            <wp:effectExtent l="0" t="0" r="0" b="4445"/>
            <wp:docPr id="43" name="Рисунок 43" descr="https://studme.org/htm/img/14/44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me.org/htm/img/14/4436/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9911" cy="2533164"/>
                    </a:xfrm>
                    <a:prstGeom prst="rect">
                      <a:avLst/>
                    </a:prstGeom>
                    <a:noFill/>
                    <a:ln>
                      <a:noFill/>
                    </a:ln>
                  </pic:spPr>
                </pic:pic>
              </a:graphicData>
            </a:graphic>
          </wp:inline>
        </w:drawing>
      </w:r>
    </w:p>
    <w:p w14:paraId="7798943B" w14:textId="77777777" w:rsidR="007E2F28" w:rsidRPr="007E2F28" w:rsidRDefault="007E2F28" w:rsidP="00167A90">
      <w:pPr>
        <w:spacing w:after="0" w:line="240" w:lineRule="auto"/>
        <w:ind w:firstLine="709"/>
        <w:contextualSpacing/>
        <w:jc w:val="both"/>
        <w:rPr>
          <w:rFonts w:cs="Times New Roman"/>
          <w:sz w:val="18"/>
          <w:szCs w:val="18"/>
        </w:rPr>
      </w:pPr>
    </w:p>
    <w:p w14:paraId="714C9507" w14:textId="77777777" w:rsidR="007E2F28" w:rsidRDefault="007E2F28" w:rsidP="007E2F28">
      <w:pPr>
        <w:spacing w:after="0" w:line="240" w:lineRule="auto"/>
        <w:jc w:val="center"/>
        <w:rPr>
          <w:rFonts w:cs="Times New Roman"/>
          <w:bCs/>
          <w:szCs w:val="28"/>
        </w:rPr>
      </w:pPr>
      <w:r w:rsidRPr="007E2F28">
        <w:rPr>
          <w:rFonts w:cs="Times New Roman"/>
          <w:bCs/>
          <w:szCs w:val="28"/>
        </w:rPr>
        <w:t xml:space="preserve">Рисунок 2 - Дифференциация Т </w:t>
      </w:r>
      <w:proofErr w:type="gramStart"/>
      <w:r w:rsidRPr="007E2F28">
        <w:rPr>
          <w:rFonts w:cs="Times New Roman"/>
          <w:bCs/>
          <w:szCs w:val="28"/>
        </w:rPr>
        <w:t>–к</w:t>
      </w:r>
      <w:proofErr w:type="gramEnd"/>
      <w:r w:rsidRPr="007E2F28">
        <w:rPr>
          <w:rFonts w:cs="Times New Roman"/>
          <w:bCs/>
          <w:szCs w:val="28"/>
        </w:rPr>
        <w:t xml:space="preserve">леток </w:t>
      </w:r>
    </w:p>
    <w:p w14:paraId="4E07253B" w14:textId="77777777" w:rsidR="007E2F28" w:rsidRPr="007E2F28" w:rsidRDefault="007E2F28" w:rsidP="007E2F28">
      <w:pPr>
        <w:spacing w:after="0" w:line="240" w:lineRule="auto"/>
        <w:jc w:val="center"/>
        <w:rPr>
          <w:rFonts w:cs="Times New Roman"/>
          <w:bCs/>
          <w:szCs w:val="28"/>
        </w:rPr>
      </w:pPr>
    </w:p>
    <w:p w14:paraId="21FE1E50" w14:textId="72B29CD2" w:rsidR="007E2F28" w:rsidRPr="007E2F28" w:rsidRDefault="007E2F28" w:rsidP="007E2F28">
      <w:pPr>
        <w:spacing w:after="0" w:line="240" w:lineRule="auto"/>
        <w:ind w:firstLine="567"/>
        <w:rPr>
          <w:rFonts w:cs="Times New Roman"/>
          <w:bCs/>
          <w:sz w:val="24"/>
          <w:szCs w:val="24"/>
        </w:rPr>
      </w:pPr>
      <w:r w:rsidRPr="007E2F28">
        <w:rPr>
          <w:rFonts w:cs="Times New Roman"/>
          <w:bCs/>
          <w:sz w:val="24"/>
          <w:szCs w:val="24"/>
        </w:rPr>
        <w:t xml:space="preserve">Примечание – Источник </w:t>
      </w:r>
      <w:r w:rsidRPr="007E2F28">
        <w:rPr>
          <w:rFonts w:cs="Times New Roman"/>
          <w:bCs/>
          <w:sz w:val="24"/>
          <w:szCs w:val="24"/>
          <w:lang w:val="en-US"/>
        </w:rPr>
        <w:fldChar w:fldCharType="begin"/>
      </w:r>
      <w:r w:rsidRPr="007E2F28">
        <w:rPr>
          <w:rFonts w:cs="Times New Roman"/>
          <w:bCs/>
          <w:sz w:val="24"/>
          <w:szCs w:val="24"/>
        </w:rPr>
        <w:instrText xml:space="preserve"> ADDIN ZOTERO_ITEM CSL_CITATION {"citationID":"KJCzx8hQ","properties":{"formattedCitation":"[84]","plainCitation":"[84]","noteIndex":0},"citationItems":[{"id":403,"uris":["http://zotero.org/users/8237658/items/L4H7EGIX"],"itemData":{"id":403,"type":"book","title":"Долгих, В. Т.  Иммунология : учебное пособие для вузов / В. Т. Долгих, А. Н. Золотов. — Москва : Издательство Юрайт, 2019. — 248 с. — (Высшее образование). — ISBN 978-5-534-09294-3. — Текст : электронный // Образовательная платформа Юрайт [сайт]. — URL: https://urait.ru/bcode/427581"}}],"schema":"https://github.com/citation-style-language/schema/raw/master/csl-citation.json"} </w:instrText>
      </w:r>
      <w:r w:rsidRPr="007E2F28">
        <w:rPr>
          <w:rFonts w:cs="Times New Roman"/>
          <w:bCs/>
          <w:sz w:val="24"/>
          <w:szCs w:val="24"/>
          <w:lang w:val="en-US"/>
        </w:rPr>
        <w:fldChar w:fldCharType="separate"/>
      </w:r>
      <w:r w:rsidRPr="007E2F28">
        <w:rPr>
          <w:rFonts w:cs="Times New Roman"/>
          <w:bCs/>
          <w:sz w:val="24"/>
          <w:szCs w:val="24"/>
        </w:rPr>
        <w:t>[84</w:t>
      </w:r>
      <w:r w:rsidR="00F81358">
        <w:rPr>
          <w:rFonts w:cs="Times New Roman"/>
          <w:bCs/>
          <w:sz w:val="24"/>
          <w:szCs w:val="24"/>
        </w:rPr>
        <w:t>,с. 248</w:t>
      </w:r>
      <w:r w:rsidRPr="007E2F28">
        <w:rPr>
          <w:rFonts w:cs="Times New Roman"/>
          <w:bCs/>
          <w:sz w:val="24"/>
          <w:szCs w:val="24"/>
        </w:rPr>
        <w:t>]</w:t>
      </w:r>
      <w:r w:rsidRPr="007E2F28">
        <w:rPr>
          <w:rFonts w:cs="Times New Roman"/>
          <w:bCs/>
          <w:sz w:val="24"/>
          <w:szCs w:val="24"/>
          <w:lang w:val="en-US"/>
        </w:rPr>
        <w:fldChar w:fldCharType="end"/>
      </w:r>
    </w:p>
    <w:p w14:paraId="4E133FC6" w14:textId="04AF25BF" w:rsidR="00EF13AB" w:rsidRPr="002B136D" w:rsidRDefault="00EF13AB" w:rsidP="00EF13AB">
      <w:pPr>
        <w:spacing w:after="0" w:line="240" w:lineRule="auto"/>
        <w:ind w:firstLine="567"/>
        <w:contextualSpacing/>
        <w:jc w:val="both"/>
        <w:rPr>
          <w:rFonts w:cs="Times New Roman"/>
          <w:szCs w:val="28"/>
        </w:rPr>
      </w:pPr>
      <w:r w:rsidRPr="002B136D">
        <w:rPr>
          <w:rFonts w:cs="Times New Roman"/>
          <w:szCs w:val="28"/>
        </w:rPr>
        <w:lastRenderedPageBreak/>
        <w:t xml:space="preserve">При </w:t>
      </w:r>
      <w:proofErr w:type="gramStart"/>
      <w:r w:rsidRPr="002B136D">
        <w:rPr>
          <w:rFonts w:cs="Times New Roman"/>
          <w:szCs w:val="28"/>
        </w:rPr>
        <w:t>активном</w:t>
      </w:r>
      <w:proofErr w:type="gramEnd"/>
      <w:r w:rsidRPr="002B136D">
        <w:rPr>
          <w:rFonts w:cs="Times New Roman"/>
          <w:szCs w:val="28"/>
        </w:rPr>
        <w:t xml:space="preserve"> ЭОП концентрация многих провоспалительных цитокинов в слезной жидкости в 2–5,3 раза превышает их уровень в плазме </w:t>
      </w:r>
      <w:r w:rsidRPr="002B136D">
        <w:rPr>
          <w:rFonts w:cs="Times New Roman"/>
          <w:szCs w:val="28"/>
        </w:rPr>
        <w:fldChar w:fldCharType="begin"/>
      </w:r>
      <w:r w:rsidRPr="002B136D">
        <w:rPr>
          <w:rFonts w:cs="Times New Roman"/>
          <w:szCs w:val="28"/>
        </w:rPr>
        <w:instrText xml:space="preserve"> ADDIN ZOTERO_ITEM CSL_CITATION {"citationID":"A7s4bK6H","properties":{"formattedCitation":"[62]","plainCitation":"[62]","noteIndex":0},"citationItems":[{"id":269,"uris":["http://zotero.org/users/8237658/items/J7TUHQPG"],"itemData":{"id":269,"type":"book","title":"Харинцев В.В., Серебрякова О.В., Серкин Д.М., и др. Роль некоторых про- и противовоспалительных цитокинов в течении эндокринной офтальмопатии. // Забайкальский медицинский вестник. – 2016. – №2. – С. 33-40. [Kharintsev VV, Serebryakova OV, Serkin DM, et al. The role of some proinflammatory and anti-inflammatory cytokines in the development of endocrine ophthalmopathy. Zabaykal’skiy meditsinskiy vestnik. 2016;(2):33-40. (In Russ.)]"}}],"schema":"https://github.com/citation-style-language/schema/raw/master/csl-citation.json"} </w:instrText>
      </w:r>
      <w:r w:rsidRPr="002B136D">
        <w:rPr>
          <w:rFonts w:cs="Times New Roman"/>
          <w:szCs w:val="28"/>
        </w:rPr>
        <w:fldChar w:fldCharType="separate"/>
      </w:r>
      <w:r w:rsidRPr="002B136D">
        <w:rPr>
          <w:rFonts w:cs="Times New Roman"/>
        </w:rPr>
        <w:t>[62</w:t>
      </w:r>
      <w:r w:rsidR="00F81358">
        <w:rPr>
          <w:rFonts w:cs="Times New Roman"/>
        </w:rPr>
        <w:t>,с. 33</w:t>
      </w:r>
      <w:r w:rsidRPr="002B136D">
        <w:rPr>
          <w:rFonts w:cs="Times New Roman"/>
        </w:rPr>
        <w:t>]</w:t>
      </w:r>
      <w:r w:rsidRPr="002B136D">
        <w:rPr>
          <w:rFonts w:cs="Times New Roman"/>
          <w:szCs w:val="28"/>
        </w:rPr>
        <w:fldChar w:fldCharType="end"/>
      </w:r>
      <w:r w:rsidRPr="002B136D">
        <w:rPr>
          <w:rFonts w:cs="Times New Roman"/>
          <w:szCs w:val="28"/>
        </w:rPr>
        <w:t>, подчеркивая локальный характер воспаления.</w:t>
      </w:r>
    </w:p>
    <w:p w14:paraId="60F85F67" w14:textId="4C322BFF" w:rsidR="00CB17F1" w:rsidRPr="002B136D" w:rsidRDefault="00CB17F1" w:rsidP="00EF13AB">
      <w:pPr>
        <w:spacing w:after="0" w:line="240" w:lineRule="auto"/>
        <w:ind w:firstLine="567"/>
        <w:contextualSpacing/>
        <w:jc w:val="both"/>
        <w:rPr>
          <w:rFonts w:cs="Times New Roman"/>
          <w:szCs w:val="28"/>
          <w:lang w:val="kk-KZ"/>
        </w:rPr>
      </w:pPr>
      <w:r w:rsidRPr="002B136D">
        <w:rPr>
          <w:rFonts w:cs="Times New Roman"/>
          <w:szCs w:val="28"/>
        </w:rPr>
        <w:t xml:space="preserve">Th-17 лимфоциты, идентифицированные в 2005 году, обнаружены в ретробульбарных структурах пациентов </w:t>
      </w:r>
      <w:proofErr w:type="gramStart"/>
      <w:r w:rsidRPr="002B136D">
        <w:rPr>
          <w:rFonts w:cs="Times New Roman"/>
          <w:szCs w:val="28"/>
        </w:rPr>
        <w:t>с</w:t>
      </w:r>
      <w:proofErr w:type="gramEnd"/>
      <w:r w:rsidRPr="002B136D">
        <w:rPr>
          <w:rFonts w:cs="Times New Roman"/>
          <w:szCs w:val="28"/>
        </w:rPr>
        <w:t xml:space="preserve"> эндокринной офтальмопатией (ЭОП). Эти клетки, отличимые от других CD4</w:t>
      </w:r>
      <w:r w:rsidRPr="002B136D">
        <w:rPr>
          <w:rFonts w:cs="Times New Roman"/>
          <w:szCs w:val="28"/>
          <w:vertAlign w:val="superscript"/>
        </w:rPr>
        <w:t>+</w:t>
      </w:r>
      <w:r w:rsidRPr="002B136D">
        <w:rPr>
          <w:rFonts w:cs="Times New Roman"/>
          <w:szCs w:val="28"/>
        </w:rPr>
        <w:t xml:space="preserve"> Т-лимфоцитов, характеризуются повышенной продукцией IL-17 и других провоспалительных медиаторов. Исследования Jiang M. показали, что IL-17 стимулирует пролиферацию орбитальных фибробластов всех подтипов, приводя к увеличению жировой ткани в орбите. Кроме того, IL-17 усиливает секрецию гликозаминогликанов фибробластами </w:t>
      </w:r>
      <w:r w:rsidRPr="002B136D">
        <w:rPr>
          <w:rFonts w:cs="Times New Roman"/>
          <w:szCs w:val="28"/>
        </w:rPr>
        <w:fldChar w:fldCharType="begin"/>
      </w:r>
      <w:r w:rsidR="004B40F7" w:rsidRPr="002B136D">
        <w:rPr>
          <w:rFonts w:cs="Times New Roman"/>
          <w:szCs w:val="28"/>
        </w:rPr>
        <w:instrText xml:space="preserve"> ADDIN ZOTERO_ITEM CSL_CITATION {"citationID":"wmOvyD1t","properties":{"formattedCitation":"[8]","plainCitation":"[8]","noteIndex":0},"citationItems":[{"id":576,"uris":["http://zotero.org/users/8237658/items/28NZE3MV"],"itemData":{"id":576,"type":"book","title":"Jiang M, Zhao J, Wang P, Yan S, Wang Y. Research progress in Th17 cells and the relevant cytokines in Graves' ophthalmopathy. Zhong Nan Da Xue Xue Bao Yi Xue Ban. 2022 Dec 28;47(12):1748-1753. English, Chinese. doi: 10.11817/j.issn.1672-7347.2022.220205. PMID: 36748387; PMCID: PMC10930278."}}],"schema":"https://github.com/citation-style-language/schema/raw/master/csl-citation.json"} </w:instrText>
      </w:r>
      <w:r w:rsidRPr="002B136D">
        <w:rPr>
          <w:rFonts w:cs="Times New Roman"/>
          <w:szCs w:val="28"/>
        </w:rPr>
        <w:fldChar w:fldCharType="separate"/>
      </w:r>
      <w:r w:rsidR="004B40F7" w:rsidRPr="002B136D">
        <w:rPr>
          <w:rFonts w:cs="Times New Roman"/>
        </w:rPr>
        <w:t>[8</w:t>
      </w:r>
      <w:r w:rsidR="00F81358">
        <w:rPr>
          <w:rFonts w:cs="Times New Roman"/>
        </w:rPr>
        <w:t>,р. 1748</w:t>
      </w:r>
      <w:r w:rsidR="004B40F7" w:rsidRPr="002B136D">
        <w:rPr>
          <w:rFonts w:cs="Times New Roman"/>
        </w:rPr>
        <w:t>]</w:t>
      </w:r>
      <w:r w:rsidRPr="002B136D">
        <w:rPr>
          <w:rFonts w:cs="Times New Roman"/>
          <w:szCs w:val="28"/>
        </w:rPr>
        <w:fldChar w:fldCharType="end"/>
      </w:r>
      <w:r w:rsidRPr="002B136D">
        <w:rPr>
          <w:rFonts w:cs="Times New Roman"/>
          <w:szCs w:val="28"/>
          <w:lang w:val="kk-KZ"/>
        </w:rPr>
        <w:t xml:space="preserve">, </w:t>
      </w:r>
      <w:r w:rsidRPr="002B136D">
        <w:rPr>
          <w:rFonts w:cs="Times New Roman"/>
          <w:szCs w:val="28"/>
        </w:rPr>
        <w:t xml:space="preserve">что также способствует патогенезу ЭОП. </w:t>
      </w:r>
    </w:p>
    <w:p w14:paraId="62AA393B" w14:textId="5B0FDC41" w:rsidR="005A3433" w:rsidRPr="002B136D" w:rsidRDefault="005A3433" w:rsidP="00EF13AB">
      <w:pPr>
        <w:spacing w:after="0" w:line="240" w:lineRule="auto"/>
        <w:ind w:firstLine="567"/>
        <w:contextualSpacing/>
        <w:jc w:val="both"/>
        <w:rPr>
          <w:rFonts w:cs="Times New Roman"/>
          <w:szCs w:val="28"/>
          <w:lang w:val="kk-KZ"/>
        </w:rPr>
      </w:pPr>
      <w:r w:rsidRPr="002B136D">
        <w:rPr>
          <w:rFonts w:cs="Times New Roman"/>
          <w:szCs w:val="28"/>
          <w:lang w:val="kk-KZ"/>
        </w:rPr>
        <w:t xml:space="preserve">Орбитальные фибробласты, компоненты тканей, окружающих глазницу, активно регулируют иммунные ответы, синтезируя цитокины, такие как IL-1, IL-6, IL-16, CXCL-10 и RANTES </w:t>
      </w:r>
      <w:r w:rsidRPr="002B136D">
        <w:rPr>
          <w:rFonts w:cs="Times New Roman"/>
          <w:szCs w:val="28"/>
        </w:rPr>
        <w:fldChar w:fldCharType="begin"/>
      </w:r>
      <w:r w:rsidR="00A6759A" w:rsidRPr="002B136D">
        <w:rPr>
          <w:rFonts w:cs="Times New Roman"/>
          <w:szCs w:val="28"/>
        </w:rPr>
        <w:instrText xml:space="preserve"> ADDIN ZOTERO_ITEM CSL_CITATION {"citationID":"tvdhIIW7","properties":{"unsorted":true,"formattedCitation":"[58]","plainCitation":"[58]","noteIndex":0},"citationItems":[{"id":604,"uris":["http://zotero.org/users/8237658/items/H87P6S2T"],"itemData":{"id":604,"type":"book","title":"Łacheta D, Miśkiewicz P, Głuszko A, Nowicka G, Struga M, Kantor I, Poślednik KB, Mirza S, Szczepański MJ. Immunological Aspects of Graves' Ophthalmopathy. Biomed Res Int. 2019 Nov 12;2019:7453260. doi: 10.1155/2019/7453260. PMID: 31781640; PMCID: PMC6875285."}}],"schema":"https://github.com/citation-style-language/schema/raw/master/csl-citation.json"} </w:instrText>
      </w:r>
      <w:r w:rsidRPr="002B136D">
        <w:rPr>
          <w:rFonts w:cs="Times New Roman"/>
          <w:szCs w:val="28"/>
        </w:rPr>
        <w:fldChar w:fldCharType="separate"/>
      </w:r>
      <w:r w:rsidR="00A6759A" w:rsidRPr="002B136D">
        <w:rPr>
          <w:rFonts w:cs="Times New Roman"/>
        </w:rPr>
        <w:t>[58</w:t>
      </w:r>
      <w:r w:rsidR="00F81358">
        <w:rPr>
          <w:rFonts w:cs="Times New Roman"/>
        </w:rPr>
        <w:t>,р. 745</w:t>
      </w:r>
      <w:r w:rsidR="00A6759A" w:rsidRPr="002B136D">
        <w:rPr>
          <w:rFonts w:cs="Times New Roman"/>
        </w:rPr>
        <w:t>]</w:t>
      </w:r>
      <w:r w:rsidRPr="002B136D">
        <w:rPr>
          <w:rFonts w:cs="Times New Roman"/>
          <w:szCs w:val="28"/>
          <w:lang w:val="kk-KZ"/>
        </w:rPr>
        <w:fldChar w:fldCharType="end"/>
      </w:r>
      <w:proofErr w:type="gramStart"/>
      <w:r w:rsidRPr="002B136D">
        <w:rPr>
          <w:rFonts w:cs="Times New Roman"/>
          <w:szCs w:val="28"/>
        </w:rPr>
        <w:t xml:space="preserve">. </w:t>
      </w:r>
      <w:r w:rsidRPr="002B136D">
        <w:rPr>
          <w:rFonts w:cs="Times New Roman"/>
          <w:szCs w:val="28"/>
          <w:lang w:val="kk-KZ"/>
        </w:rPr>
        <w:t>Эти цитокины не только опосредуют межклеточную коммуникацию в иммунной системе, но и воздействуют на сами фибробласты, подчеркивая их вовлеченность в иммунные процессы.</w:t>
      </w:r>
      <w:proofErr w:type="gramEnd"/>
    </w:p>
    <w:p w14:paraId="1BC5E257" w14:textId="6CE53AC1" w:rsidR="004722CC" w:rsidRPr="002B136D" w:rsidRDefault="005A3433" w:rsidP="00EF13AB">
      <w:pPr>
        <w:spacing w:after="0" w:line="240" w:lineRule="auto"/>
        <w:ind w:firstLine="567"/>
        <w:contextualSpacing/>
        <w:jc w:val="both"/>
        <w:rPr>
          <w:rFonts w:cs="Times New Roman"/>
          <w:szCs w:val="28"/>
          <w:lang w:val="kk-KZ"/>
        </w:rPr>
      </w:pPr>
      <w:r w:rsidRPr="002B136D">
        <w:rPr>
          <w:rFonts w:cs="Times New Roman"/>
          <w:szCs w:val="28"/>
          <w:lang w:val="kk-KZ"/>
        </w:rPr>
        <w:t>В частности, IL-16 и RANTES обладают хемоаттрактантными свойствами, привлекая Т-лимфоциты к очагу воспаления, что важно</w:t>
      </w:r>
      <w:r w:rsidR="00F008FB" w:rsidRPr="002B136D">
        <w:rPr>
          <w:rFonts w:cs="Times New Roman"/>
          <w:szCs w:val="28"/>
          <w:lang w:val="kk-KZ"/>
        </w:rPr>
        <w:t xml:space="preserve"> для развития иммунного ответа. </w:t>
      </w:r>
      <w:r w:rsidRPr="002B136D">
        <w:rPr>
          <w:rFonts w:cs="Times New Roman"/>
          <w:szCs w:val="28"/>
          <w:lang w:val="kk-KZ"/>
        </w:rPr>
        <w:t xml:space="preserve">Дифференцировка Th0-клеток в Th-17 лимфоциты требует присутствия IL-1 и IL-6. Поддержание IL-17-продуцирующей способности зрелых Th-17 клеток зависит от IL-23, который продуцируется макрофагами и дендритными клетками </w:t>
      </w:r>
      <w:r w:rsidR="00F008FB" w:rsidRPr="002B136D">
        <w:rPr>
          <w:rFonts w:cs="Times New Roman"/>
          <w:szCs w:val="28"/>
        </w:rPr>
        <w:fldChar w:fldCharType="begin"/>
      </w:r>
      <w:r w:rsidR="00A6759A" w:rsidRPr="002B136D">
        <w:rPr>
          <w:rFonts w:cs="Times New Roman"/>
          <w:szCs w:val="28"/>
        </w:rPr>
        <w:instrText xml:space="preserve"> ADDIN ZOTERO_ITEM CSL_CITATION {"citationID":"T8n5gO4u","properties":{"formattedCitation":"[85]","plainCitation":"[85]","noteIndex":0},"citationItems":[{"id":605,"uris":["http://zotero.org/users/8237658/items/V35N2JS5"],"itemData":{"id":605,"type":"book","title":"Fang S, Huang Y, Zhong S, Zhang Y, Liu X, Wang Y, Gu P, Zhou H, Fan X. IL-17A Promotes RANTES Expression, But Not IL-16, in Orbital Fibroblasts Via CD40-CD40L Combination in Thyroid-Associated Ophthalmopathy. Invest Ophthalmol Vis Sci. 2016 Nov 1;57(14):6123-6133. doi: 10.1167/iovs.16-20199. PMID: 27832278."}}],"schema":"https://github.com/citation-style-language/schema/raw/master/csl-citation.json"} </w:instrText>
      </w:r>
      <w:r w:rsidR="00F008FB" w:rsidRPr="002B136D">
        <w:rPr>
          <w:rFonts w:cs="Times New Roman"/>
          <w:szCs w:val="28"/>
        </w:rPr>
        <w:fldChar w:fldCharType="separate"/>
      </w:r>
      <w:r w:rsidR="00A6759A" w:rsidRPr="002B136D">
        <w:rPr>
          <w:rFonts w:cs="Times New Roman"/>
        </w:rPr>
        <w:t>[85]</w:t>
      </w:r>
      <w:r w:rsidR="00F008FB" w:rsidRPr="002B136D">
        <w:rPr>
          <w:rFonts w:cs="Times New Roman"/>
          <w:szCs w:val="28"/>
          <w:lang w:val="kk-KZ"/>
        </w:rPr>
        <w:fldChar w:fldCharType="end"/>
      </w:r>
      <w:r w:rsidR="00D7006C">
        <w:rPr>
          <w:rFonts w:cs="Times New Roman"/>
          <w:szCs w:val="28"/>
        </w:rPr>
        <w:t xml:space="preserve">. </w:t>
      </w:r>
      <w:r w:rsidRPr="002B136D">
        <w:rPr>
          <w:rFonts w:cs="Times New Roman"/>
          <w:szCs w:val="28"/>
          <w:lang w:val="kk-KZ"/>
        </w:rPr>
        <w:t>Это взаимодействие подчеркивает сложную регуляторную сеть, контролир</w:t>
      </w:r>
      <w:r w:rsidR="00F008FB" w:rsidRPr="002B136D">
        <w:rPr>
          <w:rFonts w:cs="Times New Roman"/>
          <w:szCs w:val="28"/>
          <w:lang w:val="kk-KZ"/>
        </w:rPr>
        <w:t xml:space="preserve">ующую развитие Th-17 лимфоцитов. </w:t>
      </w:r>
      <w:r w:rsidRPr="002B136D">
        <w:rPr>
          <w:rFonts w:cs="Times New Roman"/>
          <w:szCs w:val="28"/>
          <w:lang w:val="kk-KZ"/>
        </w:rPr>
        <w:t>Важно отметить, что IL-17 продуцируется не только Th-17 лимфоцитами, но и макрофагами, дендритными клетками и нейтрофилами, что указывает на его универсальную роль в воспалении.</w:t>
      </w:r>
      <w:r w:rsidR="00F008FB" w:rsidRPr="002B136D">
        <w:rPr>
          <w:rFonts w:cs="Times New Roman"/>
          <w:szCs w:val="28"/>
          <w:lang w:val="kk-KZ"/>
        </w:rPr>
        <w:t xml:space="preserve"> </w:t>
      </w:r>
      <w:r w:rsidR="004722CC" w:rsidRPr="002B136D">
        <w:rPr>
          <w:rFonts w:cs="Times New Roman"/>
          <w:szCs w:val="28"/>
        </w:rPr>
        <w:t>При этом в доступных научных базах можно найти и противоречивые данные, которые указывают на возможность иммунных клеток к захвату провоспалительного интерлейкина через эндоцитоз и к высвобождению его повторно для провоспалительного действия.</w:t>
      </w:r>
    </w:p>
    <w:p w14:paraId="33606762" w14:textId="77777777" w:rsidR="00875B6D" w:rsidRPr="002B136D" w:rsidRDefault="00875B6D" w:rsidP="00EF13AB">
      <w:pPr>
        <w:spacing w:after="0" w:line="240" w:lineRule="auto"/>
        <w:ind w:firstLine="567"/>
        <w:contextualSpacing/>
        <w:jc w:val="both"/>
        <w:rPr>
          <w:rFonts w:cs="Times New Roman"/>
          <w:szCs w:val="28"/>
        </w:rPr>
      </w:pPr>
      <w:r w:rsidRPr="002B136D">
        <w:rPr>
          <w:rFonts w:cs="Times New Roman"/>
          <w:szCs w:val="28"/>
        </w:rPr>
        <w:t>Семейство интерлейкина-17 (IL-17) включает шесть цитокинов: IL-17A, IL-17B, IL-17C, IL-17D, IL-17E и IL-17F. Размер каждого цитокина составляет от 20 до 30 кДа. Несмотря на принадлежность к одному семейству, они различаются по функциям и биологической активности.</w:t>
      </w:r>
    </w:p>
    <w:p w14:paraId="146AF0FF" w14:textId="5EF65D40" w:rsidR="00875B6D" w:rsidRPr="002B136D" w:rsidRDefault="00875B6D" w:rsidP="00EF13AB">
      <w:pPr>
        <w:spacing w:after="0" w:line="240" w:lineRule="auto"/>
        <w:ind w:firstLine="567"/>
        <w:contextualSpacing/>
        <w:jc w:val="both"/>
        <w:rPr>
          <w:rFonts w:cs="Times New Roman"/>
          <w:szCs w:val="28"/>
        </w:rPr>
      </w:pPr>
      <w:r w:rsidRPr="002B136D">
        <w:rPr>
          <w:rFonts w:cs="Times New Roman"/>
          <w:szCs w:val="28"/>
        </w:rPr>
        <w:t>Все цитокины IL-17 имеют определенное сходство с IL-17A (от 20% до 55%). Наибольшее сходство наблюдается между IL-17A и IL-17F. Цитокины этого семейства вырабатываются одними и теми же клетками, что говорит о согласованной регуляции и возможном взаимодействии в иммунных процессах</w:t>
      </w:r>
      <w:r w:rsidR="0073232C" w:rsidRPr="002B136D">
        <w:rPr>
          <w:rFonts w:cs="Times New Roman"/>
          <w:szCs w:val="28"/>
          <w:lang w:val="kk-KZ"/>
        </w:rPr>
        <w:t xml:space="preserve"> </w:t>
      </w:r>
      <w:r w:rsidR="0073232C"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{"citationID":"kRZol84O","properties":{"formattedCitation":"[86]","plainCitation":"[86]","noteIndex":0},"citationItems":[{"id":405,"uris":["http://zotero.org/users/8237658/items/JEGMHDJA"],"itemData":{"id":405,"type":"book","title":"О. С. Костарева, А. Г. Габдулхаков, И. А. Коляденко, М. Б. Гарбер, С. В. Тищенко Интерлейкин-17: функциональные и структурные особенности; использование в качестве терапевтической мишени. //Успехи биологической химии, т. 59, 2019, с. 393–418"}}],"schema":"https://github.com/citation-style-language/schema/raw/master/csl-citation.json"} </w:instrText>
      </w:r>
      <w:r w:rsidR="0073232C" w:rsidRPr="002B136D">
        <w:rPr>
          <w:rFonts w:cs="Times New Roman"/>
          <w:szCs w:val="28"/>
          <w:lang w:val="kk-KZ"/>
        </w:rPr>
        <w:fldChar w:fldCharType="separate"/>
      </w:r>
      <w:r w:rsidR="00A6759A" w:rsidRPr="002B136D">
        <w:rPr>
          <w:rFonts w:cs="Times New Roman"/>
        </w:rPr>
        <w:t>[86]</w:t>
      </w:r>
      <w:r w:rsidR="0073232C" w:rsidRPr="002B136D">
        <w:rPr>
          <w:rFonts w:cs="Times New Roman"/>
          <w:szCs w:val="28"/>
          <w:lang w:val="kk-KZ"/>
        </w:rPr>
        <w:fldChar w:fldCharType="end"/>
      </w:r>
      <w:r w:rsidRPr="002B136D">
        <w:rPr>
          <w:rFonts w:cs="Times New Roman"/>
          <w:szCs w:val="28"/>
        </w:rPr>
        <w:t>.</w:t>
      </w:r>
    </w:p>
    <w:p w14:paraId="65AC2AAB" w14:textId="77777777" w:rsidR="00875B6D" w:rsidRPr="002B136D" w:rsidRDefault="00875B6D" w:rsidP="00EF13AB">
      <w:pPr>
        <w:spacing w:after="0" w:line="240" w:lineRule="auto"/>
        <w:ind w:firstLine="567"/>
        <w:contextualSpacing/>
        <w:jc w:val="both"/>
        <w:rPr>
          <w:rFonts w:cs="Times New Roman"/>
          <w:szCs w:val="28"/>
        </w:rPr>
      </w:pPr>
      <w:r w:rsidRPr="002B136D">
        <w:rPr>
          <w:rFonts w:cs="Times New Roman"/>
          <w:szCs w:val="28"/>
        </w:rPr>
        <w:t>Важная особенность цитокинов IL-17 – наличие консервативного участка на C-конце. Этот участок содержит четыре остатка цистеина, которые важны для структуры белка. Эти цистеины образуют дисульфидные связи внутри молекулы, стабилизируя структуру цитокина и влияя на его функцию и взаимодействие с рецепторами.</w:t>
      </w:r>
    </w:p>
    <w:p w14:paraId="7FC67A15" w14:textId="7D0C3BD0" w:rsidR="0073232C" w:rsidRPr="002B136D" w:rsidRDefault="0073232C" w:rsidP="00EF13AB">
      <w:pPr>
        <w:spacing w:after="0" w:line="240" w:lineRule="auto"/>
        <w:ind w:firstLine="567"/>
        <w:contextualSpacing/>
        <w:jc w:val="both"/>
        <w:rPr>
          <w:rFonts w:cs="Times New Roman"/>
          <w:szCs w:val="28"/>
          <w:lang w:val="kk-KZ"/>
        </w:rPr>
      </w:pPr>
      <w:r w:rsidRPr="002B136D">
        <w:rPr>
          <w:rFonts w:cs="Times New Roman"/>
          <w:szCs w:val="28"/>
        </w:rPr>
        <w:lastRenderedPageBreak/>
        <w:t>IL-17A и IL-17F – наиболее изученные члены семейства, существующие в виде гомодимеров или гетеродимера IL-17A/F. Их функции схожи, но IL-17A считается наиболее активным, а гетеродимер обладает промежуточной активностью</w:t>
      </w:r>
      <w:r w:rsidR="00CF4AB7" w:rsidRPr="002B136D">
        <w:rPr>
          <w:rFonts w:cs="Times New Roman"/>
          <w:szCs w:val="28"/>
          <w:lang w:val="kk-KZ"/>
        </w:rPr>
        <w:t xml:space="preserve"> </w:t>
      </w:r>
      <w:r w:rsidR="00CF4AB7" w:rsidRPr="002B136D">
        <w:rPr>
          <w:rFonts w:cs="Times New Roman"/>
          <w:szCs w:val="28"/>
        </w:rPr>
        <w:fldChar w:fldCharType="begin"/>
      </w:r>
      <w:r w:rsidR="00A6759A" w:rsidRPr="002B136D">
        <w:rPr>
          <w:rFonts w:cs="Times New Roman"/>
          <w:szCs w:val="28"/>
        </w:rPr>
        <w:instrText xml:space="preserve"> ADDIN ZOTERO_ITEM CSL_CITATION {"citationID":"LinkGn2Z","properties":{"formattedCitation":"[86]","plainCitation":"[86]","noteIndex":0},"citationItems":[{"id":405,"uris":["http://zotero.org/users/8237658/items/JEGMHDJA"],"itemData":{"id":405,"type":"book","title":"О. С. Костарева, А. Г. Габдулхаков, И. А. Коляденко, М. Б. Гарбер, С. В. Тищенко Интерлейкин-17: функциональные и структурные особенности; использование в качестве терапевтической мишени. //Успехи биологической химии, т. 59, 2019, с. 393–418"}}],"schema":"https://github.com/citation-style-language/schema/raw/master/csl-citation.json"} </w:instrText>
      </w:r>
      <w:r w:rsidR="00CF4AB7" w:rsidRPr="002B136D">
        <w:rPr>
          <w:rFonts w:cs="Times New Roman"/>
          <w:szCs w:val="28"/>
        </w:rPr>
        <w:fldChar w:fldCharType="separate"/>
      </w:r>
      <w:r w:rsidR="00A6759A" w:rsidRPr="002B136D">
        <w:rPr>
          <w:rFonts w:cs="Times New Roman"/>
        </w:rPr>
        <w:t>[86</w:t>
      </w:r>
      <w:r w:rsidR="00F81358">
        <w:rPr>
          <w:rFonts w:cs="Times New Roman"/>
        </w:rPr>
        <w:t>,с. 393</w:t>
      </w:r>
      <w:r w:rsidR="00A6759A" w:rsidRPr="002B136D">
        <w:rPr>
          <w:rFonts w:cs="Times New Roman"/>
        </w:rPr>
        <w:t>]</w:t>
      </w:r>
      <w:r w:rsidR="00CF4AB7" w:rsidRPr="002B136D">
        <w:rPr>
          <w:rFonts w:cs="Times New Roman"/>
          <w:szCs w:val="28"/>
          <w:lang w:val="kk-KZ"/>
        </w:rPr>
        <w:fldChar w:fldCharType="end"/>
      </w:r>
      <w:r w:rsidR="00CF4AB7" w:rsidRPr="002B136D">
        <w:rPr>
          <w:rFonts w:cs="Times New Roman"/>
          <w:szCs w:val="28"/>
        </w:rPr>
        <w:t>.</w:t>
      </w:r>
      <w:r w:rsidRPr="002B136D">
        <w:rPr>
          <w:rFonts w:cs="Times New Roman"/>
          <w:szCs w:val="28"/>
        </w:rPr>
        <w:t xml:space="preserve"> Роль IL-17B, IL-17C и IL-17D в качестве цитокинов исследована недостаточно. IL-17E (IL-25), </w:t>
      </w:r>
      <w:proofErr w:type="gramStart"/>
      <w:r w:rsidRPr="002B136D">
        <w:rPr>
          <w:rFonts w:cs="Times New Roman"/>
          <w:szCs w:val="28"/>
        </w:rPr>
        <w:t>обладающий</w:t>
      </w:r>
      <w:proofErr w:type="gramEnd"/>
      <w:r w:rsidRPr="002B136D">
        <w:rPr>
          <w:rFonts w:cs="Times New Roman"/>
          <w:szCs w:val="28"/>
        </w:rPr>
        <w:t xml:space="preserve"> наименьшей гомологией с другими белками семейства, участвует в Th2-зависимом ответе при аллергических и паразитарных заболеваниях</w:t>
      </w:r>
      <w:r w:rsidR="00CF4AB7" w:rsidRPr="002B136D">
        <w:rPr>
          <w:rFonts w:cs="Times New Roman"/>
          <w:szCs w:val="28"/>
          <w:lang w:val="kk-KZ"/>
        </w:rPr>
        <w:t xml:space="preserve"> </w:t>
      </w:r>
      <w:r w:rsidR="00CF4AB7" w:rsidRPr="002B136D">
        <w:rPr>
          <w:rFonts w:cs="Times New Roman"/>
          <w:szCs w:val="28"/>
        </w:rPr>
        <w:fldChar w:fldCharType="begin"/>
      </w:r>
      <w:r w:rsidR="00A6759A" w:rsidRPr="002B136D">
        <w:rPr>
          <w:rFonts w:cs="Times New Roman"/>
          <w:szCs w:val="28"/>
        </w:rPr>
        <w:instrText xml:space="preserve"> ADDIN ZOTERO_ITEM CSL_CITATION {"citationID":"mbLkT216","properties":{"formattedCitation":"[87]","plainCitation":"[87]","noteIndex":0},"citationItems":[{"id":577,"uris":["http://zotero.org/users/8237658/items/L4FI46RL"],"itemData":{"id":577,"type":"book","title":"Du W, Du J, Zhou J, Shi GC, Wan HY, Tang W. [The mobilization effect of IL-25 on eosinophil progenitor cells in allergic asthma]. Zhonghua Jie He He Hu Xi Za Zhi. 2019 Jul 12;42(7):515-521. Chinese. doi: 10.3760/cma.j.issn.1001-0939.2019.07.012. PMID: 31365968."}}],"schema":"https://github.com/citation-style-language/schema/raw/master/csl-citation.json"} </w:instrText>
      </w:r>
      <w:r w:rsidR="00CF4AB7" w:rsidRPr="002B136D">
        <w:rPr>
          <w:rFonts w:cs="Times New Roman"/>
          <w:szCs w:val="28"/>
        </w:rPr>
        <w:fldChar w:fldCharType="separate"/>
      </w:r>
      <w:r w:rsidR="00A6759A" w:rsidRPr="002B136D">
        <w:rPr>
          <w:rFonts w:cs="Times New Roman"/>
        </w:rPr>
        <w:t>[87]</w:t>
      </w:r>
      <w:r w:rsidR="00CF4AB7" w:rsidRPr="002B136D">
        <w:rPr>
          <w:rFonts w:cs="Times New Roman"/>
          <w:szCs w:val="28"/>
          <w:lang w:val="kk-KZ"/>
        </w:rPr>
        <w:fldChar w:fldCharType="end"/>
      </w:r>
      <w:r w:rsidR="00CF4AB7" w:rsidRPr="002B136D">
        <w:rPr>
          <w:rFonts w:cs="Times New Roman"/>
          <w:szCs w:val="28"/>
        </w:rPr>
        <w:t>.</w:t>
      </w:r>
    </w:p>
    <w:p w14:paraId="73D9D428" w14:textId="06FFE27A" w:rsidR="00C36C7D" w:rsidRPr="002B136D" w:rsidRDefault="0073232C" w:rsidP="00EF13AB">
      <w:pPr>
        <w:spacing w:after="0" w:line="240" w:lineRule="auto"/>
        <w:ind w:firstLine="567"/>
        <w:contextualSpacing/>
        <w:jc w:val="both"/>
        <w:rPr>
          <w:szCs w:val="28"/>
        </w:rPr>
      </w:pPr>
      <w:r w:rsidRPr="002B136D">
        <w:rPr>
          <w:rFonts w:cs="Times New Roman"/>
          <w:szCs w:val="28"/>
        </w:rPr>
        <w:t>Взаимодействие IL-17A с рецептором вызывает конформационные изменения, позволяющие SEFIR домену рецептора контактировать с сигнальным белкомадаптером Act1 (CIKS)</w:t>
      </w:r>
      <w:r w:rsidR="00C36C7D" w:rsidRPr="002B136D">
        <w:rPr>
          <w:rFonts w:cs="Times New Roman"/>
          <w:szCs w:val="28"/>
        </w:rPr>
        <w:t xml:space="preserve"> </w:t>
      </w:r>
      <w:r w:rsidR="00C36C7D" w:rsidRPr="002B136D">
        <w:rPr>
          <w:rFonts w:cs="Times New Roman"/>
          <w:szCs w:val="28"/>
        </w:rPr>
        <w:fldChar w:fldCharType="begin"/>
      </w:r>
      <w:r w:rsidR="00A6759A" w:rsidRPr="002B136D">
        <w:rPr>
          <w:rFonts w:cs="Times New Roman"/>
          <w:szCs w:val="28"/>
        </w:rPr>
        <w:instrText xml:space="preserve"> ADDIN ZOTERO_ITEM CSL_CITATION {"citationID":"rrdWS2qJ","properties":{"formattedCitation":"[88]","plainCitation":"[88]","noteIndex":0},"citationItems":[{"id":578,"uris":["http://zotero.org/users/8237658/items/VNZN5CC3"],"itemData":{"id":578,"type":"book","title":"Yuan JM, Lu DN, Wang JJ, Xu Z, Li Y, Ren MH, Li JX, Gong DY, Wang J. [Effect and mechanism of Bovis Calculus on ulcerative colitis by inhibiting IL-17/IL-17RA/Act1 signaling pathway]. Zhongguo Zhong Yao Za Zhi. 2023 May;48(9):2500-2511. Chinese. doi: 10.19540/j.cnki.cjcmm.20230117.704. PMID: 37282879."}}],"schema":"https://github.com/citation-style-language/schema/raw/master/csl-citation.json"} </w:instrText>
      </w:r>
      <w:r w:rsidR="00C36C7D" w:rsidRPr="002B136D">
        <w:rPr>
          <w:rFonts w:cs="Times New Roman"/>
          <w:szCs w:val="28"/>
        </w:rPr>
        <w:fldChar w:fldCharType="separate"/>
      </w:r>
      <w:r w:rsidR="00A6759A" w:rsidRPr="002B136D">
        <w:rPr>
          <w:rFonts w:cs="Times New Roman"/>
        </w:rPr>
        <w:t>[88]</w:t>
      </w:r>
      <w:r w:rsidR="00C36C7D" w:rsidRPr="002B136D">
        <w:rPr>
          <w:rFonts w:cs="Times New Roman"/>
          <w:szCs w:val="28"/>
          <w:lang w:val="en-US"/>
        </w:rPr>
        <w:fldChar w:fldCharType="end"/>
      </w:r>
      <w:r w:rsidR="00C36C7D" w:rsidRPr="002B136D">
        <w:rPr>
          <w:rFonts w:cs="Times New Roman"/>
          <w:szCs w:val="28"/>
        </w:rPr>
        <w:t>.</w:t>
      </w:r>
      <w:r w:rsidRPr="002B136D">
        <w:rPr>
          <w:rFonts w:cs="Times New Roman"/>
          <w:szCs w:val="28"/>
        </w:rPr>
        <w:t xml:space="preserve"> Act1 </w:t>
      </w:r>
      <w:proofErr w:type="gramStart"/>
      <w:r w:rsidRPr="002B136D">
        <w:rPr>
          <w:rFonts w:cs="Times New Roman"/>
          <w:szCs w:val="28"/>
        </w:rPr>
        <w:t>необходим</w:t>
      </w:r>
      <w:proofErr w:type="gramEnd"/>
      <w:r w:rsidRPr="002B136D">
        <w:rPr>
          <w:rFonts w:cs="Times New Roman"/>
          <w:szCs w:val="28"/>
        </w:rPr>
        <w:t xml:space="preserve"> для всех известных сигнальных путей IL-17, включающих канонический и неканонический пути</w:t>
      </w:r>
      <w:r w:rsidR="00C36C7D" w:rsidRPr="002B136D">
        <w:rPr>
          <w:rFonts w:cs="Times New Roman"/>
          <w:szCs w:val="28"/>
        </w:rPr>
        <w:t xml:space="preserve"> </w:t>
      </w:r>
      <w:r w:rsidR="00EF13AB">
        <w:rPr>
          <w:rFonts w:cs="Times New Roman"/>
          <w:szCs w:val="28"/>
        </w:rPr>
        <w:t>(рисунок</w:t>
      </w:r>
      <w:r w:rsidR="00C36C7D" w:rsidRPr="002B136D">
        <w:rPr>
          <w:rFonts w:cs="Times New Roman"/>
          <w:szCs w:val="28"/>
          <w:lang w:val="kk-KZ"/>
        </w:rPr>
        <w:t>3</w:t>
      </w:r>
      <w:r w:rsidR="00C36C7D" w:rsidRPr="002B136D">
        <w:rPr>
          <w:rFonts w:cs="Times New Roman"/>
          <w:szCs w:val="28"/>
        </w:rPr>
        <w:t>)</w:t>
      </w:r>
      <w:r w:rsidRPr="002B136D">
        <w:rPr>
          <w:rFonts w:cs="Times New Roman"/>
          <w:szCs w:val="28"/>
        </w:rPr>
        <w:t xml:space="preserve">. </w:t>
      </w:r>
      <w:r w:rsidR="00C36C7D" w:rsidRPr="002B136D">
        <w:rPr>
          <w:szCs w:val="28"/>
        </w:rPr>
        <w:t xml:space="preserve">Канонический сигнальный путь, или классический путь, активирует транскрипцию IL-17A-зависимых генов, критически важных для воспаления и защиты от инфекций. </w:t>
      </w:r>
      <w:proofErr w:type="gramStart"/>
      <w:r w:rsidR="00C36C7D" w:rsidRPr="002B136D">
        <w:rPr>
          <w:szCs w:val="28"/>
        </w:rPr>
        <w:t>Этот путь использует E3-лигазную активность белка Act1 для Lys63-убиквитинирования TRAF6.Это убиквитинирование активирует сигнальные каскады, включая транскрипционный фактор NF-κβ и MAPK-пути (ERK, p38, JNK), а также факторы транскрипции семейства C/EBPs</w:t>
      </w:r>
      <w:r w:rsidR="00C36C7D" w:rsidRPr="002B136D">
        <w:rPr>
          <w:szCs w:val="28"/>
          <w:lang w:val="kk-KZ"/>
        </w:rPr>
        <w:t xml:space="preserve"> </w:t>
      </w:r>
      <w:proofErr w:type="gramEnd"/>
      <w:r w:rsidR="00C36C7D" w:rsidRPr="002B136D">
        <w:rPr>
          <w:szCs w:val="28"/>
        </w:rPr>
        <w:fldChar w:fldCharType="begin"/>
      </w:r>
      <w:r w:rsidR="00A6759A" w:rsidRPr="002B136D">
        <w:rPr>
          <w:szCs w:val="28"/>
        </w:rPr>
        <w:instrText xml:space="preserve"> ADDIN ZOTERO_ITEM CSL_CITATION {"citationID":"ONRBcEwz","properties":{"formattedCitation":"[89\\uc0\\u8211{}91]","plainCitation":"[89–91]","noteIndex":0},"citationItems":[{"id":358,"uris":["http://zotero.org/users/8237658/items/52VRV376"],"itemData":{"id":358,"type":"book","title":"Yao, Z., Fanslow, W.C., Seldin, M.F., Rousseau, A.-M., Painter, S.L., Comeau, M.R., Cohen, J.I., and Spriggs, M.K. (1995) Herpesvirus Saimiri encodes a new cytokine, IL-17, which binds to a novel cytokine receptor. Immunity, 3, 811–821."},"label":"page"},{"id":357,"uris":["http://zotero.org/users/8237658/items/A5YWVV9W"],"itemData":{"id":357,"type":"book","title":"Ruddy, M.J., Wong, G.C., Liu, X.K., Yamamoto, H., Kasayama, S., Kirkwood, K.L., and Gaffen, S.L. (2004) Functional cooperation between interleukin-17 and tumor necrosis factor-alpha is mediated by CCAAT/enhancer-binding protein family members. J. Biol. Chem., 279, 2559–2567."},"label":"page"},{"id":610,"uris":["http://zotero.org/users/8237658/items/QDWJ6AAK"],"itemData":{"id":610,"type":"book","title":"Monin L, Gaffen SL. Interleukin 17 Family Cytokines: Signaling Mechanisms, Biological Activities, and Therapeutic Implications. Cold Spring Harb Perspect Biol. 2018 Apr 2;10(4):a028522. doi: 10.1101/cshperspect.a028522. PMID: 28620097; PMCID: PMC5732092."},"label":"page"}],"schema":"https://github.com/citation-style-language/schema/raw/master/csl-citation.json"} </w:instrText>
      </w:r>
      <w:r w:rsidR="00C36C7D" w:rsidRPr="002B136D">
        <w:rPr>
          <w:szCs w:val="28"/>
        </w:rPr>
        <w:fldChar w:fldCharType="separate"/>
      </w:r>
      <w:r w:rsidR="00A6759A" w:rsidRPr="002B136D">
        <w:rPr>
          <w:rFonts w:cs="Times New Roman"/>
          <w:szCs w:val="24"/>
        </w:rPr>
        <w:t>[89–91]</w:t>
      </w:r>
      <w:r w:rsidR="00C36C7D" w:rsidRPr="002B136D">
        <w:rPr>
          <w:szCs w:val="28"/>
          <w:lang w:val="kk-KZ"/>
        </w:rPr>
        <w:fldChar w:fldCharType="end"/>
      </w:r>
      <w:proofErr w:type="gramStart"/>
      <w:r w:rsidR="00C36C7D" w:rsidRPr="002B136D">
        <w:rPr>
          <w:szCs w:val="28"/>
        </w:rPr>
        <w:t>.</w:t>
      </w:r>
      <w:r w:rsidR="00C36C7D" w:rsidRPr="002B136D">
        <w:rPr>
          <w:szCs w:val="28"/>
          <w:lang w:val="kk-KZ"/>
        </w:rPr>
        <w:t xml:space="preserve"> </w:t>
      </w:r>
      <w:r w:rsidR="00C36C7D" w:rsidRPr="002B136D">
        <w:rPr>
          <w:szCs w:val="28"/>
        </w:rPr>
        <w:t>Все эти факторы напрямую регулируют экспрессию генов, участвующих в иммунном ответе и воспалении, связываясь с ДНК и контролируя транскрипцию.</w:t>
      </w:r>
      <w:proofErr w:type="gramEnd"/>
    </w:p>
    <w:p w14:paraId="1FBD1CE6" w14:textId="48B0BDBA" w:rsidR="00E07C2D" w:rsidRPr="002B136D" w:rsidRDefault="00E07C2D" w:rsidP="00EF13AB">
      <w:pPr>
        <w:spacing w:after="0" w:line="240" w:lineRule="auto"/>
        <w:ind w:firstLine="567"/>
        <w:contextualSpacing/>
        <w:jc w:val="both"/>
        <w:rPr>
          <w:szCs w:val="28"/>
        </w:rPr>
      </w:pPr>
      <w:r w:rsidRPr="002B136D">
        <w:rPr>
          <w:rFonts w:cs="Times New Roman"/>
          <w:szCs w:val="28"/>
        </w:rPr>
        <w:t xml:space="preserve">Липокалин 2, </w:t>
      </w:r>
      <w:proofErr w:type="gramStart"/>
      <w:r w:rsidRPr="002B136D">
        <w:rPr>
          <w:rFonts w:cs="Times New Roman"/>
          <w:szCs w:val="28"/>
        </w:rPr>
        <w:t>ген</w:t>
      </w:r>
      <w:proofErr w:type="gramEnd"/>
      <w:r w:rsidRPr="002B136D">
        <w:rPr>
          <w:rFonts w:cs="Times New Roman"/>
          <w:szCs w:val="28"/>
        </w:rPr>
        <w:t xml:space="preserve"> которого является IL-17A-зависимым </w:t>
      </w:r>
      <w:r w:rsidRPr="002B136D">
        <w:rPr>
          <w:rFonts w:cs="Times New Roman"/>
          <w:szCs w:val="28"/>
        </w:rPr>
        <w:fldChar w:fldCharType="begin"/>
      </w:r>
      <w:r w:rsidR="00A6759A" w:rsidRPr="002B136D">
        <w:rPr>
          <w:rFonts w:cs="Times New Roman"/>
          <w:szCs w:val="28"/>
        </w:rPr>
        <w:instrText xml:space="preserve"> ADDIN ZOTERO_ITEM CSL_CITATION {"citationID":"gy7a7es5","properties":{"formattedCitation":"[92]","plainCitation":"[92]","noteIndex":0},"citationItems":[{"id":611,"uris":["http://zotero.org/users/8237658/items/788Q7Z3U"],"itemData":{"id":611,"type":"book","title":"Huang X, Slavkovic S, Song E, Botta A, Mehrazma B, Lento C, Johnson PE, Sweeney G, Wilson DJ. A Unique Conformational Distortion Mechanism Drives Lipocalin 2 Binding to Bacterial Siderophores. ACS Chem Biol. 2020 Jan 17;15(1):234-242. doi: 10.1021/acschembio.9b00820. Epub 2019 Oct 28. PMID: 31613081."}}],"schema":"https://github.com/citation-style-language/schema/raw/master/csl-citation.json"} </w:instrText>
      </w:r>
      <w:r w:rsidRPr="002B136D">
        <w:rPr>
          <w:rFonts w:cs="Times New Roman"/>
          <w:szCs w:val="28"/>
        </w:rPr>
        <w:fldChar w:fldCharType="separate"/>
      </w:r>
      <w:r w:rsidR="00A6759A" w:rsidRPr="002B136D">
        <w:rPr>
          <w:rFonts w:cs="Times New Roman"/>
        </w:rPr>
        <w:t>[92]</w:t>
      </w:r>
      <w:r w:rsidRPr="002B136D">
        <w:rPr>
          <w:rFonts w:cs="Times New Roman"/>
          <w:szCs w:val="28"/>
        </w:rPr>
        <w:fldChar w:fldCharType="end"/>
      </w:r>
      <w:r w:rsidRPr="002B136D">
        <w:rPr>
          <w:rFonts w:cs="Times New Roman"/>
          <w:szCs w:val="28"/>
        </w:rPr>
        <w:t>, представляет собой небольшой секретируемый белок острой фазы воспаления. Изначально обнаруженный в тканях печени, где его индукция происходит под действием TNFα, липокалин 2 играет важную роль в защите от бактериальных инфекций, ограничивая доступ патогенов к железу, необходимому для их выживания</w:t>
      </w:r>
      <w:proofErr w:type="gramStart"/>
      <w:r w:rsidRPr="002B136D">
        <w:rPr>
          <w:rFonts w:cs="Times New Roman"/>
          <w:szCs w:val="28"/>
        </w:rPr>
        <w:t>.Л</w:t>
      </w:r>
      <w:proofErr w:type="gramEnd"/>
      <w:r w:rsidRPr="002B136D">
        <w:rPr>
          <w:rFonts w:cs="Times New Roman"/>
          <w:szCs w:val="28"/>
        </w:rPr>
        <w:t xml:space="preserve">ипокалин 2 связывается с катехолатными сидерофорами, лишая бактерии (например, E. coli) железа и защищая слизистую оболочку от бактериальной инвазии </w:t>
      </w:r>
      <w:r w:rsidR="0031614B" w:rsidRPr="002B136D">
        <w:rPr>
          <w:rFonts w:cs="Times New Roman"/>
          <w:szCs w:val="28"/>
        </w:rPr>
        <w:fldChar w:fldCharType="begin"/>
      </w:r>
      <w:r w:rsidR="00A6759A" w:rsidRPr="002B136D">
        <w:rPr>
          <w:rFonts w:cs="Times New Roman"/>
          <w:szCs w:val="28"/>
        </w:rPr>
        <w:instrText xml:space="preserve"> ADDIN ZOTERO_ITEM CSL_CITATION {"citationID":"jj0GCfbk","properties":{"formattedCitation":"[93,94]","plainCitation":"[93,94]","noteIndex":0},"citationItems":[{"id":613,"uris":["http://zotero.org/users/8237658/items/ZQNFTM73"],"itemData":{"id":613,"type":"book","title":"Chiricozzi A, Suárez-Fariñas M, Fuentes-Duculan J, Cueto I, Li K, Tian S, Brodmerkel C, Krueger JG. Increased expression of interleukin-17 pathway genes in nonlesional skin of moderate-to-severe psoriasis vulgaris. Br J Dermatol. 2016 Jan;174(1):136-45. doi: 10.1111/bjd.14034. Epub 2015 Nov 11. PMID: 26189551; PMCID: PMC4720589."},"label":"page"},{"id":624,"uris":["http://zotero.org/users/8237658/items/LMIQFUNV"],"itemData":{"id":624,"type":"book","title":"Guo BX, Wang QQ, Li JH, Gan ZS, Zhang XF, Wang YZ, Du HH. Lipocalin 2 regulates intestine bacterial survival by interplaying with siderophore in a weaned piglet model of Escherichia coli infection. Oncotarget. 2017 Jun 16;8(39):65386-65396. doi: 10.18632/oncotarget.18528. PMID: 29029438; PMCID: PMC5630338."},"label":"page"}],"schema":"https://github.com/citation-style-language/schema/raw/master/csl-citation.json"} </w:instrText>
      </w:r>
      <w:r w:rsidR="0031614B" w:rsidRPr="002B136D">
        <w:rPr>
          <w:rFonts w:cs="Times New Roman"/>
          <w:szCs w:val="28"/>
        </w:rPr>
        <w:fldChar w:fldCharType="separate"/>
      </w:r>
      <w:r w:rsidR="00A6759A" w:rsidRPr="002B136D">
        <w:rPr>
          <w:rFonts w:cs="Times New Roman"/>
        </w:rPr>
        <w:t>[93,94]</w:t>
      </w:r>
      <w:r w:rsidR="0031614B" w:rsidRPr="002B136D">
        <w:rPr>
          <w:rFonts w:cs="Times New Roman"/>
          <w:szCs w:val="28"/>
        </w:rPr>
        <w:fldChar w:fldCharType="end"/>
      </w:r>
      <w:r w:rsidR="006A2E3A" w:rsidRPr="002B136D">
        <w:rPr>
          <w:rFonts w:cs="Times New Roman"/>
          <w:szCs w:val="28"/>
        </w:rPr>
        <w:t xml:space="preserve">. IL-17А активирует транскрипцию гена липокалина 2. </w:t>
      </w:r>
      <w:r w:rsidRPr="002B136D">
        <w:rPr>
          <w:szCs w:val="28"/>
        </w:rPr>
        <w:t>Этот белок, обнаруженный в нейтрофилах пациентов с хроническим риносинуситом, служит маркером бактериальной инфекции, отличающим ее от аллергии</w:t>
      </w:r>
      <w:r w:rsidRPr="002B136D">
        <w:rPr>
          <w:szCs w:val="28"/>
          <w:lang w:val="kk-KZ"/>
        </w:rPr>
        <w:t xml:space="preserve"> </w:t>
      </w:r>
      <w:r w:rsidRPr="002B136D">
        <w:rPr>
          <w:szCs w:val="28"/>
          <w:lang w:val="kk-KZ"/>
        </w:rPr>
        <w:fldChar w:fldCharType="begin"/>
      </w:r>
      <w:r w:rsidR="00A6759A" w:rsidRPr="002B136D">
        <w:rPr>
          <w:szCs w:val="28"/>
          <w:lang w:val="kk-KZ"/>
        </w:rPr>
        <w:instrText xml:space="preserve"> ADDIN ZOTERO_ITEM CSL_CITATION {"citationID":"RFaFxggT","properties":{"formattedCitation":"[95]","plainCitation":"[95]","noteIndex":0},"citationItems":[{"id":623,"uris":["http://zotero.org/users/8237658/items/HKRAJJI6"],"itemData":{"id":623,"type":"book","title":"Zhang C, Wang H, Hu L, Zhang Q, Chen J, Shi L, Song X, Liu J, Xue K, Wang J, Wang D, Sun X. Lipocalin-2 promotes neutrophilic inflammation in nasal polyps and its value as biomarker. Allergol Int. 2024 Jan;73(1):115-125. doi: 10.1016/j.alit.2023.07.004. Epub 2023 Aug 9. PMID: 37567832."}}],"schema":"https://github.com/citation-style-language/schema/raw/master/csl-citation.json"} </w:instrText>
      </w:r>
      <w:r w:rsidRPr="002B136D">
        <w:rPr>
          <w:szCs w:val="28"/>
          <w:lang w:val="kk-KZ"/>
        </w:rPr>
        <w:fldChar w:fldCharType="separate"/>
      </w:r>
      <w:r w:rsidR="00A6759A" w:rsidRPr="002B136D">
        <w:rPr>
          <w:rFonts w:cs="Times New Roman"/>
        </w:rPr>
        <w:t>[95]</w:t>
      </w:r>
      <w:r w:rsidRPr="002B136D">
        <w:rPr>
          <w:szCs w:val="28"/>
          <w:lang w:val="kk-KZ"/>
        </w:rPr>
        <w:fldChar w:fldCharType="end"/>
      </w:r>
      <w:r w:rsidRPr="002B136D">
        <w:rPr>
          <w:szCs w:val="28"/>
        </w:rPr>
        <w:t>.</w:t>
      </w:r>
    </w:p>
    <w:p w14:paraId="7004A0B6" w14:textId="58C41BEE" w:rsidR="00D00501" w:rsidRPr="002B136D" w:rsidRDefault="006A2E3A" w:rsidP="00EF13AB">
      <w:pPr>
        <w:spacing w:after="0" w:line="240" w:lineRule="auto"/>
        <w:ind w:firstLine="567"/>
        <w:contextualSpacing/>
        <w:jc w:val="both"/>
        <w:rPr>
          <w:rFonts w:cs="Times New Roman"/>
          <w:szCs w:val="28"/>
          <w:lang w:val="kk-KZ"/>
        </w:rPr>
      </w:pPr>
      <w:r w:rsidRPr="002B136D">
        <w:rPr>
          <w:rFonts w:cs="Times New Roman"/>
          <w:szCs w:val="28"/>
        </w:rPr>
        <w:t>Известно, что IL-17А часто действует совместно с TNFα. Синергетическое действие IL-17А и TNFα приводит к повышению уровня синтеза белка Shnurri 3 (Shn3). У мышей, лишен</w:t>
      </w:r>
      <w:r w:rsidR="00522A58" w:rsidRPr="002B136D">
        <w:rPr>
          <w:rFonts w:cs="Times New Roman"/>
          <w:szCs w:val="28"/>
        </w:rPr>
        <w:t>ных гена белка Shn3, наблюдалось</w:t>
      </w:r>
      <w:r w:rsidRPr="002B136D">
        <w:rPr>
          <w:rFonts w:cs="Times New Roman"/>
          <w:szCs w:val="28"/>
        </w:rPr>
        <w:t xml:space="preserve"> увеличение костной массы за счет активации остеобластов и снижения количества остеокластов </w:t>
      </w:r>
      <w:r w:rsidR="0031614B" w:rsidRPr="002B136D">
        <w:rPr>
          <w:rFonts w:cs="Times New Roman"/>
          <w:szCs w:val="28"/>
        </w:rPr>
        <w:fldChar w:fldCharType="begin"/>
      </w:r>
      <w:r w:rsidR="00A6759A" w:rsidRPr="002B136D">
        <w:rPr>
          <w:rFonts w:cs="Times New Roman"/>
          <w:szCs w:val="28"/>
        </w:rPr>
        <w:instrText xml:space="preserve"> ADDIN ZOTERO_ITEM CSL_CITATION {"citationID":"xOW54LqH","properties":{"formattedCitation":"[96]","plainCitation":"[96]","noteIndex":0},"citationItems":[{"id":615,"uris":["http://zotero.org/users/8237658/items/2QT6DT62"],"itemData":{"id":615,"type":"book","title":"Yallowitz AR, Shim JH, Xu R, Greenblatt MB. An angiogenic approach to osteoanabolic therapy targeting the SHN3-SLIT3 pathway. Bone. 2023 Jul;172:116761. doi: 10.1016/j.bone.2023.116761. Epub 2023 Apr 6. PMID: 37030497; PMCID: PMC10198948."}}],"schema":"https://github.com/citation-style-language/schema/raw/master/csl-citation.json"} </w:instrText>
      </w:r>
      <w:r w:rsidR="0031614B" w:rsidRPr="002B136D">
        <w:rPr>
          <w:rFonts w:cs="Times New Roman"/>
          <w:szCs w:val="28"/>
        </w:rPr>
        <w:fldChar w:fldCharType="separate"/>
      </w:r>
      <w:r w:rsidR="00A6759A" w:rsidRPr="002B136D">
        <w:rPr>
          <w:rFonts w:cs="Times New Roman"/>
        </w:rPr>
        <w:t>[96]</w:t>
      </w:r>
      <w:r w:rsidR="0031614B" w:rsidRPr="002B136D">
        <w:rPr>
          <w:rFonts w:cs="Times New Roman"/>
          <w:szCs w:val="28"/>
        </w:rPr>
        <w:fldChar w:fldCharType="end"/>
      </w:r>
      <w:r w:rsidRPr="002B136D">
        <w:rPr>
          <w:rFonts w:cs="Times New Roman"/>
          <w:szCs w:val="28"/>
        </w:rPr>
        <w:t>.</w:t>
      </w:r>
      <w:r w:rsidR="000760D8" w:rsidRPr="002B136D">
        <w:rPr>
          <w:rFonts w:cs="Times New Roman"/>
          <w:szCs w:val="28"/>
        </w:rPr>
        <w:t xml:space="preserve"> In vivo культивирование фибробластоподобных синовиоцитов выявило синергическое усиление экспрессии Schnurri-3 под действием ИЛ17 и ТНФ, что приводит к усилению костных изменений при деструктивном артрите</w:t>
      </w:r>
      <w:r w:rsidR="00B60ACD">
        <w:rPr>
          <w:rFonts w:cs="Times New Roman"/>
          <w:szCs w:val="28"/>
        </w:rPr>
        <w:t xml:space="preserve"> (рисунок 3)</w:t>
      </w:r>
      <w:r w:rsidR="000760D8" w:rsidRPr="002B136D">
        <w:rPr>
          <w:rFonts w:cs="Times New Roman"/>
          <w:szCs w:val="28"/>
        </w:rPr>
        <w:t xml:space="preserve"> </w:t>
      </w:r>
      <w:r w:rsidR="0031614B" w:rsidRPr="002B136D">
        <w:rPr>
          <w:rFonts w:cs="Times New Roman"/>
          <w:szCs w:val="28"/>
        </w:rPr>
        <w:fldChar w:fldCharType="begin"/>
      </w:r>
      <w:r w:rsidR="00A6759A" w:rsidRPr="002B136D">
        <w:rPr>
          <w:rFonts w:cs="Times New Roman"/>
          <w:szCs w:val="28"/>
        </w:rPr>
        <w:instrText xml:space="preserve"> ADDIN ZOTERO_ITEM CSL_CITATION {"citationID":"RWOe1h67","properties":{"formattedCitation":"[97]","plainCitation":"[97]","noteIndex":0},"citationItems":[{"id":614,"uris":["http://zotero.org/users/8237658/items/6FMZVBBM"],"itemData":{"id":614,"type":"book","title":"Lavocat F, Osta B, Miossec P. Increased sensitivity of rheumatoid synoviocytes to Schnurri-3 expression in TNF-α and IL-17A induced osteoblastic differentiation. Bone. 2016 Jun;87:89-96. doi: 10.1016/j.bone.2016.04.008. Epub 2016 Apr 9. PMID: 27072520."}}],"schema":"https://github.com/citation-style-language/schema/raw/master/csl-citation.json"} </w:instrText>
      </w:r>
      <w:r w:rsidR="0031614B" w:rsidRPr="002B136D">
        <w:rPr>
          <w:rFonts w:cs="Times New Roman"/>
          <w:szCs w:val="28"/>
        </w:rPr>
        <w:fldChar w:fldCharType="separate"/>
      </w:r>
      <w:r w:rsidR="00A6759A" w:rsidRPr="002B136D">
        <w:rPr>
          <w:rFonts w:cs="Times New Roman"/>
        </w:rPr>
        <w:t>[97]</w:t>
      </w:r>
      <w:r w:rsidR="0031614B" w:rsidRPr="002B136D">
        <w:rPr>
          <w:rFonts w:cs="Times New Roman"/>
          <w:szCs w:val="28"/>
        </w:rPr>
        <w:fldChar w:fldCharType="end"/>
      </w:r>
      <w:r w:rsidRPr="002B136D">
        <w:rPr>
          <w:rFonts w:cs="Times New Roman"/>
          <w:szCs w:val="28"/>
        </w:rPr>
        <w:t>.</w:t>
      </w:r>
    </w:p>
    <w:p w14:paraId="055EB199" w14:textId="77777777" w:rsidR="005E7DE7" w:rsidRPr="002B136D" w:rsidRDefault="005E7DE7" w:rsidP="009327F2">
      <w:pPr>
        <w:spacing w:after="0" w:line="240" w:lineRule="auto"/>
        <w:contextualSpacing/>
        <w:jc w:val="center"/>
        <w:rPr>
          <w:rFonts w:cs="Times New Roman"/>
          <w:b/>
          <w:szCs w:val="28"/>
        </w:rPr>
      </w:pPr>
    </w:p>
    <w:p w14:paraId="77FB009F" w14:textId="26BC12F8" w:rsidR="00EF13AB" w:rsidRDefault="003D3B42" w:rsidP="00EF13AB">
      <w:pPr>
        <w:spacing w:after="0" w:line="360" w:lineRule="auto"/>
        <w:jc w:val="center"/>
        <w:rPr>
          <w:rFonts w:cs="Times New Roman"/>
          <w:szCs w:val="28"/>
        </w:rPr>
      </w:pPr>
      <w:r w:rsidRPr="002B136D">
        <w:rPr>
          <w:rFonts w:cs="Times New Roman"/>
          <w:noProof/>
          <w:szCs w:val="28"/>
          <w:lang w:eastAsia="ru-RU"/>
        </w:rPr>
        <w:lastRenderedPageBreak/>
        <w:drawing>
          <wp:inline distT="0" distB="0" distL="0" distR="0" wp14:anchorId="3EF345C5" wp14:editId="43A18DFD">
            <wp:extent cx="3566160" cy="3120389"/>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6470" cy="3120661"/>
                    </a:xfrm>
                    <a:prstGeom prst="rect">
                      <a:avLst/>
                    </a:prstGeom>
                  </pic:spPr>
                </pic:pic>
              </a:graphicData>
            </a:graphic>
          </wp:inline>
        </w:drawing>
      </w:r>
    </w:p>
    <w:p w14:paraId="1715BA47" w14:textId="77777777" w:rsidR="00EF13AB" w:rsidRDefault="00EF13AB" w:rsidP="00EF13AB">
      <w:pPr>
        <w:spacing w:after="0" w:line="240" w:lineRule="auto"/>
        <w:contextualSpacing/>
        <w:jc w:val="center"/>
        <w:rPr>
          <w:rFonts w:cs="Times New Roman"/>
          <w:bCs/>
          <w:szCs w:val="28"/>
        </w:rPr>
      </w:pPr>
    </w:p>
    <w:p w14:paraId="5D0D2902" w14:textId="77777777" w:rsidR="00EF13AB" w:rsidRDefault="00EF13AB" w:rsidP="00EF13AB">
      <w:pPr>
        <w:spacing w:after="0" w:line="240" w:lineRule="auto"/>
        <w:contextualSpacing/>
        <w:jc w:val="center"/>
        <w:rPr>
          <w:rFonts w:cs="Times New Roman"/>
          <w:bCs/>
          <w:szCs w:val="28"/>
        </w:rPr>
      </w:pPr>
      <w:r w:rsidRPr="00EF13AB">
        <w:rPr>
          <w:rFonts w:cs="Times New Roman"/>
          <w:bCs/>
          <w:szCs w:val="28"/>
        </w:rPr>
        <w:t xml:space="preserve">Рисунок 3 - Семейство </w:t>
      </w:r>
      <w:r w:rsidRPr="00EF13AB">
        <w:rPr>
          <w:rFonts w:cs="Times New Roman"/>
          <w:bCs/>
          <w:szCs w:val="28"/>
          <w:lang w:val="en-US"/>
        </w:rPr>
        <w:t>IL</w:t>
      </w:r>
      <w:r w:rsidRPr="00EF13AB">
        <w:rPr>
          <w:rFonts w:cs="Times New Roman"/>
          <w:bCs/>
          <w:szCs w:val="28"/>
        </w:rPr>
        <w:t xml:space="preserve">-17 и сигнальный путь действия </w:t>
      </w:r>
    </w:p>
    <w:p w14:paraId="3F9650C8" w14:textId="3797FE8D" w:rsidR="00EF13AB" w:rsidRPr="00EF13AB" w:rsidRDefault="00EF13AB" w:rsidP="00EF13AB">
      <w:pPr>
        <w:spacing w:after="0" w:line="240" w:lineRule="auto"/>
        <w:contextualSpacing/>
        <w:jc w:val="center"/>
        <w:rPr>
          <w:rFonts w:cs="Times New Roman"/>
          <w:bCs/>
          <w:szCs w:val="28"/>
          <w:lang w:val="kk-KZ"/>
        </w:rPr>
      </w:pPr>
      <w:r w:rsidRPr="00EF13AB">
        <w:rPr>
          <w:rFonts w:cs="Times New Roman"/>
          <w:bCs/>
          <w:szCs w:val="28"/>
        </w:rPr>
        <w:t>на иммунный ответ</w:t>
      </w:r>
      <w:r w:rsidRPr="00EF13AB">
        <w:rPr>
          <w:rFonts w:cs="Times New Roman"/>
          <w:bCs/>
          <w:szCs w:val="28"/>
          <w:lang w:val="kk-KZ"/>
        </w:rPr>
        <w:t xml:space="preserve"> </w:t>
      </w:r>
    </w:p>
    <w:p w14:paraId="04A5ED97" w14:textId="77777777" w:rsidR="00EF13AB" w:rsidRPr="00EF13AB" w:rsidRDefault="00EF13AB" w:rsidP="00EF13AB">
      <w:pPr>
        <w:spacing w:after="0" w:line="240" w:lineRule="auto"/>
        <w:contextualSpacing/>
        <w:jc w:val="center"/>
        <w:rPr>
          <w:rFonts w:cs="Times New Roman"/>
          <w:bCs/>
          <w:szCs w:val="28"/>
          <w:lang w:val="kk-KZ"/>
        </w:rPr>
      </w:pPr>
    </w:p>
    <w:p w14:paraId="6C9860AA" w14:textId="255326C0" w:rsidR="00EF13AB" w:rsidRPr="00EF13AB" w:rsidRDefault="00EF13AB" w:rsidP="00EF13AB">
      <w:pPr>
        <w:spacing w:after="0" w:line="240" w:lineRule="auto"/>
        <w:ind w:firstLine="567"/>
        <w:contextualSpacing/>
        <w:rPr>
          <w:rFonts w:cs="Times New Roman"/>
          <w:bCs/>
          <w:sz w:val="24"/>
          <w:szCs w:val="24"/>
        </w:rPr>
      </w:pPr>
      <w:r w:rsidRPr="00EF13AB">
        <w:rPr>
          <w:rFonts w:cs="Times New Roman"/>
          <w:bCs/>
          <w:sz w:val="24"/>
          <w:szCs w:val="24"/>
          <w:lang w:val="kk-KZ"/>
        </w:rPr>
        <w:t xml:space="preserve">Примечание – Источник </w:t>
      </w:r>
      <w:r w:rsidRPr="00EF13AB">
        <w:rPr>
          <w:rFonts w:cs="Times New Roman"/>
          <w:bCs/>
          <w:sz w:val="24"/>
          <w:szCs w:val="24"/>
          <w:lang w:val="kk-KZ"/>
        </w:rPr>
        <w:fldChar w:fldCharType="begin"/>
      </w:r>
      <w:r w:rsidRPr="00EF13AB">
        <w:rPr>
          <w:rFonts w:cs="Times New Roman"/>
          <w:bCs/>
          <w:sz w:val="24"/>
          <w:szCs w:val="24"/>
          <w:lang w:val="kk-KZ"/>
        </w:rPr>
        <w:instrText xml:space="preserve"> ADDIN ZOTERO_ITEM CSL_CITATION {"citationID":"9JPJWzsg","properties":{"formattedCitation":"[86]","plainCitation":"[86]","noteIndex":0},"citationItems":[{"id":405,"uris":["http://zotero.org/users/8237658/items/JEGMHDJA"],"itemData":{"id":405,"type":"book","title":"О. С. Костарева, А. Г. Габдулхаков, И. А. Коляденко, М. Б. Гарбер, С. В. Тищенко Интерлейкин-17: функциональные и структурные особенности; использование в качестве терапевтической мишени. //Успехи биологической химии, т. 59, 2019, с. 393–418"}}],"schema":"https://github.com/citation-style-language/schema/raw/master/csl-citation.json"} </w:instrText>
      </w:r>
      <w:r w:rsidRPr="00EF13AB">
        <w:rPr>
          <w:rFonts w:cs="Times New Roman"/>
          <w:bCs/>
          <w:sz w:val="24"/>
          <w:szCs w:val="24"/>
          <w:lang w:val="kk-KZ"/>
        </w:rPr>
        <w:fldChar w:fldCharType="separate"/>
      </w:r>
      <w:r w:rsidRPr="00EF13AB">
        <w:rPr>
          <w:rFonts w:cs="Times New Roman"/>
          <w:bCs/>
          <w:sz w:val="24"/>
          <w:szCs w:val="24"/>
        </w:rPr>
        <w:t>[86</w:t>
      </w:r>
      <w:r w:rsidR="00F81358">
        <w:rPr>
          <w:rFonts w:cs="Times New Roman"/>
          <w:bCs/>
          <w:sz w:val="24"/>
          <w:szCs w:val="24"/>
        </w:rPr>
        <w:t>,с. 393</w:t>
      </w:r>
      <w:r w:rsidRPr="00EF13AB">
        <w:rPr>
          <w:rFonts w:cs="Times New Roman"/>
          <w:bCs/>
          <w:sz w:val="24"/>
          <w:szCs w:val="24"/>
        </w:rPr>
        <w:t>]</w:t>
      </w:r>
      <w:r w:rsidRPr="00EF13AB">
        <w:rPr>
          <w:rFonts w:cs="Times New Roman"/>
          <w:bCs/>
          <w:sz w:val="24"/>
          <w:szCs w:val="24"/>
          <w:lang w:val="kk-KZ"/>
        </w:rPr>
        <w:fldChar w:fldCharType="end"/>
      </w:r>
    </w:p>
    <w:p w14:paraId="79FED09F" w14:textId="77777777" w:rsidR="00EF13AB" w:rsidRPr="002B136D" w:rsidRDefault="00EF13AB" w:rsidP="00EF13AB">
      <w:pPr>
        <w:spacing w:after="0" w:line="240" w:lineRule="auto"/>
        <w:rPr>
          <w:rFonts w:cs="Times New Roman"/>
          <w:szCs w:val="28"/>
        </w:rPr>
      </w:pPr>
    </w:p>
    <w:p w14:paraId="5F4B3294" w14:textId="2DE6622F" w:rsidR="00A31D94" w:rsidRPr="002B136D" w:rsidRDefault="00E50219" w:rsidP="00EF13AB">
      <w:pPr>
        <w:spacing w:after="0" w:line="240" w:lineRule="auto"/>
        <w:ind w:firstLine="567"/>
        <w:contextualSpacing/>
        <w:jc w:val="both"/>
        <w:rPr>
          <w:rFonts w:cs="Times New Roman"/>
          <w:szCs w:val="28"/>
          <w:lang w:val="kk-KZ"/>
        </w:rPr>
      </w:pPr>
      <w:r w:rsidRPr="002B136D">
        <w:rPr>
          <w:rFonts w:cs="Times New Roman"/>
          <w:szCs w:val="28"/>
        </w:rPr>
        <w:t>Согласно данным Е.С. Таскина и С.В. Харинцева, IL-17 оказывает провоспалительное действие, стимулируя выработку цитокинов орбитальными фибробластами субпопуляций CD90</w:t>
      </w:r>
      <w:r w:rsidRPr="002B136D">
        <w:rPr>
          <w:rFonts w:cs="Times New Roman"/>
          <w:szCs w:val="28"/>
          <w:vertAlign w:val="superscript"/>
        </w:rPr>
        <w:t>+</w:t>
      </w:r>
      <w:r w:rsidRPr="002B136D">
        <w:rPr>
          <w:rFonts w:cs="Times New Roman"/>
          <w:szCs w:val="28"/>
        </w:rPr>
        <w:t xml:space="preserve"> (дифференцирующихся в миоибробласты) и CD90</w:t>
      </w:r>
      <w:r w:rsidRPr="002B136D">
        <w:rPr>
          <w:rFonts w:cs="Times New Roman"/>
          <w:szCs w:val="28"/>
          <w:vertAlign w:val="superscript"/>
        </w:rPr>
        <w:t xml:space="preserve">- </w:t>
      </w:r>
      <w:r w:rsidRPr="002B136D">
        <w:rPr>
          <w:rFonts w:cs="Times New Roman"/>
          <w:szCs w:val="28"/>
        </w:rPr>
        <w:t>(дифференцирующихся в жировые клетки)</w:t>
      </w:r>
      <w:r w:rsidRPr="002B136D">
        <w:rPr>
          <w:rFonts w:cs="Times New Roman"/>
          <w:szCs w:val="28"/>
          <w:lang w:val="kk-KZ"/>
        </w:rPr>
        <w:t xml:space="preserve"> </w:t>
      </w:r>
      <w:r w:rsidR="00717675" w:rsidRPr="002B136D">
        <w:rPr>
          <w:rFonts w:cs="Times New Roman"/>
          <w:szCs w:val="28"/>
        </w:rPr>
        <w:fldChar w:fldCharType="begin"/>
      </w:r>
      <w:r w:rsidR="004B40F7" w:rsidRPr="002B136D">
        <w:rPr>
          <w:rFonts w:cs="Times New Roman"/>
          <w:szCs w:val="28"/>
        </w:rPr>
        <w:instrText xml:space="preserve"> ADDIN ZOTERO_ITEM CSL_CITATION {"citationID":"0CBbI9c2","properties":{"formattedCitation":"[6]","plainCitation":"[6]","noteIndex":0},"citationItems":[{"id":281,"uris":["http://zotero.org/users/8237658/items/W8WM5788"],"itemData":{"id":281,"type":"book","title":"Е.С. Таскина,  С.В. Харинцева,  Морфофункциональная характеристика и иммунологическая регуляция функции орбитальных,  Clinical and experimental thyroidology. 2018;14(4). In Press. doi: https://doi.org/10.14341/ket10147 фибробластов при эндокринной офтальмопатии"}}],"schema":"https://github.com/citation-style-language/schema/raw/master/csl-citation.json"} </w:instrText>
      </w:r>
      <w:r w:rsidR="00717675" w:rsidRPr="002B136D">
        <w:rPr>
          <w:rFonts w:cs="Times New Roman"/>
          <w:szCs w:val="28"/>
        </w:rPr>
        <w:fldChar w:fldCharType="separate"/>
      </w:r>
      <w:r w:rsidR="004B40F7" w:rsidRPr="002B136D">
        <w:rPr>
          <w:rFonts w:cs="Times New Roman"/>
        </w:rPr>
        <w:t>[6</w:t>
      </w:r>
      <w:r w:rsidR="00F81358">
        <w:rPr>
          <w:rFonts w:cs="Times New Roman"/>
        </w:rPr>
        <w:t>,с. 18</w:t>
      </w:r>
      <w:r w:rsidR="004B40F7" w:rsidRPr="002B136D">
        <w:rPr>
          <w:rFonts w:cs="Times New Roman"/>
        </w:rPr>
        <w:t>]</w:t>
      </w:r>
      <w:r w:rsidR="00717675" w:rsidRPr="002B136D">
        <w:rPr>
          <w:rFonts w:cs="Times New Roman"/>
          <w:szCs w:val="28"/>
        </w:rPr>
        <w:fldChar w:fldCharType="end"/>
      </w:r>
      <w:r w:rsidR="00B30E4E" w:rsidRPr="002B136D">
        <w:rPr>
          <w:rFonts w:cs="Times New Roman"/>
          <w:szCs w:val="28"/>
        </w:rPr>
        <w:t>.</w:t>
      </w:r>
      <w:r w:rsidR="00D77B6D" w:rsidRPr="002B136D">
        <w:rPr>
          <w:rFonts w:cs="Times New Roman"/>
          <w:szCs w:val="28"/>
        </w:rPr>
        <w:t xml:space="preserve"> </w:t>
      </w:r>
      <w:r w:rsidR="00B30E4E" w:rsidRPr="002B136D">
        <w:rPr>
          <w:rFonts w:cs="Times New Roman"/>
          <w:szCs w:val="28"/>
        </w:rPr>
        <w:t xml:space="preserve"> </w:t>
      </w:r>
    </w:p>
    <w:p w14:paraId="65682CFB" w14:textId="7EEEB870" w:rsidR="00E50219" w:rsidRPr="002B136D" w:rsidRDefault="00E50219" w:rsidP="00EF13AB">
      <w:pPr>
        <w:spacing w:after="0" w:line="240" w:lineRule="auto"/>
        <w:ind w:firstLine="567"/>
        <w:contextualSpacing/>
        <w:jc w:val="both"/>
        <w:rPr>
          <w:rFonts w:cs="Times New Roman"/>
          <w:szCs w:val="28"/>
        </w:rPr>
      </w:pPr>
      <w:r w:rsidRPr="002B136D">
        <w:rPr>
          <w:rFonts w:cs="Times New Roman"/>
          <w:szCs w:val="28"/>
        </w:rPr>
        <w:t>CD90</w:t>
      </w:r>
      <w:r w:rsidRPr="002B136D">
        <w:rPr>
          <w:rFonts w:cs="Times New Roman"/>
          <w:szCs w:val="28"/>
          <w:vertAlign w:val="superscript"/>
        </w:rPr>
        <w:t>+</w:t>
      </w:r>
      <w:r w:rsidRPr="002B136D">
        <w:rPr>
          <w:rFonts w:cs="Times New Roman"/>
          <w:szCs w:val="28"/>
        </w:rPr>
        <w:t xml:space="preserve"> и CD90</w:t>
      </w:r>
      <w:r w:rsidRPr="002B136D">
        <w:rPr>
          <w:rFonts w:cs="Times New Roman"/>
          <w:szCs w:val="28"/>
          <w:vertAlign w:val="superscript"/>
        </w:rPr>
        <w:t xml:space="preserve">- </w:t>
      </w:r>
      <w:r w:rsidRPr="002B136D">
        <w:rPr>
          <w:rFonts w:cs="Times New Roman"/>
          <w:szCs w:val="28"/>
        </w:rPr>
        <w:t xml:space="preserve">фибробласты экспрессируют MHC II и CD40, что позволяет рассматривать их как антигенпредставляющие клетки, подобные </w:t>
      </w:r>
      <w:proofErr w:type="gramStart"/>
      <w:r w:rsidRPr="002B136D">
        <w:rPr>
          <w:rFonts w:cs="Times New Roman"/>
          <w:szCs w:val="28"/>
        </w:rPr>
        <w:t>дендритным</w:t>
      </w:r>
      <w:proofErr w:type="gramEnd"/>
      <w:r w:rsidRPr="002B136D">
        <w:rPr>
          <w:rFonts w:cs="Times New Roman"/>
          <w:szCs w:val="28"/>
        </w:rPr>
        <w:t xml:space="preserve"> и B-клеткам </w:t>
      </w:r>
      <w:r w:rsidRPr="002B136D">
        <w:rPr>
          <w:rFonts w:cs="Times New Roman"/>
          <w:szCs w:val="28"/>
        </w:rPr>
        <w:fldChar w:fldCharType="begin"/>
      </w:r>
      <w:r w:rsidR="00A6759A" w:rsidRPr="002B136D">
        <w:rPr>
          <w:rFonts w:cs="Times New Roman"/>
          <w:szCs w:val="28"/>
        </w:rPr>
        <w:instrText xml:space="preserve"> ADDIN ZOTERO_ITEM CSL_CITATION {"citationID":"1E4oCk6h","properties":{"formattedCitation":"[98]","plainCitation":"[98]","noteIndex":0},"citationItems":[{"id":282,"uris":["http://zotero.org/users/8237658/items/HVSFFKWS"],"itemData":{"id":282,"type":"book","title":"Fang S, Huang Y, Zhong S, et al. Regulation of Orbital Fibrosis and Adipogenesis by Pathogenic Th17 Cells in Graves Orbitopathy. J Clin Endocrinol Metab. 2017;102(11):4273-4283. doi: https://doi.org/10.1210/jc.2017-01349."}}],"schema":"https://github.com/citation-style-language/schema/raw/master/csl-citation.json"} </w:instrText>
      </w:r>
      <w:r w:rsidRPr="002B136D">
        <w:rPr>
          <w:rFonts w:cs="Times New Roman"/>
          <w:szCs w:val="28"/>
        </w:rPr>
        <w:fldChar w:fldCharType="separate"/>
      </w:r>
      <w:r w:rsidR="00A6759A" w:rsidRPr="002B136D">
        <w:rPr>
          <w:rFonts w:cs="Times New Roman"/>
        </w:rPr>
        <w:t>[98]</w:t>
      </w:r>
      <w:r w:rsidRPr="002B136D">
        <w:rPr>
          <w:rFonts w:cs="Times New Roman"/>
          <w:szCs w:val="28"/>
        </w:rPr>
        <w:fldChar w:fldCharType="end"/>
      </w:r>
      <w:r w:rsidRPr="002B136D">
        <w:rPr>
          <w:rFonts w:cs="Times New Roman"/>
          <w:szCs w:val="28"/>
        </w:rPr>
        <w:t xml:space="preserve">. Взаимодействие CD40L-CD40 и TCR-MHC II усиливает стимуляцию орбитальных фибробластов и Th-17. </w:t>
      </w:r>
      <w:proofErr w:type="gramStart"/>
      <w:r w:rsidRPr="002B136D">
        <w:rPr>
          <w:rFonts w:cs="Times New Roman"/>
          <w:szCs w:val="28"/>
        </w:rPr>
        <w:t>Кроме того, CD90</w:t>
      </w:r>
      <w:r w:rsidRPr="002B136D">
        <w:rPr>
          <w:rFonts w:cs="Times New Roman"/>
          <w:szCs w:val="28"/>
          <w:vertAlign w:val="superscript"/>
        </w:rPr>
        <w:t>+</w:t>
      </w:r>
      <w:r w:rsidRPr="002B136D">
        <w:rPr>
          <w:rFonts w:cs="Times New Roman"/>
          <w:szCs w:val="28"/>
        </w:rPr>
        <w:t xml:space="preserve"> и CD90</w:t>
      </w:r>
      <w:r w:rsidRPr="002B136D">
        <w:rPr>
          <w:rFonts w:cs="Times New Roman"/>
          <w:szCs w:val="28"/>
          <w:vertAlign w:val="superscript"/>
        </w:rPr>
        <w:t>-</w:t>
      </w:r>
      <w:r w:rsidRPr="002B136D">
        <w:rPr>
          <w:rFonts w:cs="Times New Roman"/>
          <w:szCs w:val="28"/>
        </w:rPr>
        <w:t xml:space="preserve"> орбитальные фибробласты in vitro усиливают дифференцировку Th-17, продуцируя PGE2 под действием IL-1β и IL-23 </w:t>
      </w:r>
      <w:proofErr w:type="gramEnd"/>
      <w:r w:rsidRPr="002B136D">
        <w:rPr>
          <w:rFonts w:cs="Times New Roman"/>
          <w:szCs w:val="28"/>
        </w:rPr>
        <w:fldChar w:fldCharType="begin"/>
      </w:r>
      <w:r w:rsidR="004B40F7" w:rsidRPr="002B136D">
        <w:rPr>
          <w:rFonts w:cs="Times New Roman"/>
          <w:szCs w:val="28"/>
        </w:rPr>
        <w:instrText xml:space="preserve"> ADDIN ZOTERO_ITEM CSL_CITATION {"citationID":"iIwTsbJa","properties":{"formattedCitation":"[4]","plainCitation":"[4]","noteIndex":0},"citationItems":[{"id":335,"uris":["http://zotero.org/users/8237658/items/67KQUEGM"],"itemData":{"id":335,"type":"book","title":"Pan Y, Wang M, Chen X, Chen Y, Ai S, Wang M, Su W, Liang D. Elevated IL-38 inhibits IL-23R expression and IL-17A production in thyroid-associated ophthalmopathy. Int Immunopharmacol. 2021 Feb;91:107300. doi: 10.1016/j.intimp.2020.107300. Epub 2020 Dec 28. PMID: 33383445."}}],"schema":"https://github.com/citation-style-language/schema/raw/master/csl-citation.json"} </w:instrText>
      </w:r>
      <w:r w:rsidRPr="002B136D">
        <w:rPr>
          <w:rFonts w:cs="Times New Roman"/>
          <w:szCs w:val="28"/>
        </w:rPr>
        <w:fldChar w:fldCharType="separate"/>
      </w:r>
      <w:r w:rsidR="004B40F7" w:rsidRPr="002B136D">
        <w:rPr>
          <w:rFonts w:cs="Times New Roman"/>
        </w:rPr>
        <w:t>[4</w:t>
      </w:r>
      <w:r w:rsidR="00F81358">
        <w:rPr>
          <w:rFonts w:cs="Times New Roman"/>
        </w:rPr>
        <w:t>,р. 107</w:t>
      </w:r>
      <w:r w:rsidR="004B40F7" w:rsidRPr="002B136D">
        <w:rPr>
          <w:rFonts w:cs="Times New Roman"/>
        </w:rPr>
        <w:t>]</w:t>
      </w:r>
      <w:r w:rsidRPr="002B136D">
        <w:rPr>
          <w:rFonts w:cs="Times New Roman"/>
          <w:szCs w:val="28"/>
        </w:rPr>
        <w:fldChar w:fldCharType="end"/>
      </w:r>
      <w:proofErr w:type="gramStart"/>
      <w:r w:rsidRPr="002B136D">
        <w:rPr>
          <w:rFonts w:cs="Times New Roman"/>
          <w:szCs w:val="28"/>
        </w:rPr>
        <w:t xml:space="preserve">. Повышенный уровень IL-17 при ЭОП способствует фиброзу ретробульбарных тканей, напрямую усиливая экспрессию α-SMA и продукцию компонентов внеклеточного матрикса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{"citationID":"rCiAaPQY","properties":{"formattedCitation":"[99]","plainCitation":"[99]","noteIndex":0},"citationItems":[{"id":284,"uris":["http://zotero.org/users/8237658/items/QC3T7SYL"],"itemData":{"id":284,"type":"book","title":"Fang S, Huang Y, Wang S, et al. IL-17A Exacerbates Fibrosis by Promoting the Proinflammatory and Profibrotic Function of Orbital Fibroblasts in TAO. J Clin Endocrinol Metab. 2016;101(8):2955-2965. doi: https://doi.org/10.1210/jc.2016-1882"}}],"schema":"https://github.com/citation-style-language/schema/raw/master/csl-citation.json"} </w:instrText>
      </w:r>
      <w:r w:rsidRPr="002B136D">
        <w:rPr>
          <w:rFonts w:cs="Times New Roman"/>
          <w:szCs w:val="28"/>
        </w:rPr>
        <w:fldChar w:fldCharType="separate"/>
      </w:r>
      <w:r w:rsidR="00A6759A" w:rsidRPr="002B136D">
        <w:rPr>
          <w:rFonts w:cs="Times New Roman"/>
        </w:rPr>
        <w:t>[99]</w:t>
      </w:r>
      <w:r w:rsidRPr="002B136D">
        <w:rPr>
          <w:rFonts w:cs="Times New Roman"/>
          <w:szCs w:val="28"/>
        </w:rPr>
        <w:fldChar w:fldCharType="end"/>
      </w:r>
      <w:proofErr w:type="gramStart"/>
      <w:r w:rsidRPr="002B136D">
        <w:rPr>
          <w:rFonts w:cs="Times New Roman"/>
          <w:szCs w:val="28"/>
        </w:rPr>
        <w:t xml:space="preserve">. IL-17 также индуцирует фиброгенез, стимулируя TGF-β-опосредованную дифференцировку CD90+ орбитальных фибробластов в миофибробласты и избыточную секрецию компонентов внеклеточного матрикса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{"citationID":"oEMToIMW","properties":{"formattedCitation":"[99,100]","plainCitation":"[99,100]","noteIndex":0},"citationItems":[{"id":284,"uris":["http://zotero.org/users/8237658/items/QC3T7SYL"],"itemData":{"id":284,"type":"book","title":"Fang S, Huang Y, Wang S, et al. IL-17A Exacerbates Fibrosis by Promoting the Proinflammatory and Profibrotic Function of Orbital Fibroblasts in TAO. J Clin Endocrinol Metab. 2016;101(8):2955-2965. doi: https://doi.org/10.1210/jc.2016-1882"},"label":"page"},{"id":285,"uris":["http://zotero.org/users/8237658/items/BMUAR25U"],"itemData":{"id":285,"type":"book","title":"Pawlowski P, Reszec J, Eckstein A, et al. Markers of inflammation and fibrosis in the orbital fat/connective tissue of patients with Graves' orbitopathy: clinical implications. Mediators Inflamm. 2014;2014:412158. doi: https://doi.org/10.1155/2014/412158"},"label":"page"}],"schema":"https://github.com/citation-style-language/schema/raw/master/csl-citation.json"} </w:instrText>
      </w:r>
      <w:r w:rsidRPr="002B136D">
        <w:rPr>
          <w:rFonts w:cs="Times New Roman"/>
          <w:szCs w:val="28"/>
        </w:rPr>
        <w:fldChar w:fldCharType="separate"/>
      </w:r>
      <w:r w:rsidR="00A6759A" w:rsidRPr="002B136D">
        <w:rPr>
          <w:rFonts w:cs="Times New Roman"/>
        </w:rPr>
        <w:t>[100]</w:t>
      </w:r>
      <w:r w:rsidRPr="002B136D">
        <w:rPr>
          <w:rFonts w:cs="Times New Roman"/>
          <w:szCs w:val="28"/>
        </w:rPr>
        <w:fldChar w:fldCharType="end"/>
      </w:r>
      <w:proofErr w:type="gramStart"/>
      <w:r w:rsidRPr="002B136D">
        <w:rPr>
          <w:rFonts w:cs="Times New Roman"/>
          <w:szCs w:val="28"/>
        </w:rPr>
        <w:t xml:space="preserve">. </w:t>
      </w:r>
      <w:proofErr w:type="gramEnd"/>
    </w:p>
    <w:p w14:paraId="7A003F05" w14:textId="4C40F07B" w:rsidR="00E50219" w:rsidRPr="002B136D" w:rsidRDefault="00E50219" w:rsidP="00EF13AB">
      <w:pPr>
        <w:spacing w:after="0" w:line="240" w:lineRule="auto"/>
        <w:ind w:firstLine="567"/>
        <w:contextualSpacing/>
        <w:jc w:val="both"/>
        <w:rPr>
          <w:rFonts w:cs="Times New Roman"/>
          <w:szCs w:val="28"/>
        </w:rPr>
      </w:pPr>
      <w:r w:rsidRPr="002B136D">
        <w:rPr>
          <w:rFonts w:cs="Times New Roman"/>
          <w:szCs w:val="28"/>
        </w:rPr>
        <w:t xml:space="preserve">Кроме того, IL-17 усиливает ремоделирование ткани слезной железы и ассоциируется с активной фазой ЭОП </w:t>
      </w:r>
      <w:r w:rsidRPr="002B136D">
        <w:rPr>
          <w:rFonts w:cs="Times New Roman"/>
          <w:szCs w:val="28"/>
        </w:rPr>
        <w:fldChar w:fldCharType="begin"/>
      </w:r>
      <w:r w:rsidR="00A6759A" w:rsidRPr="002B136D">
        <w:rPr>
          <w:rFonts w:cs="Times New Roman"/>
          <w:szCs w:val="28"/>
        </w:rPr>
        <w:instrText xml:space="preserve"> ADDIN ZOTERO_ITEM CSL_CITATION {"citationID":"JdWcXIGt","properties":{"formattedCitation":"[101]","plainCitation":"[101]","noteIndex":0},"citationItems":[{"id":581,"uris":["http://zotero.org/users/8237658/items/VHBFCEYV"],"itemData":{"id":581,"type":"book","title":"Huang Y, Wu Y, Zhang S, Lu Y, Wang Y, Liu X, Zhong S, Wang Y, Li Y, Sun J, Fang S, Zhou H. Immunophenotype of Lacrimal Glands in Graves Orbitopathy: Implications for the Pathogenesis of Th1 and Th17 Immunity. Thyroid. 2022 Aug;32(8):949-961. doi: 10.1089/thy.2021.0671. Epub 2022 Jun 24. PMID: 35469435."}}],"schema":"https://github.com/citation-style-language/schema/raw/master/csl-citation.json"} </w:instrText>
      </w:r>
      <w:r w:rsidRPr="002B136D">
        <w:rPr>
          <w:rFonts w:cs="Times New Roman"/>
          <w:szCs w:val="28"/>
        </w:rPr>
        <w:fldChar w:fldCharType="separate"/>
      </w:r>
      <w:r w:rsidR="00A6759A" w:rsidRPr="002B136D">
        <w:rPr>
          <w:rFonts w:cs="Times New Roman"/>
        </w:rPr>
        <w:t>[101]</w:t>
      </w:r>
      <w:r w:rsidRPr="002B136D">
        <w:rPr>
          <w:rFonts w:cs="Times New Roman"/>
          <w:szCs w:val="28"/>
        </w:rPr>
        <w:fldChar w:fldCharType="end"/>
      </w:r>
      <w:r w:rsidRPr="002B136D">
        <w:rPr>
          <w:rFonts w:cs="Times New Roman"/>
          <w:szCs w:val="28"/>
        </w:rPr>
        <w:t xml:space="preserve">. При тяжелой форме ЭОП чрезмерный Th-17 иммунный ответ может ускорять орбитальный фиброз. </w:t>
      </w:r>
      <w:proofErr w:type="gramStart"/>
      <w:r w:rsidRPr="002B136D">
        <w:rPr>
          <w:rFonts w:cs="Times New Roman"/>
          <w:szCs w:val="28"/>
        </w:rPr>
        <w:t xml:space="preserve">По данным Fang S. и Wynn T.A., высокая концентрация Th-17 лимфоцитов на фоне снижения воспаления может усугубить фиброз в поздней, неактивной фазе ЭОП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{"citationID":"JLAfN2pU","properties":{"formattedCitation":"[99,102]","plainCitation":"[99,102]","noteIndex":0},"citationItems":[{"id":284,"uris":["http://zotero.org/users/8237658/items/QC3T7SYL"],"itemData":{"id":284,"type":"book","title":"Fang S, Huang Y, Wang S, et al. IL-17A Exacerbates Fibrosis by Promoting the Proinflammatory and Profibrotic Function of Orbital Fibroblasts in TAO. J Clin Endocrinol Metab. 2016;101(8):2955-2965. doi: https://doi.org/10.1210/jc.2016-1882"},"label":"page"},{"id":286,"uris":["http://zotero.org/users/8237658/items/RNSYHX6H"],"itemData":{"id":286,"type":"book","title":"Wynn TA, Ramalingam TR. Mechanisms of fibrosis: therapeutic translation for fibrotic disease. Nat Med. 2012;18(7):1028-1040. doi: https://doi.org/10.1038/nm.2807"},"label":"page"}],"schema":"https://github.com/citation-style-language/schema/raw/master/csl-citation.json"} </w:instrText>
      </w:r>
      <w:r w:rsidRPr="002B136D">
        <w:rPr>
          <w:rFonts w:cs="Times New Roman"/>
          <w:szCs w:val="28"/>
        </w:rPr>
        <w:fldChar w:fldCharType="separate"/>
      </w:r>
      <w:r w:rsidR="00A6759A" w:rsidRPr="002B136D">
        <w:rPr>
          <w:rFonts w:cs="Times New Roman"/>
        </w:rPr>
        <w:t>[102]</w:t>
      </w:r>
      <w:r w:rsidRPr="002B136D">
        <w:rPr>
          <w:rFonts w:cs="Times New Roman"/>
          <w:szCs w:val="28"/>
        </w:rPr>
        <w:fldChar w:fldCharType="end"/>
      </w:r>
      <w:proofErr w:type="gramStart"/>
      <w:r w:rsidRPr="002B136D">
        <w:rPr>
          <w:rFonts w:cs="Times New Roman"/>
          <w:szCs w:val="28"/>
        </w:rPr>
        <w:t>.</w:t>
      </w:r>
      <w:r w:rsidRPr="002B136D">
        <w:rPr>
          <w:rFonts w:cs="Times New Roman"/>
          <w:szCs w:val="28"/>
          <w:lang w:val="kk-KZ"/>
        </w:rPr>
        <w:t xml:space="preserve"> </w:t>
      </w:r>
      <w:r w:rsidRPr="002B136D">
        <w:rPr>
          <w:rFonts w:cs="Times New Roman"/>
          <w:szCs w:val="28"/>
        </w:rPr>
        <w:t>Активация фиброгенеза подавляет 15-D-простагландин J2-</w:t>
      </w:r>
      <w:r w:rsidRPr="002B136D">
        <w:rPr>
          <w:rFonts w:cs="Times New Roman"/>
          <w:szCs w:val="28"/>
        </w:rPr>
        <w:lastRenderedPageBreak/>
        <w:t>индуцированный адипогенез CD90</w:t>
      </w:r>
      <w:r w:rsidRPr="002B136D">
        <w:rPr>
          <w:rFonts w:cs="Times New Roman"/>
          <w:szCs w:val="28"/>
          <w:vertAlign w:val="superscript"/>
        </w:rPr>
        <w:t>-</w:t>
      </w:r>
      <w:r w:rsidRPr="002B136D">
        <w:rPr>
          <w:rFonts w:cs="Times New Roman"/>
          <w:szCs w:val="28"/>
        </w:rPr>
        <w:t xml:space="preserve"> фибробластами</w:t>
      </w:r>
      <w:proofErr w:type="gramEnd"/>
      <w:r w:rsidRPr="002B136D">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{"citationID":"3zTHT9D6","properties":{"formattedCitation":"[98,103]","plainCitation":"[98,103]","noteIndex":0},"citationItems":[{"id":282,"uris":["http://zotero.org/users/8237658/items/HVSFFKWS"],"itemData":{"id":282,"type":"book","title":"Fang S, Huang Y, Zhong S, et al. Regulation of Orbital Fibrosis and Adipogenesis by Pathogenic Th17 Cells in Graves Orbitopathy. J Clin Endocrinol Metab. 2017;102(11):4273-4283. doi: https://doi.org/10.1210/jc.2017-01349."},"label":"page"},{"id":287,"uris":["http://zotero.org/users/8237658/items/FP8AHSUE"],"itemData":{"id":287,"type":"book","title":"Shin JH, Shin DW, Noh M. Interleukin-17A inhibits adipocyte differentiation in human mesenchymal stem cells and regulates pro-inflammatory responses in adipocytes. Biochem  Pharmacol.  2009;77(12):1835-1844.  Doi  https://doi.org/10.1016/j.bcp.2009.03.008"},"label":"page"}],"schema":"https://github.com/citation-style-language/schema/raw/master/csl-citation.json"} </w:instrText>
      </w:r>
      <w:r w:rsidRPr="002B136D">
        <w:rPr>
          <w:rFonts w:cs="Times New Roman"/>
          <w:szCs w:val="28"/>
        </w:rPr>
        <w:fldChar w:fldCharType="separate"/>
      </w:r>
      <w:r w:rsidR="00A6759A" w:rsidRPr="002B136D">
        <w:rPr>
          <w:rFonts w:cs="Times New Roman"/>
        </w:rPr>
        <w:t>[103]</w:t>
      </w:r>
      <w:r w:rsidRPr="002B136D">
        <w:rPr>
          <w:rFonts w:cs="Times New Roman"/>
          <w:szCs w:val="28"/>
        </w:rPr>
        <w:fldChar w:fldCharType="end"/>
      </w:r>
      <w:r w:rsidRPr="002B136D">
        <w:rPr>
          <w:rFonts w:cs="Times New Roman"/>
          <w:szCs w:val="28"/>
        </w:rPr>
        <w:t>. IL-17A проявляет антиадипогенный эффект в CD90</w:t>
      </w:r>
      <w:r w:rsidRPr="002B136D">
        <w:rPr>
          <w:rFonts w:cs="Times New Roman"/>
          <w:szCs w:val="28"/>
          <w:vertAlign w:val="superscript"/>
        </w:rPr>
        <w:t xml:space="preserve">- </w:t>
      </w:r>
      <w:r w:rsidRPr="002B136D">
        <w:rPr>
          <w:rFonts w:cs="Times New Roman"/>
          <w:szCs w:val="28"/>
        </w:rPr>
        <w:t xml:space="preserve">орбитальных фибробластах, возможно, через дефосфорилирование CEBP/α посредством инактивации GSK-3β </w:t>
      </w:r>
      <w:r w:rsidRPr="002B136D">
        <w:rPr>
          <w:rFonts w:cs="Times New Roman"/>
          <w:szCs w:val="28"/>
        </w:rPr>
        <w:fldChar w:fldCharType="begin"/>
      </w:r>
      <w:r w:rsidR="00A6759A" w:rsidRPr="002B136D">
        <w:rPr>
          <w:rFonts w:cs="Times New Roman"/>
          <w:szCs w:val="28"/>
        </w:rPr>
        <w:instrText xml:space="preserve"> ADDIN ZOTERO_ITEM CSL_CITATION {"citationID":"87aDcN1O","properties":{"formattedCitation":"[103,104]","plainCitation":"[103,104]","noteIndex":0},"citationItems":[{"id":287,"uris":["http://zotero.org/users/8237658/items/FP8AHSUE"],"itemData":{"id":287,"type":"book","title":"Shin JH, Shin DW, Noh M. Interleukin-17A inhibits adipocyte differentiation in human mesenchymal stem cells and regulates pro-inflammatory responses in adipocytes. Biochem  Pharmacol.  2009;77(12):1835-1844.  Doi  https://doi.org/10.1016/j.bcp.2009.03.008"},"label":"page"},{"id":288,"uris":["http://zotero.org/users/8237658/items/JTCZWW4H"],"itemData":{"id":288,"type":"book","title":"Pelaez-Garcia A, Barderas R, Batlle R, et al. A proteomic analysis reveals that Snail regulates the expression of the nuclear orphan receptor Nuclear Receptor Subfamily 2 Group F Member 6 (Nr2f6) and interleukin 17 (IL-17) to inhibit adipocyte differentiation.  Mol  Cell  Proteomics.  2015;14(2):303-315.  doi: https://doi.org/10.1074/mcp.M114.045328"},"label":"page"}],"schema":"https://github.com/citation-style-language/schema/raw/master/csl-citation.json"} </w:instrText>
      </w:r>
      <w:r w:rsidRPr="002B136D">
        <w:rPr>
          <w:rFonts w:cs="Times New Roman"/>
          <w:szCs w:val="28"/>
        </w:rPr>
        <w:fldChar w:fldCharType="separate"/>
      </w:r>
      <w:r w:rsidR="00A6759A" w:rsidRPr="002B136D">
        <w:rPr>
          <w:rFonts w:cs="Times New Roman"/>
        </w:rPr>
        <w:t>[104]</w:t>
      </w:r>
      <w:r w:rsidRPr="002B136D">
        <w:rPr>
          <w:rFonts w:cs="Times New Roman"/>
          <w:szCs w:val="28"/>
        </w:rPr>
        <w:fldChar w:fldCharType="end"/>
      </w:r>
      <w:r w:rsidRPr="002B136D">
        <w:rPr>
          <w:rFonts w:cs="Times New Roman"/>
          <w:szCs w:val="28"/>
        </w:rPr>
        <w:t>.</w:t>
      </w:r>
      <w:r w:rsidRPr="002B136D">
        <w:rPr>
          <w:rFonts w:cs="Times New Roman"/>
          <w:szCs w:val="28"/>
          <w:lang w:val="kk-KZ"/>
        </w:rPr>
        <w:t xml:space="preserve"> </w:t>
      </w:r>
      <w:r w:rsidRPr="002B136D">
        <w:rPr>
          <w:rFonts w:cs="Times New Roman"/>
          <w:szCs w:val="28"/>
        </w:rPr>
        <w:t>IL-17 также может ускорять катаболизм липидов, способствуя их деградации на ранних стадиях (24-48 часов). Предполагается, что IL-17 ингибирует дифференцировку CD90</w:t>
      </w:r>
      <w:r w:rsidRPr="002B136D">
        <w:rPr>
          <w:rFonts w:cs="Times New Roman"/>
          <w:szCs w:val="28"/>
          <w:vertAlign w:val="superscript"/>
        </w:rPr>
        <w:t xml:space="preserve">- </w:t>
      </w:r>
      <w:r w:rsidRPr="002B136D">
        <w:rPr>
          <w:rFonts w:cs="Times New Roman"/>
          <w:szCs w:val="28"/>
        </w:rPr>
        <w:t xml:space="preserve">орбитальных фибробластов в адипоциты, действуя как антагонист PPAR-γ </w:t>
      </w:r>
      <w:r w:rsidRPr="002B136D">
        <w:rPr>
          <w:rFonts w:cs="Times New Roman"/>
          <w:szCs w:val="28"/>
        </w:rPr>
        <w:fldChar w:fldCharType="begin"/>
      </w:r>
      <w:r w:rsidR="00A6759A" w:rsidRPr="002B136D">
        <w:rPr>
          <w:rFonts w:cs="Times New Roman"/>
          <w:szCs w:val="28"/>
        </w:rPr>
        <w:instrText xml:space="preserve"> ADDIN ZOTERO_ITEM CSL_CITATION {"citationID":"SMGMldYP","properties":{"formattedCitation":"[98]","plainCitation":"[98]","noteIndex":0},"citationItems":[{"id":282,"uris":["http://zotero.org/users/8237658/items/HVSFFKWS"],"itemData":{"id":282,"type":"book","title":"Fang S, Huang Y, Zhong S, et al. Regulation of Orbital Fibrosis and Adipogenesis by Pathogenic Th17 Cells in Graves Orbitopathy. J Clin Endocrinol Metab. 2017;102(11):4273-4283. doi: https://doi.org/10.1210/jc.2017-01349."}}],"schema":"https://github.com/citation-style-language/schema/raw/master/csl-citation.json"} </w:instrText>
      </w:r>
      <w:r w:rsidRPr="002B136D">
        <w:rPr>
          <w:rFonts w:cs="Times New Roman"/>
          <w:szCs w:val="28"/>
        </w:rPr>
        <w:fldChar w:fldCharType="separate"/>
      </w:r>
      <w:r w:rsidR="00A6759A" w:rsidRPr="002B136D">
        <w:rPr>
          <w:rFonts w:cs="Times New Roman"/>
        </w:rPr>
        <w:t>[98</w:t>
      </w:r>
      <w:r w:rsidR="00F81358">
        <w:rPr>
          <w:rFonts w:cs="Times New Roman"/>
        </w:rPr>
        <w:t>,р. 4273</w:t>
      </w:r>
      <w:r w:rsidR="00A6759A" w:rsidRPr="002B136D">
        <w:rPr>
          <w:rFonts w:cs="Times New Roman"/>
        </w:rPr>
        <w:t>]</w:t>
      </w:r>
      <w:r w:rsidRPr="002B136D">
        <w:rPr>
          <w:rFonts w:cs="Times New Roman"/>
          <w:szCs w:val="28"/>
        </w:rPr>
        <w:fldChar w:fldCharType="end"/>
      </w:r>
      <w:r w:rsidRPr="002B136D">
        <w:rPr>
          <w:rFonts w:cs="Times New Roman"/>
          <w:szCs w:val="28"/>
        </w:rPr>
        <w:t xml:space="preserve">. В целом, орбитальные фибробласты гетерогенно реагируют на IL-17, что приводит к регулированию фиброза и адипогенеза в сторону профибротического смещения </w:t>
      </w:r>
      <w:r w:rsidRPr="002B136D">
        <w:rPr>
          <w:rFonts w:cs="Times New Roman"/>
          <w:szCs w:val="28"/>
        </w:rPr>
        <w:fldChar w:fldCharType="begin"/>
      </w:r>
      <w:r w:rsidR="00A6759A" w:rsidRPr="002B136D">
        <w:rPr>
          <w:rFonts w:cs="Times New Roman"/>
          <w:szCs w:val="28"/>
        </w:rPr>
        <w:instrText xml:space="preserve"> ADDIN ZOTERO_ITEM CSL_CITATION {"citationID":"6JqyWEvV","properties":{"formattedCitation":"[99]","plainCitation":"[99]","noteIndex":0},"citationItems":[{"id":284,"uris":["http://zotero.org/users/8237658/items/QC3T7SYL"],"itemData":{"id":284,"type":"book","title":"Fang S, Huang Y, Wang S, et al. IL-17A Exacerbates Fibrosis by Promoting the Proinflammatory and Profibrotic Function of Orbital Fibroblasts in TAO. J Clin Endocrinol Metab. 2016;101(8):2955-2965. doi: https://doi.org/10.1210/jc.2016-1882"}}],"schema":"https://github.com/citation-style-language/schema/raw/master/csl-citation.json"} </w:instrText>
      </w:r>
      <w:r w:rsidRPr="002B136D">
        <w:rPr>
          <w:rFonts w:cs="Times New Roman"/>
          <w:szCs w:val="28"/>
        </w:rPr>
        <w:fldChar w:fldCharType="separate"/>
      </w:r>
      <w:r w:rsidR="00A6759A" w:rsidRPr="002B136D">
        <w:rPr>
          <w:rFonts w:cs="Times New Roman"/>
        </w:rPr>
        <w:t>[99</w:t>
      </w:r>
      <w:r w:rsidR="00F81358">
        <w:rPr>
          <w:rFonts w:cs="Times New Roman"/>
        </w:rPr>
        <w:t>,р. 2955</w:t>
      </w:r>
      <w:r w:rsidR="00A6759A" w:rsidRPr="002B136D">
        <w:rPr>
          <w:rFonts w:cs="Times New Roman"/>
        </w:rPr>
        <w:t>]</w:t>
      </w:r>
      <w:r w:rsidRPr="002B136D">
        <w:rPr>
          <w:rFonts w:cs="Times New Roman"/>
          <w:szCs w:val="28"/>
        </w:rPr>
        <w:fldChar w:fldCharType="end"/>
      </w:r>
      <w:r w:rsidRPr="002B136D">
        <w:rPr>
          <w:rFonts w:cs="Times New Roman"/>
          <w:szCs w:val="28"/>
        </w:rPr>
        <w:t xml:space="preserve">. </w:t>
      </w:r>
    </w:p>
    <w:p w14:paraId="77996EF6" w14:textId="310BF76C" w:rsidR="00A31D94" w:rsidRPr="002B136D" w:rsidRDefault="00B16B25" w:rsidP="00EF13AB">
      <w:pPr>
        <w:spacing w:after="0" w:line="240" w:lineRule="auto"/>
        <w:ind w:firstLine="567"/>
        <w:contextualSpacing/>
        <w:jc w:val="both"/>
        <w:rPr>
          <w:rFonts w:cs="Times New Roman"/>
          <w:szCs w:val="28"/>
          <w:lang w:val="kk-KZ"/>
        </w:rPr>
      </w:pPr>
      <w:r w:rsidRPr="002B136D">
        <w:rPr>
          <w:rFonts w:cs="Times New Roman"/>
          <w:szCs w:val="28"/>
        </w:rPr>
        <w:t xml:space="preserve">Важными иммунными клетками </w:t>
      </w:r>
      <w:r w:rsidR="00B30E4E" w:rsidRPr="002B136D">
        <w:rPr>
          <w:rFonts w:cs="Times New Roman"/>
          <w:szCs w:val="28"/>
        </w:rPr>
        <w:t>в регуляции функциональной активности Th-17 играют CD4</w:t>
      </w:r>
      <w:r w:rsidR="00B30E4E" w:rsidRPr="002B136D">
        <w:rPr>
          <w:rFonts w:cs="Times New Roman"/>
          <w:szCs w:val="28"/>
          <w:vertAlign w:val="superscript"/>
        </w:rPr>
        <w:t>+</w:t>
      </w:r>
      <w:r w:rsidR="00B30E4E" w:rsidRPr="002B136D">
        <w:rPr>
          <w:rFonts w:cs="Times New Roman"/>
          <w:szCs w:val="28"/>
        </w:rPr>
        <w:t xml:space="preserve"> T-регуляторы (Treg). Данные клетки регулируют защитный иммунный ответ путем прямого межклеточного взаимодействия или через цитокины, такие как TGF-β </w:t>
      </w:r>
      <w:r w:rsidR="000A4DA9" w:rsidRPr="002B136D">
        <w:rPr>
          <w:rFonts w:cs="Times New Roman"/>
          <w:szCs w:val="28"/>
        </w:rPr>
        <w:t xml:space="preserve">и IL-10. </w:t>
      </w:r>
      <w:r w:rsidRPr="002B136D">
        <w:rPr>
          <w:rFonts w:cs="Times New Roman"/>
          <w:szCs w:val="28"/>
        </w:rPr>
        <w:t xml:space="preserve">В нормальной физиологии организма защитные цитокины клеток Treg уменьшают уровень фактора транскрипции RORγt, который отвечает за дифференцировку клеток Th17. </w:t>
      </w:r>
      <w:r w:rsidR="00B30E4E" w:rsidRPr="002B136D">
        <w:rPr>
          <w:rFonts w:cs="Times New Roman"/>
          <w:szCs w:val="28"/>
        </w:rPr>
        <w:t>RORγt играет особую роль в дифференцировке Th17 клеток и активирует синтез IL-17, а блокада данного транскрипционного фактора</w:t>
      </w:r>
      <w:r w:rsidR="00134124" w:rsidRPr="002B136D">
        <w:rPr>
          <w:rFonts w:cs="Times New Roman"/>
          <w:szCs w:val="28"/>
          <w:lang w:val="kk-KZ"/>
        </w:rPr>
        <w:t xml:space="preserve"> в экспериментальных условиях</w:t>
      </w:r>
      <w:r w:rsidR="00B30E4E" w:rsidRPr="002B136D">
        <w:rPr>
          <w:rFonts w:cs="Times New Roman"/>
          <w:szCs w:val="28"/>
        </w:rPr>
        <w:t xml:space="preserve"> привела к снижению аутоиммунного процесса и, соответственно, к снижению числа Th17 клеток</w:t>
      </w:r>
      <w:r w:rsidR="00134124" w:rsidRPr="002B136D">
        <w:rPr>
          <w:rFonts w:cs="Times New Roman"/>
          <w:szCs w:val="28"/>
          <w:lang w:val="kk-KZ"/>
        </w:rPr>
        <w:t xml:space="preserve"> </w:t>
      </w:r>
      <w:r w:rsidR="00134124"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{"citationID":"BgFaUG9T","properties":{"formattedCitation":"[105]","plainCitation":"[105]","noteIndex":0},"citationItems":[{"id":585,"uris":["http://zotero.org/users/8237658/items/FXKAA6CV"],"itemData":{"id":585,"type":"book","title":"Ou R, Shen Y, Zeng Y, Zou L, Jiang N, Xu M. [Effects of Pim-1 inhibitor on mouse model of inflammatory bowel disease induced by TNBS]. Zhong Nan Da Xue Xue Bao Yi Xue Ban. 2018 May 28;43(5):481-489. Chinese. doi: 10.11817/j.issn.1672-7347.2018.05.004. PMID: 29886462."}}],"schema":"https://github.com/citation-style-language/schema/raw/master/csl-citation.json"} </w:instrText>
      </w:r>
      <w:r w:rsidR="00134124" w:rsidRPr="002B136D">
        <w:rPr>
          <w:rFonts w:cs="Times New Roman"/>
          <w:szCs w:val="28"/>
          <w:lang w:val="kk-KZ"/>
        </w:rPr>
        <w:fldChar w:fldCharType="separate"/>
      </w:r>
      <w:r w:rsidR="00A6759A" w:rsidRPr="002B136D">
        <w:rPr>
          <w:rFonts w:cs="Times New Roman"/>
        </w:rPr>
        <w:t>[105]</w:t>
      </w:r>
      <w:r w:rsidR="00134124" w:rsidRPr="002B136D">
        <w:rPr>
          <w:rFonts w:cs="Times New Roman"/>
          <w:szCs w:val="28"/>
          <w:lang w:val="kk-KZ"/>
        </w:rPr>
        <w:fldChar w:fldCharType="end"/>
      </w:r>
      <w:r w:rsidR="00134124" w:rsidRPr="002B136D">
        <w:rPr>
          <w:rFonts w:cs="Times New Roman"/>
          <w:szCs w:val="28"/>
          <w:lang w:val="kk-KZ"/>
        </w:rPr>
        <w:t>.</w:t>
      </w:r>
    </w:p>
    <w:p w14:paraId="255886BD" w14:textId="6D36644E" w:rsidR="00457646" w:rsidRPr="002B136D" w:rsidRDefault="00184061" w:rsidP="00EF13AB">
      <w:pPr>
        <w:spacing w:after="0" w:line="240" w:lineRule="auto"/>
        <w:ind w:firstLine="567"/>
        <w:contextualSpacing/>
        <w:jc w:val="both"/>
        <w:rPr>
          <w:rFonts w:cs="Times New Roman"/>
          <w:szCs w:val="28"/>
          <w:lang w:val="kk-KZ"/>
        </w:rPr>
      </w:pPr>
      <w:r w:rsidRPr="002B136D">
        <w:rPr>
          <w:rFonts w:cs="Times New Roman"/>
          <w:szCs w:val="28"/>
          <w:lang w:val="kk-KZ"/>
        </w:rPr>
        <w:t>У пациентов с ЭОП количество Th17-клеток периферической крови, коэкспрессирующих RORγt и Tbet и продуцирующих IFN-γ, коррелировало с активностью и тяжестью заболевания. Несмотря на то, что in vivo глюкокортикостероиды ингибируют Th1- и Th17-клетки, при ГКС-резистентном тяжелом ЭОП IFN-γ-продуцирующие Th17-клетки оставались повышенными</w:t>
      </w:r>
      <w:r w:rsidR="00457646" w:rsidRPr="002B136D">
        <w:rPr>
          <w:rFonts w:cs="Times New Roman"/>
          <w:szCs w:val="28"/>
          <w:lang w:val="kk-KZ"/>
        </w:rPr>
        <w:t xml:space="preserve"> </w:t>
      </w:r>
      <w:r w:rsidR="00457646"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{"citationID":"JstE6qdq","properties":{"formattedCitation":"[106]","plainCitation":"[106]","noteIndex":0},"citationItems":[{"id":584,"uris":["http://zotero.org/users/8237658/items/9KHSS6PZ"],"itemData":{"id":584,"type":"book","title":"Fang S, Zhang S, Huang Y, Wu Y, Lu Y, Zhong S, Liu X, Wang Y, Li Y, Sun J, Gu P, Zhou H, Fan X. Evidence for Associations Between Th1/Th17 \"Hybrid\" Phenotype and Altered Lipometabolism in Very Severe Graves Orbitopathy. J Clin Endocrinol Metab. 2020 Jun 1;105(6):dgaa124. doi: 10.1210/clinem/dgaa124. PMID: 32173759."}}],"schema":"https://github.com/citation-style-language/schema/raw/master/csl-citation.json"} </w:instrText>
      </w:r>
      <w:r w:rsidR="00457646" w:rsidRPr="002B136D">
        <w:rPr>
          <w:rFonts w:cs="Times New Roman"/>
          <w:szCs w:val="28"/>
          <w:lang w:val="kk-KZ"/>
        </w:rPr>
        <w:fldChar w:fldCharType="separate"/>
      </w:r>
      <w:r w:rsidR="00A6759A" w:rsidRPr="002B136D">
        <w:rPr>
          <w:rFonts w:cs="Times New Roman"/>
        </w:rPr>
        <w:t>[106]</w:t>
      </w:r>
      <w:r w:rsidR="00457646" w:rsidRPr="002B136D">
        <w:rPr>
          <w:rFonts w:cs="Times New Roman"/>
          <w:szCs w:val="28"/>
          <w:lang w:val="kk-KZ"/>
        </w:rPr>
        <w:fldChar w:fldCharType="end"/>
      </w:r>
      <w:r w:rsidR="00457646" w:rsidRPr="002B136D">
        <w:rPr>
          <w:rFonts w:cs="Times New Roman"/>
          <w:szCs w:val="28"/>
          <w:lang w:val="kk-KZ"/>
        </w:rPr>
        <w:t>.</w:t>
      </w:r>
    </w:p>
    <w:p w14:paraId="3C4B96D0" w14:textId="7BC78DEC" w:rsidR="002F5DBD" w:rsidRPr="002B136D" w:rsidRDefault="00B30E4E" w:rsidP="00EF13AB">
      <w:pPr>
        <w:spacing w:after="0" w:line="240" w:lineRule="auto"/>
        <w:ind w:firstLine="567"/>
        <w:contextualSpacing/>
        <w:jc w:val="both"/>
        <w:rPr>
          <w:rFonts w:cs="Times New Roman"/>
          <w:szCs w:val="28"/>
        </w:rPr>
      </w:pPr>
      <w:r w:rsidRPr="002B136D">
        <w:rPr>
          <w:rFonts w:cs="Times New Roman"/>
          <w:szCs w:val="28"/>
        </w:rPr>
        <w:t xml:space="preserve">Однако </w:t>
      </w:r>
      <w:r w:rsidR="00B16B25" w:rsidRPr="002B136D">
        <w:rPr>
          <w:rFonts w:cs="Times New Roman"/>
          <w:szCs w:val="28"/>
        </w:rPr>
        <w:t>при аутоагрессивных заболеваниях</w:t>
      </w:r>
      <w:r w:rsidR="002E323C" w:rsidRPr="002B136D">
        <w:rPr>
          <w:rFonts w:cs="Times New Roman"/>
          <w:szCs w:val="28"/>
        </w:rPr>
        <w:t>,</w:t>
      </w:r>
      <w:r w:rsidR="00B16B25" w:rsidRPr="002B136D">
        <w:rPr>
          <w:rFonts w:cs="Times New Roman"/>
          <w:szCs w:val="28"/>
        </w:rPr>
        <w:t xml:space="preserve"> под воздействием провоспалительных цитокинов</w:t>
      </w:r>
      <w:r w:rsidR="002E323C" w:rsidRPr="002B136D">
        <w:rPr>
          <w:rFonts w:cs="Times New Roman"/>
          <w:szCs w:val="28"/>
        </w:rPr>
        <w:t>,</w:t>
      </w:r>
      <w:r w:rsidR="00B16B25" w:rsidRPr="002B136D">
        <w:rPr>
          <w:rFonts w:cs="Times New Roman"/>
          <w:szCs w:val="28"/>
        </w:rPr>
        <w:t xml:space="preserve"> регуляторные Т-клетки CD4+ (T-reg) могут превращаться в Th-17 </w:t>
      </w:r>
      <w:r w:rsidR="00AF31F3">
        <w:rPr>
          <w:rFonts w:cs="Times New Roman"/>
          <w:szCs w:val="28"/>
        </w:rPr>
        <w:t>(рисунок</w:t>
      </w:r>
      <w:r w:rsidR="00F81358">
        <w:rPr>
          <w:rFonts w:cs="Times New Roman"/>
          <w:szCs w:val="28"/>
        </w:rPr>
        <w:t xml:space="preserve"> </w:t>
      </w:r>
      <w:r w:rsidR="004B0216" w:rsidRPr="002B136D">
        <w:rPr>
          <w:rFonts w:cs="Times New Roman"/>
          <w:szCs w:val="28"/>
        </w:rPr>
        <w:t>4</w:t>
      </w:r>
      <w:r w:rsidRPr="002B136D">
        <w:rPr>
          <w:rFonts w:cs="Times New Roman"/>
          <w:szCs w:val="28"/>
        </w:rPr>
        <w:t>)</w:t>
      </w:r>
      <w:r w:rsidR="00F81358">
        <w:rPr>
          <w:rFonts w:cs="Times New Roman"/>
          <w:szCs w:val="28"/>
        </w:rPr>
        <w:t xml:space="preserve"> </w:t>
      </w:r>
      <w:r w:rsidR="00F8211E" w:rsidRPr="002B136D">
        <w:rPr>
          <w:rFonts w:cs="Times New Roman"/>
          <w:szCs w:val="28"/>
        </w:rPr>
        <w:fldChar w:fldCharType="begin"/>
      </w:r>
      <w:r w:rsidR="00A6759A" w:rsidRPr="002B136D">
        <w:rPr>
          <w:rFonts w:cs="Times New Roman"/>
          <w:szCs w:val="28"/>
        </w:rPr>
        <w:instrText xml:space="preserve"> ADDIN ZOTERO_ITEM CSL_CITATION {"citationID":"eufvy4Os","properties":{"formattedCitation":"[107]","plainCitation":"[107]","noteIndex":0},"citationItems":[{"id":289,"uris":["http://zotero.org/users/8237658/items/I2MZZUE9"],"itemData":{"id":289,"type":"book","title":"Hirota k, hashimoto m, ito y, et al. autoimmune th17 cells induced synovial stromal and innate lymphoid cell secretion of the cytokine gm-csf to initiate and augment autoimmune arthritis. immunity. 2018;48(6):1220-1232 e1225. doi: https://doi.org/10.1016/j.immuni.2018.04.009."}}],"schema":"https://github.com/citation-style-language/schema/raw/master/csl-citation.json"} </w:instrText>
      </w:r>
      <w:r w:rsidR="00F8211E" w:rsidRPr="002B136D">
        <w:rPr>
          <w:rFonts w:cs="Times New Roman"/>
          <w:szCs w:val="28"/>
        </w:rPr>
        <w:fldChar w:fldCharType="separate"/>
      </w:r>
      <w:r w:rsidR="00A6759A" w:rsidRPr="002B136D">
        <w:rPr>
          <w:rFonts w:cs="Times New Roman"/>
        </w:rPr>
        <w:t>[107]</w:t>
      </w:r>
      <w:r w:rsidR="00F8211E" w:rsidRPr="002B136D">
        <w:rPr>
          <w:rFonts w:cs="Times New Roman"/>
          <w:szCs w:val="28"/>
        </w:rPr>
        <w:fldChar w:fldCharType="end"/>
      </w:r>
      <w:r w:rsidRPr="002B136D">
        <w:rPr>
          <w:rFonts w:cs="Times New Roman"/>
          <w:szCs w:val="28"/>
        </w:rPr>
        <w:t>.</w:t>
      </w:r>
      <w:r w:rsidR="00D77B6D" w:rsidRPr="002B136D">
        <w:rPr>
          <w:rFonts w:cs="Times New Roman"/>
          <w:szCs w:val="28"/>
        </w:rPr>
        <w:t xml:space="preserve">  </w:t>
      </w:r>
    </w:p>
    <w:p w14:paraId="6A85110E" w14:textId="0726BFF2" w:rsidR="002F5DBD" w:rsidRPr="002B136D" w:rsidRDefault="002F5DBD" w:rsidP="00EF13AB">
      <w:pPr>
        <w:spacing w:after="0" w:line="240" w:lineRule="auto"/>
        <w:ind w:firstLine="567"/>
        <w:contextualSpacing/>
        <w:jc w:val="both"/>
        <w:rPr>
          <w:rFonts w:cs="Times New Roman"/>
          <w:szCs w:val="28"/>
          <w:lang w:val="kk-KZ"/>
        </w:rPr>
      </w:pPr>
      <w:r w:rsidRPr="002B136D">
        <w:rPr>
          <w:rFonts w:cs="Times New Roman"/>
          <w:szCs w:val="28"/>
        </w:rPr>
        <w:t>Следовательно,</w:t>
      </w:r>
      <w:r w:rsidRPr="002B136D">
        <w:rPr>
          <w:rFonts w:cs="Times New Roman"/>
          <w:szCs w:val="28"/>
          <w:lang w:val="kk-KZ"/>
        </w:rPr>
        <w:t xml:space="preserve"> п</w:t>
      </w:r>
      <w:r w:rsidRPr="002B136D">
        <w:rPr>
          <w:rFonts w:cs="Times New Roman"/>
          <w:szCs w:val="28"/>
        </w:rPr>
        <w:t xml:space="preserve">овышенные уровни IL-17 в крови и тканях, а также трансформация Treg в Treg/Th17 клетки подчеркивают провоспалительную роль IL-17 при иммунопатологиях. </w:t>
      </w:r>
      <w:proofErr w:type="gramStart"/>
      <w:r w:rsidRPr="002B136D">
        <w:rPr>
          <w:rFonts w:cs="Times New Roman"/>
          <w:szCs w:val="28"/>
        </w:rPr>
        <w:t xml:space="preserve">Многоцветная проточная цитометрия, использованная для определения фенотипов клеточных субпопуляций и функциональных исследований in vitro, показала положительную корреляцию между количеством Th2 и Th17 клеток, уровнями IL-17 и экспрессией IL-23R и IL-1R с активностью ЭОП по CAS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{"citationID":"Eu4hZCMi","properties":{"formattedCitation":"[108,109]","plainCitation":"[108,109]","noteIndex":0},"citationItems":[{"id":592,"uris":["http://zotero.org/users/8237658/items/MWZWS9UR"],"itemData":{"id":592,"type":"book","title":"Li C, Yuan J, Zhu YF, Yang XJ, Wang Q, Xu J, He ST, Zhang JA. Imbalance of Th17/Treg in Different Subtypes of Autoimmune Thyroid Diseases. Cell Physiol Biochem. 2016;40(1-2):245-252. doi: 10.1159/000452541. Epub 2016 Nov 18. PMID: 27855396."},"label":"page"},{"id":593,"uris":["http://zotero.org/users/8237658/items/RIMESMFQ"],"itemData":{"id":593,"type":"book","title":"Luo LH, Li DM, Wang YL, Wang K, Gao LX, Li S, Yang JG, Li CL, Feng W, Guo H. Tim3/galectin-9 alleviates the inflammation of TAO patients via suppressing Akt/NF-kB signaling pathway. Biochem Biophys Res Commun. 2017 Sep 30;491(4):966-972. doi: 10.1016/j.bbrc.2017.07.144. Epub 2017 Jul 26. PMID: 28756232."},"label":"page"}],"schema":"https://github.com/citation-style-language/schema/raw/master/csl-citation.json"} </w:instrText>
      </w:r>
      <w:r w:rsidRPr="002B136D">
        <w:rPr>
          <w:rFonts w:cs="Times New Roman"/>
          <w:szCs w:val="28"/>
        </w:rPr>
        <w:fldChar w:fldCharType="separate"/>
      </w:r>
      <w:r w:rsidR="00A6759A" w:rsidRPr="002B136D">
        <w:rPr>
          <w:rFonts w:cs="Times New Roman"/>
        </w:rPr>
        <w:t>[108,109]</w:t>
      </w:r>
      <w:r w:rsidRPr="002B136D">
        <w:rPr>
          <w:rFonts w:cs="Times New Roman"/>
          <w:szCs w:val="28"/>
        </w:rPr>
        <w:fldChar w:fldCharType="end"/>
      </w:r>
      <w:proofErr w:type="gramStart"/>
      <w:r w:rsidRPr="002B136D">
        <w:rPr>
          <w:rFonts w:cs="Times New Roman"/>
          <w:szCs w:val="28"/>
        </w:rPr>
        <w:t>.</w:t>
      </w:r>
      <w:r w:rsidRPr="002B136D">
        <w:rPr>
          <w:rFonts w:cs="Times New Roman"/>
          <w:szCs w:val="28"/>
          <w:lang w:val="kk-KZ"/>
        </w:rPr>
        <w:t xml:space="preserve"> </w:t>
      </w:r>
      <w:r w:rsidRPr="002B136D">
        <w:rPr>
          <w:rFonts w:cs="Times New Roman"/>
          <w:szCs w:val="28"/>
        </w:rPr>
        <w:t>Напротив, по данным польских ученых, низкие уровни IL-17 и IL-23, в сочетании с высокими титрами анти-рТТГ, указывают на активность ЭОП in vitro</w:t>
      </w:r>
      <w:proofErr w:type="gramEnd"/>
      <w:r w:rsidRPr="002B136D">
        <w:rPr>
          <w:rFonts w:cs="Times New Roman"/>
          <w:szCs w:val="28"/>
        </w:rPr>
        <w:t xml:space="preserve"> </w:t>
      </w:r>
      <w:r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{"citationID":"uB0POFaM","properties":{"formattedCitation":"[110]","plainCitation":"[110]","noteIndex":0},"citationItems":[{"id":588,"uris":["http://zotero.org/users/8237658/items/BD6E7AGF"],"itemData":{"id":588,"type":"book","title":"Kościuszko M, Popławska-Kita A, Pawłowski P, Lipińska D, Hryniewicka J, Jankowska D, Górska M, Krętowski A, Myśliwiec J. Clinical relevance of estimating circulating interleukin-17 and interleukin-23 during methylprednisolone therapy in Graves' orbitopathy: A preliminary study. Adv Med Sci. 2021 Sep;66(2):315-320. doi: 10.1016/j.advms.2021.07.002. Epub 2021 Jul 10. PMID: 34256242."}}],"schema":"https://github.com/citation-style-language/schema/raw/master/csl-citation.json"} </w:instrText>
      </w:r>
      <w:r w:rsidRPr="002B136D">
        <w:rPr>
          <w:rFonts w:cs="Times New Roman"/>
          <w:szCs w:val="28"/>
          <w:lang w:val="kk-KZ"/>
        </w:rPr>
        <w:fldChar w:fldCharType="separate"/>
      </w:r>
      <w:r w:rsidR="00A6759A" w:rsidRPr="002B136D">
        <w:rPr>
          <w:rFonts w:cs="Times New Roman"/>
        </w:rPr>
        <w:t>[110]</w:t>
      </w:r>
      <w:r w:rsidRPr="002B136D">
        <w:rPr>
          <w:rFonts w:cs="Times New Roman"/>
          <w:szCs w:val="28"/>
        </w:rPr>
        <w:fldChar w:fldCharType="end"/>
      </w:r>
      <w:r w:rsidRPr="002B136D">
        <w:rPr>
          <w:rFonts w:cs="Times New Roman"/>
          <w:szCs w:val="28"/>
          <w:lang w:val="kk-KZ"/>
        </w:rPr>
        <w:t>.</w:t>
      </w:r>
    </w:p>
    <w:p w14:paraId="416C7BCC" w14:textId="204519CD" w:rsidR="00A628D8" w:rsidRPr="002B136D" w:rsidRDefault="00A628D8" w:rsidP="00EF13AB">
      <w:pPr>
        <w:spacing w:after="0" w:line="240" w:lineRule="auto"/>
        <w:ind w:firstLine="567"/>
        <w:contextualSpacing/>
        <w:jc w:val="both"/>
        <w:rPr>
          <w:rFonts w:cs="Times New Roman"/>
          <w:szCs w:val="28"/>
          <w:lang w:val="kk-KZ"/>
        </w:rPr>
      </w:pPr>
      <w:r w:rsidRPr="002B136D">
        <w:rPr>
          <w:rFonts w:cs="Times New Roman"/>
          <w:szCs w:val="28"/>
          <w:lang w:val="kk-KZ"/>
        </w:rPr>
        <w:t xml:space="preserve">По данным Siomkajło M, лечение иммуносупрессивными препаратами не влияет на Treg/Th17 соотношение, так как выявлено, что после лечения у пациентов снижалось количество Treg, а количество Th17 не изменилось, но с положительной динамикой терапии. Снижение процента периферических Treg, вероятно, является следствием неспецифического действия стероидов и не влияет на клинический исход </w:t>
      </w:r>
      <w:r w:rsidRPr="002B136D">
        <w:rPr>
          <w:rFonts w:cs="Times New Roman"/>
          <w:szCs w:val="28"/>
          <w:lang w:val="kk-KZ"/>
        </w:rPr>
        <w:fldChar w:fldCharType="begin"/>
      </w:r>
      <w:r w:rsidR="00A6759A" w:rsidRPr="002B136D">
        <w:rPr>
          <w:rFonts w:cs="Times New Roman"/>
          <w:szCs w:val="28"/>
          <w:lang w:val="kk-KZ"/>
        </w:rPr>
        <w:instrText xml:space="preserve"> ADDIN ZOTERO_ITEM CSL_CITATION {"citationID":"hfM7l4ej","properties":{"formattedCitation":"[111]","plainCitation":"[111]","noteIndex":0},"citationItems":[{"id":583,"uris":["http://zotero.org/users/8237658/items/8ERIBAUQ"],"itemData":{"id":583,"type":"book","title":"Siomkajło M, Mizera Ł, Szymczak D, Kolačkov K, Grzegrzółka J, Bolanowski M, Daroszewski J. Effect of systemic steroid therapy in Graves' orbitopathy on regulatory T cells and Th17/Treg ratio. J Endocrinol Invest. 2021 Nov;44(11):2475-2484. doi: 10.1007/s40618-021-01565-w. Epub 2021 Apr 17. PMID: 33866536."}}],"schema":"https://github.com/citation-style-language/schema/raw/master/csl-citation.json"} </w:instrText>
      </w:r>
      <w:r w:rsidRPr="002B136D">
        <w:rPr>
          <w:rFonts w:cs="Times New Roman"/>
          <w:szCs w:val="28"/>
          <w:lang w:val="kk-KZ"/>
        </w:rPr>
        <w:fldChar w:fldCharType="separate"/>
      </w:r>
      <w:r w:rsidR="00A6759A" w:rsidRPr="002B136D">
        <w:rPr>
          <w:rFonts w:cs="Times New Roman"/>
        </w:rPr>
        <w:t>[111]</w:t>
      </w:r>
      <w:r w:rsidRPr="002B136D">
        <w:rPr>
          <w:rFonts w:cs="Times New Roman"/>
          <w:szCs w:val="28"/>
          <w:lang w:val="kk-KZ"/>
        </w:rPr>
        <w:fldChar w:fldCharType="end"/>
      </w:r>
      <w:r w:rsidRPr="002B136D">
        <w:rPr>
          <w:rFonts w:cs="Times New Roman"/>
          <w:szCs w:val="28"/>
          <w:lang w:val="kk-KZ"/>
        </w:rPr>
        <w:t>.</w:t>
      </w:r>
    </w:p>
    <w:p w14:paraId="7EE863CB" w14:textId="77777777" w:rsidR="009327F2" w:rsidRPr="002B136D" w:rsidRDefault="009327F2" w:rsidP="00167A90">
      <w:pPr>
        <w:spacing w:after="0" w:line="240" w:lineRule="auto"/>
        <w:ind w:firstLine="709"/>
        <w:contextualSpacing/>
        <w:jc w:val="both"/>
        <w:rPr>
          <w:rFonts w:cs="Times New Roman"/>
          <w:szCs w:val="28"/>
        </w:rPr>
      </w:pPr>
    </w:p>
    <w:p w14:paraId="344966C5" w14:textId="77777777" w:rsidR="009327F2" w:rsidRPr="002B136D" w:rsidRDefault="009327F2" w:rsidP="00167A90">
      <w:pPr>
        <w:spacing w:after="0" w:line="240" w:lineRule="auto"/>
        <w:ind w:firstLine="709"/>
        <w:contextualSpacing/>
        <w:jc w:val="both"/>
        <w:rPr>
          <w:rFonts w:cs="Times New Roman"/>
          <w:szCs w:val="28"/>
        </w:rPr>
      </w:pPr>
    </w:p>
    <w:p w14:paraId="086D80A7" w14:textId="677DFC17" w:rsidR="00166FEB" w:rsidRDefault="001B4296" w:rsidP="00EF13AB">
      <w:pPr>
        <w:spacing w:after="0" w:line="360" w:lineRule="auto"/>
        <w:jc w:val="center"/>
        <w:rPr>
          <w:rFonts w:cs="Times New Roman"/>
          <w:szCs w:val="28"/>
        </w:rPr>
      </w:pPr>
      <w:r w:rsidRPr="002B136D">
        <w:rPr>
          <w:rFonts w:cs="Times New Roman"/>
          <w:noProof/>
          <w:szCs w:val="28"/>
          <w:lang w:eastAsia="ru-RU"/>
        </w:rPr>
        <w:drawing>
          <wp:inline distT="0" distB="0" distL="0" distR="0" wp14:anchorId="458A3795" wp14:editId="62832CA3">
            <wp:extent cx="4381500" cy="22710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mmu-06-00639-g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6354" cy="2263233"/>
                    </a:xfrm>
                    <a:prstGeom prst="rect">
                      <a:avLst/>
                    </a:prstGeom>
                  </pic:spPr>
                </pic:pic>
              </a:graphicData>
            </a:graphic>
          </wp:inline>
        </w:drawing>
      </w:r>
    </w:p>
    <w:p w14:paraId="27F91CE7" w14:textId="77777777" w:rsidR="00EF13AB" w:rsidRPr="00EF13AB" w:rsidRDefault="00EF13AB" w:rsidP="00EF13AB">
      <w:pPr>
        <w:spacing w:after="0" w:line="360" w:lineRule="auto"/>
        <w:jc w:val="center"/>
        <w:rPr>
          <w:rFonts w:cs="Times New Roman"/>
          <w:sz w:val="16"/>
          <w:szCs w:val="16"/>
        </w:rPr>
      </w:pPr>
    </w:p>
    <w:p w14:paraId="4C9D6234" w14:textId="77777777" w:rsidR="00EF13AB" w:rsidRPr="00EF13AB" w:rsidRDefault="00EF13AB" w:rsidP="00EF13AB">
      <w:pPr>
        <w:spacing w:after="0" w:line="240" w:lineRule="auto"/>
        <w:contextualSpacing/>
        <w:jc w:val="center"/>
        <w:rPr>
          <w:rFonts w:cs="Times New Roman"/>
          <w:bCs/>
          <w:szCs w:val="28"/>
        </w:rPr>
      </w:pPr>
      <w:r w:rsidRPr="00EF13AB">
        <w:rPr>
          <w:rFonts w:cs="Times New Roman"/>
          <w:bCs/>
          <w:szCs w:val="28"/>
        </w:rPr>
        <w:t xml:space="preserve">Рисунок 4 - Патологическая трансформация Treg в Th17 под воздействием провосполительных цитокинов </w:t>
      </w:r>
    </w:p>
    <w:p w14:paraId="7A03310F" w14:textId="77777777" w:rsidR="00EF13AB" w:rsidRPr="002B136D" w:rsidRDefault="00EF13AB" w:rsidP="00EF13AB">
      <w:pPr>
        <w:spacing w:after="0" w:line="240" w:lineRule="auto"/>
        <w:contextualSpacing/>
        <w:jc w:val="center"/>
        <w:rPr>
          <w:rFonts w:cs="Times New Roman"/>
          <w:b/>
          <w:szCs w:val="28"/>
        </w:rPr>
      </w:pPr>
    </w:p>
    <w:p w14:paraId="52C69999" w14:textId="77777777" w:rsidR="00166FEB" w:rsidRPr="002B136D" w:rsidRDefault="00166FEB" w:rsidP="00EF13AB">
      <w:pPr>
        <w:spacing w:after="0" w:line="240" w:lineRule="auto"/>
        <w:ind w:firstLine="567"/>
        <w:contextualSpacing/>
        <w:jc w:val="both"/>
        <w:rPr>
          <w:rFonts w:cs="Times New Roman"/>
          <w:szCs w:val="28"/>
          <w:lang w:val="kk-KZ"/>
        </w:rPr>
      </w:pPr>
      <w:r w:rsidRPr="002B136D">
        <w:rPr>
          <w:rFonts w:cs="Times New Roman"/>
          <w:szCs w:val="28"/>
        </w:rPr>
        <w:t>Эти противоречивые результаты подчеркивают сложность роли IL-17 в патогенезе ЭОП и необходимость дальнейших исследований для полного понимания механизмов, посредством которых IL-17 и другие цитокины влияют на активность заболевания.</w:t>
      </w:r>
    </w:p>
    <w:p w14:paraId="6A96D9FD" w14:textId="5F3EBFB8" w:rsidR="00A628D8" w:rsidRPr="002B136D" w:rsidRDefault="00A628D8" w:rsidP="00EF13AB">
      <w:pPr>
        <w:spacing w:after="0" w:line="240" w:lineRule="auto"/>
        <w:ind w:firstLine="567"/>
        <w:contextualSpacing/>
        <w:jc w:val="both"/>
        <w:rPr>
          <w:rFonts w:cs="Times New Roman"/>
          <w:szCs w:val="28"/>
        </w:rPr>
      </w:pPr>
      <w:proofErr w:type="gramStart"/>
      <w:r w:rsidRPr="002B136D">
        <w:rPr>
          <w:rFonts w:cs="Times New Roman"/>
          <w:szCs w:val="28"/>
        </w:rPr>
        <w:t>В настоящее время активно изучаются противовоспалительные цитокины при аутоиммунных заболеваниях для разработки эффективных лекарственных средств.</w:t>
      </w:r>
      <w:proofErr w:type="gramEnd"/>
      <w:r w:rsidRPr="002B136D">
        <w:rPr>
          <w:rFonts w:cs="Times New Roman"/>
          <w:szCs w:val="28"/>
        </w:rPr>
        <w:t xml:space="preserve"> Семейство интерлейкинов-1 (IL-1F) включает 11 провоспалительных цитокинов (IL-1α, IL-1β, IL-33, IL-18, IL-36α, IL-36β, IL-36γ) и противовоспалительные цитокины (IL-1Ra, IL-36Ra, IL-37, IL-38) </w:t>
      </w:r>
      <w:r w:rsidRPr="002B136D">
        <w:rPr>
          <w:rFonts w:cs="Times New Roman"/>
          <w:szCs w:val="28"/>
        </w:rPr>
        <w:fldChar w:fldCharType="begin"/>
      </w:r>
      <w:r w:rsidR="00A6759A" w:rsidRPr="002B136D">
        <w:rPr>
          <w:rFonts w:cs="Times New Roman"/>
          <w:szCs w:val="28"/>
        </w:rPr>
        <w:instrText xml:space="preserve"> ADDIN ZOTERO_ITEM CSL_CITATION {"citationID":"R68gmzXt","properties":{"formattedCitation":"[112]","plainCitation":"[112]","noteIndex":0},"citationItems":[{"id":293,"uris":["http://zotero.org/users/8237658/items/NPYEM9WE"],"itemData":{"id":293,"type":"book","title":"Dinarello, C.A. Introduction to the interleukin-1 family of cytokines and receptors: Drivers of innate inflammation and acquired immunity. Immunol. Rev. 2018, 281, 5–7. [CrossRef] [PubMed]"}}],"schema":"https://github.com/citation-style-language/schema/raw/master/csl-citation.json"} </w:instrText>
      </w:r>
      <w:r w:rsidRPr="002B136D">
        <w:rPr>
          <w:rFonts w:cs="Times New Roman"/>
          <w:szCs w:val="28"/>
        </w:rPr>
        <w:fldChar w:fldCharType="separate"/>
      </w:r>
      <w:r w:rsidR="00A6759A" w:rsidRPr="002B136D">
        <w:rPr>
          <w:rFonts w:cs="Times New Roman"/>
        </w:rPr>
        <w:t>[112]</w:t>
      </w:r>
      <w:r w:rsidRPr="002B136D">
        <w:rPr>
          <w:rFonts w:cs="Times New Roman"/>
          <w:szCs w:val="28"/>
        </w:rPr>
        <w:fldChar w:fldCharType="end"/>
      </w:r>
      <w:r w:rsidRPr="002B136D">
        <w:rPr>
          <w:rFonts w:cs="Times New Roman"/>
          <w:szCs w:val="28"/>
        </w:rPr>
        <w:t xml:space="preserve">. Баланс между этими факторами определяет течение воспаления. </w:t>
      </w:r>
      <w:proofErr w:type="gramStart"/>
      <w:r w:rsidRPr="002B136D">
        <w:rPr>
          <w:rFonts w:cs="Times New Roman"/>
          <w:szCs w:val="28"/>
        </w:rPr>
        <w:t xml:space="preserve">Дисбаланс непосредственно вызывает воспаление или влияет на соотношение Th/Treg клеток, усиливая воспалительный процесс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{"citationID":"2OfykpkY","properties":{"formattedCitation":"[24,113\\uc0\\u8211{}115]","plainCitation":"[24,113–115]","noteIndex":0},"citationItems":[{"id":296,"uris":["http://zotero.org/users/8237658/items/3F4GAFWG"],"itemData":{"id":296,"type":"book","title":"Gao, Y.; Tang, J.; Chen, W.; Li, Q.; Nie, J.; Lin, F.; Tsun, A. Inflammation negatively regulates FOXP3 and regulatory T-cell function via DBC1. Proc. Natl. Acad. Sci. USA 2015, 112, E3246–E3254. [CrossRef] [PubMed]"},"label":"page"},{"id":297,"uris":["http://zotero.org/users/8237658/items/3ATWTE4F"],"itemData":{"id":297,"type":"book","title":"Luo, Y.; Zheng, S.G. Hall of Fame among Pro-inflammatory Cytokines: Interleukin-6 Gene and Its Transcriptional Regulation Mechanisms. Front. Immunol. 2016, 7, 503. [CrossRef]"},"label":"page"},{"id":295,"uris":["http://zotero.org/users/8237658/items/B8RT7NEL"],"itemData":{"id":295,"type":"book","title":"Tan, Z.; Jiang, R.; Wang, X.; Wang, Y.; Lu, L.; Liu, Q.; Ryffel, B. RORgammat+IL-17+ neutrophils play a critical role in hepatic ischemia-reperfusion injury. J. Mol. Cell Biol. 2013, 51, 43–46."},"label":"page"},{"id":294,"uris":["http://zotero.org/users/8237658/items/DI6E2TRQ"],"itemData":{"id":294,"type":"book","title":"Pan, H.F.; Leng, R.X.; Li, X.P.; Zheng, S.G.; Ye, D.Q. Targeting T-helper 9 cells and interleukin-9 in autoimmune diseases. Cytokine Growth Factor Rev. 2013, 245, 15–22. [CrossRef]"},"label":"page"}],"schema":"https://github.com/citation-style-language/schema/raw/master/csl-citation.json"} </w:instrText>
      </w:r>
      <w:r w:rsidRPr="002B136D">
        <w:rPr>
          <w:rFonts w:cs="Times New Roman"/>
          <w:szCs w:val="28"/>
        </w:rPr>
        <w:fldChar w:fldCharType="separate"/>
      </w:r>
      <w:r w:rsidR="00A6759A" w:rsidRPr="002B136D">
        <w:rPr>
          <w:rFonts w:cs="Times New Roman"/>
          <w:szCs w:val="24"/>
        </w:rPr>
        <w:t>[113–115]</w:t>
      </w:r>
      <w:r w:rsidRPr="002B136D">
        <w:rPr>
          <w:rFonts w:cs="Times New Roman"/>
          <w:szCs w:val="28"/>
        </w:rPr>
        <w:fldChar w:fldCharType="end"/>
      </w:r>
      <w:proofErr w:type="gramStart"/>
      <w:r w:rsidRPr="002B136D">
        <w:rPr>
          <w:rFonts w:cs="Times New Roman"/>
          <w:szCs w:val="28"/>
        </w:rPr>
        <w:t>. Цитокин IL-38, открытый в 2001 году</w:t>
      </w:r>
      <w:proofErr w:type="gramEnd"/>
      <w:r w:rsidRPr="002B136D">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{"citationID":"jokm6jDB","properties":{"formattedCitation":"[116,117]","plainCitation":"[116,117]","noteIndex":0},"citationItems":[{"id":298,"uris":["http://zotero.org/users/8237658/items/QAF78JLV"],"itemData":{"id":298,"type":"book","title":"Bensen, J.T.; Dawson, P.A.; Mychaleckyj, J.C.; Bowden, D.W. Bowden. Identification of a Novel Human Cytokine Gene in the Interleukin Gene Cluster on Chromosome 2q12-14. J. Interferon Cytokine Res. 2001, 218, 99–904"},"label":"page"},{"id":299,"uris":["http://zotero.org/users/8237658/items/FHTLFBHN"],"itemData":{"id":299,"type":"book","title":"Lin, H.; Ho, A.S.; Haley-Vicente, D.; Zhang, J.; Bernal-Fussell, J.; Pace, A.M.; Hansen, D.; Schweighofer, K.; Mize, N.K.; Ford, J.E. Cloning and Characterization of IL-1HY2, a Novel Interleukin-1 Family Member. J. Boil. Chem. 2001, 276, 20597–20602. [CrossRef]"},"label":"page"}],"schema":"https://github.com/citation-style-language/schema/raw/master/csl-citation.json"} </w:instrText>
      </w:r>
      <w:r w:rsidRPr="002B136D">
        <w:rPr>
          <w:rFonts w:cs="Times New Roman"/>
          <w:szCs w:val="28"/>
        </w:rPr>
        <w:fldChar w:fldCharType="separate"/>
      </w:r>
      <w:r w:rsidR="00A6759A" w:rsidRPr="002B136D">
        <w:rPr>
          <w:rFonts w:cs="Times New Roman"/>
        </w:rPr>
        <w:t>[116,117]</w:t>
      </w:r>
      <w:r w:rsidRPr="002B136D">
        <w:rPr>
          <w:rFonts w:cs="Times New Roman"/>
          <w:szCs w:val="28"/>
        </w:rPr>
        <w:fldChar w:fldCharType="end"/>
      </w:r>
      <w:r w:rsidRPr="002B136D">
        <w:rPr>
          <w:rFonts w:cs="Times New Roman"/>
          <w:szCs w:val="28"/>
        </w:rPr>
        <w:t>, первоначально назывался IL-1F10 и был переименован в IL-38 в 2010 году.</w:t>
      </w:r>
    </w:p>
    <w:p w14:paraId="30150834" w14:textId="08B39A4A" w:rsidR="00A628D8" w:rsidRPr="002B136D" w:rsidRDefault="00A628D8" w:rsidP="00EF13AB">
      <w:pPr>
        <w:spacing w:after="0" w:line="240" w:lineRule="auto"/>
        <w:ind w:firstLine="567"/>
        <w:contextualSpacing/>
        <w:jc w:val="both"/>
        <w:rPr>
          <w:rFonts w:cs="Times New Roman"/>
          <w:szCs w:val="28"/>
        </w:rPr>
      </w:pPr>
      <w:r w:rsidRPr="002B136D">
        <w:rPr>
          <w:rFonts w:cs="Times New Roman"/>
          <w:szCs w:val="28"/>
        </w:rPr>
        <w:t xml:space="preserve">IL-38 относится к подсемейству IL-36 (вместе с IL-36α, IL-36β, IL-36γ и IL-36Ra) из-за сходства размера, N-концевой структуры и биологической функции </w:t>
      </w:r>
      <w:r w:rsidRPr="002B136D">
        <w:rPr>
          <w:rFonts w:cs="Times New Roman"/>
          <w:szCs w:val="28"/>
        </w:rPr>
        <w:fldChar w:fldCharType="begin"/>
      </w:r>
      <w:r w:rsidR="00A6759A" w:rsidRPr="002B136D">
        <w:rPr>
          <w:rFonts w:cs="Times New Roman"/>
          <w:szCs w:val="28"/>
        </w:rPr>
        <w:instrText xml:space="preserve"> ADDIN ZOTERO_ITEM CSL_CITATION {"citationID":"PI3Ok03Q","properties":{"formattedCitation":"[16]","plainCitation":"[16]","noteIndex":0},"citationItems":[{"id":305,"uris":["http://zotero.org/users/8237658/items/P96J9UIY"],"itemData":{"id":305,"type":"book","title":"Van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[CrossRef]"}}],"schema":"https://github.com/citation-style-language/schema/raw/master/csl-citation.json"} </w:instrText>
      </w:r>
      <w:r w:rsidRPr="002B136D">
        <w:rPr>
          <w:rFonts w:cs="Times New Roman"/>
          <w:szCs w:val="28"/>
        </w:rPr>
        <w:fldChar w:fldCharType="separate"/>
      </w:r>
      <w:r w:rsidR="00A6759A" w:rsidRPr="002B136D">
        <w:rPr>
          <w:rFonts w:cs="Times New Roman"/>
        </w:rPr>
        <w:t>[16</w:t>
      </w:r>
      <w:r w:rsidR="00F81358">
        <w:rPr>
          <w:rFonts w:cs="Times New Roman"/>
        </w:rPr>
        <w:t>,р. 1-5</w:t>
      </w:r>
      <w:r w:rsidR="00A6759A" w:rsidRPr="002B136D">
        <w:rPr>
          <w:rFonts w:cs="Times New Roman"/>
        </w:rPr>
        <w:t>]</w:t>
      </w:r>
      <w:r w:rsidRPr="002B136D">
        <w:rPr>
          <w:rFonts w:cs="Times New Roman"/>
          <w:szCs w:val="28"/>
        </w:rPr>
        <w:fldChar w:fldCharType="end"/>
      </w:r>
      <w:r w:rsidRPr="002B136D">
        <w:rPr>
          <w:rFonts w:cs="Times New Roman"/>
          <w:szCs w:val="28"/>
        </w:rPr>
        <w:t xml:space="preserve">. </w:t>
      </w:r>
    </w:p>
    <w:p w14:paraId="27A0127E" w14:textId="31F3B0FC" w:rsidR="00AF398B" w:rsidRPr="002B136D" w:rsidRDefault="00AF398B" w:rsidP="00EF13AB">
      <w:pPr>
        <w:spacing w:after="0" w:line="240" w:lineRule="auto"/>
        <w:ind w:firstLine="567"/>
        <w:contextualSpacing/>
        <w:jc w:val="both"/>
        <w:rPr>
          <w:rFonts w:cs="Times New Roman"/>
          <w:szCs w:val="28"/>
        </w:rPr>
      </w:pPr>
      <w:r w:rsidRPr="002B136D">
        <w:rPr>
          <w:rFonts w:cs="Times New Roman"/>
          <w:szCs w:val="28"/>
        </w:rPr>
        <w:t xml:space="preserve">Ген IL-38, расположенный в кластере IL-1F на хромосоме 2q13-14.1 между генами IL-1Ra (IL-1RN) и IL-36Ra (IL-36RN), содержит пять экзонов и кодирует белок-предшественник из 152 аминокислот </w:t>
      </w:r>
      <w:r w:rsidRPr="002B136D">
        <w:rPr>
          <w:rFonts w:cs="Times New Roman"/>
          <w:szCs w:val="28"/>
        </w:rPr>
        <w:fldChar w:fldCharType="begin"/>
      </w:r>
      <w:r w:rsidR="00A6759A" w:rsidRPr="002B136D">
        <w:rPr>
          <w:rFonts w:cs="Times New Roman"/>
          <w:szCs w:val="28"/>
        </w:rPr>
        <w:instrText xml:space="preserve"> ADDIN ZOTERO_ITEM CSL_CITATION {"citationID":"U6OnGaHU","properties":{"formattedCitation":"[118]","plainCitation":"[118]","noteIndex":0},"citationItems":[{"id":302,"uris":["http://zotero.org/users/8237658/items/48JKZZ9P"],"itemData":{"id":302,"type":"book","title":"Nicklin, M.J.; Barton, J.L.; Nguyen, M.; Fitzgerald, M.G.; Duff, G.W.; Kornman, K. A Sequence-Based Map of the Nine Genes of the Human Interleukin-1 Cluster. Genom. 2002, 79, 718–725. [CrossRef]"}}],"schema":"https://github.com/citation-style-language/schema/raw/master/csl-citation.json"} </w:instrText>
      </w:r>
      <w:r w:rsidRPr="002B136D">
        <w:rPr>
          <w:rFonts w:cs="Times New Roman"/>
          <w:szCs w:val="28"/>
        </w:rPr>
        <w:fldChar w:fldCharType="separate"/>
      </w:r>
      <w:r w:rsidR="00A6759A" w:rsidRPr="002B136D">
        <w:rPr>
          <w:rFonts w:cs="Times New Roman"/>
        </w:rPr>
        <w:t>[118]</w:t>
      </w:r>
      <w:r w:rsidRPr="002B136D">
        <w:rPr>
          <w:rFonts w:cs="Times New Roman"/>
          <w:szCs w:val="28"/>
        </w:rPr>
        <w:fldChar w:fldCharType="end"/>
      </w:r>
      <w:r w:rsidRPr="002B136D">
        <w:rPr>
          <w:rFonts w:cs="Times New Roman"/>
          <w:szCs w:val="28"/>
        </w:rPr>
        <w:t xml:space="preserve">. Этот белок, полученный из клеток кожи плода, имеет 12-β-цепочечную структуру трилистника. Хотя IL-38 не имеет сигнального пептида, он секретируется различными клетками, включая клетки периферической крови и фибробластоподобные клетки. Показано, что IL-38 секретируется в некротической, апоптотической и воспалительной среде и обладает противовоспалительными свойствами, ингибируя созревание Th17, особенно в отношении макрофагов </w:t>
      </w:r>
      <w:r w:rsidRPr="002B136D">
        <w:rPr>
          <w:rFonts w:cs="Times New Roman"/>
          <w:szCs w:val="28"/>
        </w:rPr>
        <w:fldChar w:fldCharType="begin"/>
      </w:r>
      <w:r w:rsidR="00A6759A" w:rsidRPr="002B136D">
        <w:rPr>
          <w:rFonts w:cs="Times New Roman"/>
          <w:szCs w:val="28"/>
        </w:rPr>
        <w:instrText xml:space="preserve"> ADDIN ZOTERO_ITEM CSL_CITATION {"citationID":"RnRAAVni","properties":{"formattedCitation":"[14]","plainCitation":"[14]","noteIndex":0},"citationItems":[{"id":303,"uris":["http://zotero.org/users/8237658/items/7HS468CZ"],"itemData":{"id":303,"type":"book","title":"Mora,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[CrossRef]"}}],"schema":"https://github.com/citation-style-language/schema/raw/master/csl-citation.json"} </w:instrText>
      </w:r>
      <w:r w:rsidRPr="002B136D">
        <w:rPr>
          <w:rFonts w:cs="Times New Roman"/>
          <w:szCs w:val="28"/>
        </w:rPr>
        <w:fldChar w:fldCharType="separate"/>
      </w:r>
      <w:r w:rsidR="00A6759A" w:rsidRPr="002B136D">
        <w:rPr>
          <w:rFonts w:cs="Times New Roman"/>
        </w:rPr>
        <w:t>[14</w:t>
      </w:r>
      <w:r w:rsidR="00F81358">
        <w:rPr>
          <w:rFonts w:cs="Times New Roman"/>
        </w:rPr>
        <w:t>,р. 426</w:t>
      </w:r>
      <w:r w:rsidR="00A6759A" w:rsidRPr="002B136D">
        <w:rPr>
          <w:rFonts w:cs="Times New Roman"/>
        </w:rPr>
        <w:t>]</w:t>
      </w:r>
      <w:r w:rsidRPr="002B136D">
        <w:rPr>
          <w:rFonts w:cs="Times New Roman"/>
          <w:szCs w:val="28"/>
        </w:rPr>
        <w:fldChar w:fldCharType="end"/>
      </w:r>
      <w:r w:rsidRPr="002B136D">
        <w:rPr>
          <w:rFonts w:cs="Times New Roman"/>
          <w:szCs w:val="28"/>
        </w:rPr>
        <w:t>.</w:t>
      </w:r>
    </w:p>
    <w:p w14:paraId="75DAE4C7" w14:textId="331FC712" w:rsidR="00831E5B" w:rsidRPr="002B136D" w:rsidRDefault="00AA5F48" w:rsidP="00EF13AB">
      <w:pPr>
        <w:spacing w:after="0" w:line="240" w:lineRule="auto"/>
        <w:ind w:firstLine="567"/>
        <w:contextualSpacing/>
        <w:jc w:val="both"/>
        <w:rPr>
          <w:rFonts w:cs="Times New Roman"/>
          <w:szCs w:val="28"/>
          <w:lang w:val="kk-KZ"/>
        </w:rPr>
      </w:pPr>
      <w:r w:rsidRPr="002B136D">
        <w:rPr>
          <w:rFonts w:cs="Times New Roman"/>
          <w:szCs w:val="28"/>
          <w:lang w:val="kk-KZ"/>
        </w:rPr>
        <w:lastRenderedPageBreak/>
        <w:t xml:space="preserve">В мышиных моделях РА гиперэкспрессия IL-38, согласно данным французских ученых, ослабляет воспаление, подавляя инфильтрацию макрофагов и экспрессию Th17-ассоциированных цитокинов (IL-17, IL-23, IL-22), TNFα и IL-6 </w:t>
      </w:r>
      <w:r w:rsidR="00831E5B" w:rsidRPr="002B136D">
        <w:rPr>
          <w:rFonts w:cs="Times New Roman"/>
          <w:szCs w:val="28"/>
          <w:lang w:val="en-US"/>
        </w:rPr>
        <w:fldChar w:fldCharType="begin"/>
      </w:r>
      <w:r w:rsidR="00A6759A" w:rsidRPr="002B136D">
        <w:rPr>
          <w:rFonts w:cs="Times New Roman"/>
          <w:szCs w:val="28"/>
        </w:rPr>
        <w:instrText xml:space="preserve"> ADDIN ZOTERO_ITEM CSL_CITATION {"citationID":"WK9km4NF","properties":{"formattedCitation":"[17]","plainCitation":"[17]","noteIndex":0},"citationItems":[{"id":374,"uris":["http://zotero.org/users/8237658/items/CNH697CP"],"itemData":{"id":374,"type":"book","title":"Boutet MA, Najm A, Bart G, Brion R, Touchais S, Trichet V, Layrolle P, Gabay C, Palmer G, Blanchard F, Le Goff B. IL-38 overexpression induces anti-inflammatory effects in mice arthritis models and in human macrophages in vitro. Ann Rheum Dis. 2017 Jul;76(7):1304-1312. doi: 10.1136/annrheumdis-2016-210630. Epub 2017 Mar 13. PMID: 28288964."}}],"schema":"https://github.com/citation-style-language/schema/raw/master/csl-citation.json"} </w:instrText>
      </w:r>
      <w:r w:rsidR="00831E5B" w:rsidRPr="002B136D">
        <w:rPr>
          <w:rFonts w:cs="Times New Roman"/>
          <w:szCs w:val="28"/>
          <w:lang w:val="en-US"/>
        </w:rPr>
        <w:fldChar w:fldCharType="separate"/>
      </w:r>
      <w:r w:rsidR="00A6759A" w:rsidRPr="002B136D">
        <w:rPr>
          <w:rFonts w:cs="Times New Roman"/>
        </w:rPr>
        <w:t>[17</w:t>
      </w:r>
      <w:r w:rsidR="00F81358">
        <w:rPr>
          <w:rFonts w:cs="Times New Roman"/>
        </w:rPr>
        <w:t>,р. 1304</w:t>
      </w:r>
      <w:r w:rsidR="00A6759A" w:rsidRPr="002B136D">
        <w:rPr>
          <w:rFonts w:cs="Times New Roman"/>
        </w:rPr>
        <w:t>]</w:t>
      </w:r>
      <w:r w:rsidR="00831E5B" w:rsidRPr="002B136D">
        <w:rPr>
          <w:rFonts w:cs="Times New Roman"/>
          <w:szCs w:val="28"/>
          <w:lang w:val="en-US"/>
        </w:rPr>
        <w:fldChar w:fldCharType="end"/>
      </w:r>
      <w:proofErr w:type="gramStart"/>
      <w:r w:rsidR="00831E5B" w:rsidRPr="002B136D">
        <w:rPr>
          <w:rFonts w:cs="Times New Roman"/>
          <w:szCs w:val="28"/>
          <w:lang w:val="kk-KZ"/>
        </w:rPr>
        <w:t>.</w:t>
      </w:r>
      <w:proofErr w:type="gramEnd"/>
    </w:p>
    <w:p w14:paraId="3523EE48" w14:textId="10BB4D43" w:rsidR="00A31D94" w:rsidRPr="002B136D" w:rsidRDefault="00902AB5" w:rsidP="00EF13AB">
      <w:pPr>
        <w:spacing w:after="0" w:line="240" w:lineRule="auto"/>
        <w:ind w:firstLine="567"/>
        <w:contextualSpacing/>
        <w:jc w:val="both"/>
        <w:rPr>
          <w:rFonts w:cs="Times New Roman"/>
          <w:szCs w:val="28"/>
        </w:rPr>
      </w:pPr>
      <w:r w:rsidRPr="002B136D">
        <w:rPr>
          <w:rFonts w:cs="Times New Roman"/>
          <w:szCs w:val="28"/>
        </w:rPr>
        <w:t xml:space="preserve">Для IL-38 были предложены три кандидатных рецептора: IL-36R, IL-1R1 и IL-1RAPL1 (рецептор, подобный белку IL-1). IL-38 связывается с этими рецепторами, блокируя взаимодействие с агонистическими лигандами и ингибируя последующие сигнальные пути. Это приводит к противовоспалительным эффектам через РВМС, моноцитарные клетки линии THP-1, макрофаги (Mφ) и дендритные клетки (ДК). Кроме того, IL-38 ингибирует активацию и функцию Th1 и Th17 клеток, а также способствует распространению Treg клеток </w:t>
      </w:r>
      <w:r w:rsidR="00F37999" w:rsidRPr="002B136D">
        <w:rPr>
          <w:rFonts w:cs="Times New Roman"/>
          <w:szCs w:val="28"/>
        </w:rPr>
        <w:fldChar w:fldCharType="begin"/>
      </w:r>
      <w:r w:rsidR="00A6759A" w:rsidRPr="002B136D">
        <w:rPr>
          <w:rFonts w:cs="Times New Roman"/>
          <w:szCs w:val="28"/>
        </w:rPr>
        <w:instrText xml:space="preserve"> ADDIN ZOTERO_ITEM CSL_CITATION {"citationID":"kVQM0b7w","properties":{"formattedCitation":"[14\\uc0\\u8211{}16]","plainCitation":"[14–16]","noteIndex":0},"citationItems":[{"id":305,"uris":["http://zotero.org/users/8237658/items/P96J9UIY"],"itemData":{"id":305,"type":"book","title":"Van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[CrossRef]"},"label":"page"},{"id":303,"uris":["http://zotero.org/users/8237658/items/7HS468CZ"],"itemData":{"id":303,"type":"book","title":"Mora,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[CrossRef]"},"label":"page"},{"id":304,"uris":["http://zotero.org/users/8237658/items/4IXQCSF4"],"itemData":{"id":304,"type":"book","title":"Yuan, X.L.; Li, Y.; Pan, X.H.; Zhou, M.; Gao, Q.Y. Production of recombinant human interleukin-38 and its inhibitory effect on the expression of proinflammatory cytokines in THP-1 cells. Mol. Boil. 2016, 50, 405–411. [CrossRef]"},"label":"page"}],"schema":"https://github.com/citation-style-language/schema/raw/master/csl-citation.json"} </w:instrText>
      </w:r>
      <w:r w:rsidR="00F37999" w:rsidRPr="002B136D">
        <w:rPr>
          <w:rFonts w:cs="Times New Roman"/>
          <w:szCs w:val="28"/>
        </w:rPr>
        <w:fldChar w:fldCharType="separate"/>
      </w:r>
      <w:r w:rsidR="00A6759A" w:rsidRPr="002B136D">
        <w:rPr>
          <w:rFonts w:cs="Times New Roman"/>
          <w:szCs w:val="24"/>
        </w:rPr>
        <w:t>[14</w:t>
      </w:r>
      <w:r w:rsidR="00F81358">
        <w:rPr>
          <w:rFonts w:cs="Times New Roman"/>
          <w:szCs w:val="24"/>
        </w:rPr>
        <w:t>,р. 426</w:t>
      </w:r>
      <w:r w:rsidR="00A6759A" w:rsidRPr="002B136D">
        <w:rPr>
          <w:rFonts w:cs="Times New Roman"/>
          <w:szCs w:val="24"/>
        </w:rPr>
        <w:t>]</w:t>
      </w:r>
      <w:r w:rsidR="00F37999" w:rsidRPr="002B136D">
        <w:rPr>
          <w:rFonts w:cs="Times New Roman"/>
          <w:szCs w:val="28"/>
        </w:rPr>
        <w:fldChar w:fldCharType="end"/>
      </w:r>
      <w:r w:rsidR="00B30E4E" w:rsidRPr="002B136D">
        <w:rPr>
          <w:rFonts w:cs="Times New Roman"/>
          <w:szCs w:val="28"/>
        </w:rPr>
        <w:t xml:space="preserve">. </w:t>
      </w:r>
    </w:p>
    <w:p w14:paraId="47BEB39C" w14:textId="6524D966" w:rsidR="00A31D94" w:rsidRPr="002B136D" w:rsidRDefault="00AF398B" w:rsidP="00EF13AB">
      <w:pPr>
        <w:spacing w:after="0" w:line="240" w:lineRule="auto"/>
        <w:ind w:firstLine="567"/>
        <w:contextualSpacing/>
        <w:jc w:val="both"/>
        <w:rPr>
          <w:rFonts w:cs="Times New Roman"/>
          <w:szCs w:val="28"/>
        </w:rPr>
      </w:pPr>
      <w:proofErr w:type="gramStart"/>
      <w:r w:rsidRPr="002B136D">
        <w:rPr>
          <w:rFonts w:cs="Times New Roman"/>
          <w:szCs w:val="28"/>
        </w:rPr>
        <w:t xml:space="preserve">Тем не менее, ключевая роль IL-38 в патогенезе воспалительных аутоиммунных заболеваний, особенно Th17-зависимых, становится все более очевидной, хотя основной механизм действия остается спорным </w:t>
      </w:r>
      <w:proofErr w:type="gramEnd"/>
      <w:r w:rsidR="00F37999" w:rsidRPr="002B136D">
        <w:rPr>
          <w:rFonts w:cs="Times New Roman"/>
          <w:szCs w:val="28"/>
        </w:rPr>
        <w:fldChar w:fldCharType="begin"/>
      </w:r>
      <w:r w:rsidR="00A6759A" w:rsidRPr="002B136D">
        <w:rPr>
          <w:rFonts w:cs="Times New Roman"/>
          <w:szCs w:val="28"/>
        </w:rPr>
        <w:instrText xml:space="preserve"> ADDIN ZOTERO_ITEM CSL_CITATION {"citationID":"DhH3Ln9r","properties":{"formattedCitation":"[119,120]","plainCitation":"[119,120]","noteIndex":0},"citationItems":[{"id":306,"uris":["http://zotero.org/users/8237658/items/A2LDPLCR"],"itemData":{"id":306,"type":"book","title":"Boutet, M.A.; Bart, G.; Penhoat, M.; Amiaud, J.; Brulin, B.; Charrier, C.; Vigne, S. Distinct expression of interleukin (IL)-36alpha, beta and gamma, their antagonist IL-36Ra and IL-38 in psoriasis, rheumatoid arthritis and Crohn’s disease. Clin. Exp. Immunol. 2016, 1841, 59–73."},"label":"page"},{"id":307,"uris":["http://zotero.org/users/8237658/items/NQ9NSIFM"],"itemData":{"id":307,"type":"book","title":"Rudloff, I.; Godsell, J.; Nold-Petry, C.A.; Hoi, A.; Harris, J.; Morand, E.F.; Nold, M.F. Brief Report: Interleukin-38 Exerts Antiinflammatory Functions and Is Associated with Disease Activity in Systemic Lupus Erythematosus. Arthritis Rheumatol. 2015, 67, 3219–3225. [CrossRef]"},"label":"page"}],"schema":"https://github.com/citation-style-language/schema/raw/master/csl-citation.json"} </w:instrText>
      </w:r>
      <w:r w:rsidR="00F37999" w:rsidRPr="002B136D">
        <w:rPr>
          <w:rFonts w:cs="Times New Roman"/>
          <w:szCs w:val="28"/>
        </w:rPr>
        <w:fldChar w:fldCharType="separate"/>
      </w:r>
      <w:r w:rsidR="00A6759A" w:rsidRPr="002B136D">
        <w:rPr>
          <w:rFonts w:cs="Times New Roman"/>
        </w:rPr>
        <w:t>[119,120]</w:t>
      </w:r>
      <w:r w:rsidR="00F37999" w:rsidRPr="002B136D">
        <w:rPr>
          <w:rFonts w:cs="Times New Roman"/>
          <w:szCs w:val="28"/>
        </w:rPr>
        <w:fldChar w:fldCharType="end"/>
      </w:r>
      <w:proofErr w:type="gramStart"/>
      <w:r w:rsidR="00B30E4E" w:rsidRPr="002B136D">
        <w:rPr>
          <w:rFonts w:cs="Times New Roman"/>
          <w:szCs w:val="28"/>
        </w:rPr>
        <w:t xml:space="preserve">. </w:t>
      </w:r>
      <w:r w:rsidR="00784DA7" w:rsidRPr="002B136D">
        <w:rPr>
          <w:rFonts w:cs="Times New Roman"/>
          <w:szCs w:val="28"/>
        </w:rPr>
        <w:t>Генетические варианты </w:t>
      </w:r>
      <w:r w:rsidR="00784DA7" w:rsidRPr="002B136D">
        <w:rPr>
          <w:rFonts w:cs="Times New Roman"/>
          <w:i/>
          <w:iCs/>
          <w:szCs w:val="28"/>
        </w:rPr>
        <w:t>IL38</w:t>
      </w:r>
      <w:r w:rsidR="00784DA7" w:rsidRPr="002B136D">
        <w:rPr>
          <w:rFonts w:cs="Times New Roman"/>
          <w:szCs w:val="28"/>
        </w:rPr>
        <w:t> ассоциированы с повышенным риском развития ревматоидного артрита, системной красной волчанки, псориатического артрита, нерентгенологического и анкилозирующего спондилоартрита, а также системного ювенильного артрита, что предполагает влияние генетической предрасположенности к полиморфизмам </w:t>
      </w:r>
      <w:r w:rsidR="00784DA7" w:rsidRPr="002B136D">
        <w:rPr>
          <w:rFonts w:cs="Times New Roman"/>
          <w:i/>
          <w:iCs/>
          <w:szCs w:val="28"/>
        </w:rPr>
        <w:t>IL38</w:t>
      </w:r>
      <w:r w:rsidR="00784DA7" w:rsidRPr="002B136D">
        <w:rPr>
          <w:rFonts w:cs="Times New Roman"/>
          <w:szCs w:val="28"/>
        </w:rPr>
        <w:t> на восприимчивость к этим</w:t>
      </w:r>
      <w:proofErr w:type="gramEnd"/>
      <w:r w:rsidR="00784DA7" w:rsidRPr="002B136D">
        <w:rPr>
          <w:rFonts w:cs="Times New Roman"/>
          <w:szCs w:val="28"/>
        </w:rPr>
        <w:t xml:space="preserve"> </w:t>
      </w:r>
      <w:proofErr w:type="gramStart"/>
      <w:r w:rsidR="00784DA7" w:rsidRPr="002B136D">
        <w:rPr>
          <w:rFonts w:cs="Times New Roman"/>
          <w:szCs w:val="28"/>
        </w:rPr>
        <w:t>заболеваниям</w:t>
      </w:r>
      <w:proofErr w:type="gramEnd"/>
      <w:r w:rsidR="00784DA7" w:rsidRPr="002B136D">
        <w:rPr>
          <w:rFonts w:cs="Times New Roman"/>
          <w:szCs w:val="28"/>
        </w:rPr>
        <w:t xml:space="preserve"> </w:t>
      </w:r>
      <w:r w:rsidR="00F37999" w:rsidRPr="002B136D">
        <w:rPr>
          <w:rFonts w:cs="Times New Roman"/>
          <w:szCs w:val="28"/>
        </w:rPr>
        <w:fldChar w:fldCharType="begin"/>
      </w:r>
      <w:r w:rsidR="00A6759A" w:rsidRPr="002B136D">
        <w:rPr>
          <w:rFonts w:cs="Times New Roman"/>
          <w:szCs w:val="28"/>
        </w:rPr>
        <w:instrText xml:space="preserve"> ADDIN ZOTERO_ITEM CSL_CITATION {"citationID":"sl0ttgnc","properties":{"formattedCitation":"[19,20,67,120\\uc0\\u8211{}122]","plainCitation":"[19,20,67,120–122]","noteIndex":0},"citationItems":[{"id":276,"uris":["http://zotero.org/users/8237658/items/9DDDBGZ9"],"itemData":{"id":276,"type":"book","title":"Zhang J, Qiao Q, Liu M, et al. IL-17 promotes scar formation by inducing macrophage infiltration. Am J Pathol. 2018;188(7): 1693-1702. doi: https://doi.org/10.1016/j.ajpath.2018.04.005."},"label":"page"},{"id":307,"uris":["http://zotero.org/users/8237658/items/NQ9NSIFM"],"itemData":{"id":307,"type":"book","title":"Rudloff, I.; Godsell, J.; Nold-Petry, C.A.; Hoi, A.; Harris, J.; Morand, E.F.; Nold, M.F. Brief Report: Interleukin-38 Exerts Antiinflammatory Functions and Is Associated with Disease Activity in Systemic Lupus Erythematosus. Arthritis Rheumatol. 2015, 67, 3219–3225. [CrossRef]"},"label":"page"},{"id":310,"uris":["http://zotero.org/users/8237658/items/AW8K3G8V"],"itemData":{"id":310,"type":"book","title":"Rahman, P.; Sun, S.; Peddle, L.; Snelgrove, T.; Melay, W.; Greenwood, C.; Gladman, D. Association between the interleukin-1 family gene cluster and psoriatic arthritis. Arthritis Rheum. 2006, 54, 2321–2325. [CrossRef]"},"label":"page"},{"id":309,"uris":["http://zotero.org/users/8237658/items/J5MZJVXG"],"itemData":{"id":309,"type":"book","title":"Monnet, D.; Kadi, A.; Izac, B.; Lebrun, N.; Letourneur, F.; Zinovieva, E.; Said-Nahal, R.; Chiocchia, G.; Breban, M. Association between the IL-1 family gene cluster and spondyloarthritis. Ann. Rheum. Dis. 2012, 71, 885–890. [CrossRef]"},"label":"page"},{"id":311,"uris":["http://zotero.org/users/8237658/items/682SXEDV"],"itemData":{"id":311,"type":"book","title":"Chou, C.T.; Timms, A.E.; Wei, J.C.; Tsai, W.C.; Wordsworth, B.P.; Brown, M.A. Replication of association of IL1 gene complex members with ankylosing spondylitis in Taiwanese Chinese. Ann. Rheum. Dis. 2006, 651, 106–109. [CrossRef]"},"label":"page"},{"id":312,"uris":["http://zotero.org/users/8237658/items/6FSMYIC3"],"itemData":{"id":312,"type":"book","title":"Guo, Z.S.; Li, C.; Lin, Z.M.; Huang, J.X.; Wei, Q.J.; Wang, X.W.; Xie, Y.Y.; Liao, Z.T.; Chao, S.Y.; Gu, J.R. Association of IL-1 gene complex members with ankylosing spondylitis in Chinese Han population. Int. J. Immunogenet. 2010, 37, 33–37. [CrossRef]"},"label":"page"}],"schema":"https://github.com/citation-style-language/schema/raw/master/csl-citation.json"} </w:instrText>
      </w:r>
      <w:r w:rsidR="00F37999" w:rsidRPr="002B136D">
        <w:rPr>
          <w:rFonts w:cs="Times New Roman"/>
          <w:szCs w:val="28"/>
        </w:rPr>
        <w:fldChar w:fldCharType="separate"/>
      </w:r>
      <w:r w:rsidR="00A6759A" w:rsidRPr="002B136D">
        <w:rPr>
          <w:rFonts w:cs="Times New Roman"/>
          <w:szCs w:val="24"/>
        </w:rPr>
        <w:t>[</w:t>
      </w:r>
      <w:r w:rsidR="00F81358">
        <w:rPr>
          <w:rFonts w:cs="Times New Roman"/>
          <w:szCs w:val="24"/>
        </w:rPr>
        <w:t>121</w:t>
      </w:r>
      <w:r w:rsidR="00A6759A" w:rsidRPr="002B136D">
        <w:rPr>
          <w:rFonts w:cs="Times New Roman"/>
          <w:szCs w:val="24"/>
        </w:rPr>
        <w:t>–122]</w:t>
      </w:r>
      <w:r w:rsidR="00F37999" w:rsidRPr="002B136D">
        <w:rPr>
          <w:rFonts w:cs="Times New Roman"/>
          <w:szCs w:val="28"/>
        </w:rPr>
        <w:fldChar w:fldCharType="end"/>
      </w:r>
      <w:r w:rsidR="00B30E4E" w:rsidRPr="002B136D">
        <w:rPr>
          <w:rFonts w:cs="Times New Roman"/>
          <w:szCs w:val="28"/>
        </w:rPr>
        <w:t xml:space="preserve">. </w:t>
      </w:r>
    </w:p>
    <w:p w14:paraId="79FD3EE3" w14:textId="102A6E42" w:rsidR="00A31D94" w:rsidRPr="002B136D" w:rsidRDefault="00750E34" w:rsidP="00EF13AB">
      <w:pPr>
        <w:spacing w:after="0" w:line="240" w:lineRule="auto"/>
        <w:ind w:firstLine="567"/>
        <w:contextualSpacing/>
        <w:jc w:val="both"/>
        <w:rPr>
          <w:rFonts w:cs="Times New Roman"/>
          <w:szCs w:val="28"/>
          <w:lang w:val="kk-KZ"/>
        </w:rPr>
      </w:pPr>
      <w:r w:rsidRPr="002B136D">
        <w:rPr>
          <w:rFonts w:cs="Times New Roman"/>
          <w:szCs w:val="28"/>
          <w:lang w:val="kk-KZ"/>
        </w:rPr>
        <w:t>И</w:t>
      </w:r>
      <w:r w:rsidR="002709CE" w:rsidRPr="002B136D">
        <w:rPr>
          <w:rFonts w:cs="Times New Roman"/>
          <w:szCs w:val="28"/>
        </w:rPr>
        <w:t xml:space="preserve">зучается роль </w:t>
      </w:r>
      <w:r w:rsidR="002709CE" w:rsidRPr="002B136D">
        <w:rPr>
          <w:rFonts w:cs="Times New Roman"/>
          <w:szCs w:val="28"/>
          <w:lang w:val="en-US"/>
        </w:rPr>
        <w:t>IL</w:t>
      </w:r>
      <w:r w:rsidR="002709CE" w:rsidRPr="002B136D">
        <w:rPr>
          <w:rFonts w:cs="Times New Roman"/>
          <w:szCs w:val="28"/>
        </w:rPr>
        <w:t>-38 при иммунопатологиях организма, особенн</w:t>
      </w:r>
      <w:r w:rsidR="00375C10" w:rsidRPr="002B136D">
        <w:rPr>
          <w:rFonts w:cs="Times New Roman"/>
          <w:szCs w:val="28"/>
        </w:rPr>
        <w:t>о среди аутоиммунных заболеваний</w:t>
      </w:r>
      <w:r w:rsidR="00D77B6D" w:rsidRPr="002B136D">
        <w:rPr>
          <w:rFonts w:cs="Times New Roman"/>
          <w:szCs w:val="28"/>
        </w:rPr>
        <w:t xml:space="preserve"> </w:t>
      </w:r>
      <w:r w:rsidR="002709CE" w:rsidRPr="002B136D">
        <w:rPr>
          <w:rFonts w:cs="Times New Roman"/>
          <w:szCs w:val="28"/>
        </w:rPr>
        <w:t>связанных с</w:t>
      </w:r>
      <w:r w:rsidR="00D77B6D" w:rsidRPr="002B136D">
        <w:rPr>
          <w:rFonts w:cs="Times New Roman"/>
          <w:szCs w:val="28"/>
        </w:rPr>
        <w:t xml:space="preserve"> </w:t>
      </w:r>
      <w:r w:rsidR="002709CE" w:rsidRPr="002B136D">
        <w:rPr>
          <w:rFonts w:cs="Times New Roman"/>
          <w:szCs w:val="28"/>
          <w:lang w:val="en-US"/>
        </w:rPr>
        <w:t>IL</w:t>
      </w:r>
      <w:r w:rsidR="002709CE" w:rsidRPr="002B136D">
        <w:rPr>
          <w:rFonts w:cs="Times New Roman"/>
          <w:szCs w:val="28"/>
        </w:rPr>
        <w:t xml:space="preserve">-17. </w:t>
      </w:r>
      <w:r w:rsidR="00561B51" w:rsidRPr="002B136D">
        <w:rPr>
          <w:rFonts w:cs="Times New Roman"/>
          <w:szCs w:val="28"/>
        </w:rPr>
        <w:t>В экспериментальных исследованиях выявлена противовосполительное противофибротическое</w:t>
      </w:r>
      <w:r w:rsidR="00D77B6D" w:rsidRPr="002B136D">
        <w:rPr>
          <w:rFonts w:cs="Times New Roman"/>
          <w:szCs w:val="28"/>
        </w:rPr>
        <w:t xml:space="preserve"> </w:t>
      </w:r>
      <w:r w:rsidR="00561B51" w:rsidRPr="002B136D">
        <w:rPr>
          <w:rFonts w:cs="Times New Roman"/>
          <w:szCs w:val="28"/>
        </w:rPr>
        <w:t xml:space="preserve">действия IL-38 при ЭОП, и обратная корреляция с активностью ЭОП </w:t>
      </w:r>
      <w:r w:rsidR="00561B51" w:rsidRPr="002B136D">
        <w:rPr>
          <w:rFonts w:cs="Times New Roman"/>
          <w:szCs w:val="28"/>
        </w:rPr>
        <w:fldChar w:fldCharType="begin"/>
      </w:r>
      <w:r w:rsidR="00A6759A" w:rsidRPr="002B136D">
        <w:rPr>
          <w:rFonts w:cs="Times New Roman"/>
          <w:szCs w:val="28"/>
        </w:rPr>
        <w:instrText xml:space="preserve"> ADDIN ZOTERO_ITEM CSL_CITATION {"citationID":"UfigJIQl","properties":{"formattedCitation":"[123]","plainCitation":"[123]","noteIndex":0},"citationItems":[{"id":334,"uris":["http://zotero.org/users/8237658/items/7ARYPEZU"],"itemData":{"id":334,"type":"book","title":"Shi L, Ye H, Huang J, Li Y, Wang X, Xu Z, Chen J, Xiao W, Chen R, Yang H. IL-38 Exerts Anti-Inflammatory and Antifibrotic Effects in Thyroid-Associated Ophthalmopathy. J Clin Endocrinol Metab. 2021 Jul 13;106(8):e3125-e3142. doi: 10.1210/clinem/dgab154. PMID: 33693700."}}],"schema":"https://github.com/citation-style-language/schema/raw/master/csl-citation.json"} </w:instrText>
      </w:r>
      <w:r w:rsidR="00561B51" w:rsidRPr="002B136D">
        <w:rPr>
          <w:rFonts w:cs="Times New Roman"/>
          <w:szCs w:val="28"/>
        </w:rPr>
        <w:fldChar w:fldCharType="separate"/>
      </w:r>
      <w:r w:rsidR="00A6759A" w:rsidRPr="002B136D">
        <w:rPr>
          <w:rFonts w:cs="Times New Roman"/>
        </w:rPr>
        <w:t>[123]</w:t>
      </w:r>
      <w:r w:rsidR="00561B51" w:rsidRPr="002B136D">
        <w:rPr>
          <w:rFonts w:cs="Times New Roman"/>
          <w:szCs w:val="28"/>
        </w:rPr>
        <w:fldChar w:fldCharType="end"/>
      </w:r>
      <w:r w:rsidR="00561B51" w:rsidRPr="002B136D">
        <w:rPr>
          <w:rFonts w:cs="Times New Roman"/>
          <w:szCs w:val="28"/>
        </w:rPr>
        <w:t>.</w:t>
      </w:r>
      <w:r w:rsidR="00D77B6D" w:rsidRPr="002B136D">
        <w:rPr>
          <w:rFonts w:cs="Times New Roman"/>
          <w:szCs w:val="28"/>
        </w:rPr>
        <w:t xml:space="preserve"> </w:t>
      </w:r>
      <w:r w:rsidR="007C09CB" w:rsidRPr="002B136D">
        <w:rPr>
          <w:rFonts w:cs="Times New Roman"/>
          <w:szCs w:val="28"/>
        </w:rPr>
        <w:t>Также, по д</w:t>
      </w:r>
      <w:r w:rsidR="00375C10" w:rsidRPr="002B136D">
        <w:rPr>
          <w:rFonts w:cs="Times New Roman"/>
          <w:szCs w:val="28"/>
        </w:rPr>
        <w:t>а</w:t>
      </w:r>
      <w:r w:rsidR="007C09CB" w:rsidRPr="002B136D">
        <w:rPr>
          <w:rFonts w:cs="Times New Roman"/>
          <w:szCs w:val="28"/>
        </w:rPr>
        <w:t xml:space="preserve">нным других исследователей, </w:t>
      </w:r>
      <w:r w:rsidR="007C09CB" w:rsidRPr="002B136D">
        <w:rPr>
          <w:rFonts w:cs="Times New Roman"/>
          <w:szCs w:val="28"/>
          <w:lang w:val="en-US"/>
        </w:rPr>
        <w:t>IL</w:t>
      </w:r>
      <w:r w:rsidR="007C09CB" w:rsidRPr="002B136D">
        <w:rPr>
          <w:rFonts w:cs="Times New Roman"/>
          <w:szCs w:val="28"/>
        </w:rPr>
        <w:t>-</w:t>
      </w:r>
      <w:r w:rsidR="00375C10" w:rsidRPr="002B136D">
        <w:rPr>
          <w:rFonts w:cs="Times New Roman"/>
          <w:szCs w:val="28"/>
        </w:rPr>
        <w:t>38 при ЭОП проводил противовоспа</w:t>
      </w:r>
      <w:r w:rsidR="007C09CB" w:rsidRPr="002B136D">
        <w:rPr>
          <w:rFonts w:cs="Times New Roman"/>
          <w:szCs w:val="28"/>
        </w:rPr>
        <w:t>л</w:t>
      </w:r>
      <w:r w:rsidR="00375C10" w:rsidRPr="002B136D">
        <w:rPr>
          <w:rFonts w:cs="Times New Roman"/>
          <w:szCs w:val="28"/>
        </w:rPr>
        <w:t>и</w:t>
      </w:r>
      <w:r w:rsidR="007C09CB" w:rsidRPr="002B136D">
        <w:rPr>
          <w:rFonts w:cs="Times New Roman"/>
          <w:szCs w:val="28"/>
        </w:rPr>
        <w:t>т</w:t>
      </w:r>
      <w:r w:rsidR="00375C10" w:rsidRPr="002B136D">
        <w:rPr>
          <w:rFonts w:cs="Times New Roman"/>
          <w:szCs w:val="28"/>
        </w:rPr>
        <w:t>ельный</w:t>
      </w:r>
      <w:r w:rsidRPr="002B136D">
        <w:rPr>
          <w:rFonts w:cs="Times New Roman"/>
          <w:szCs w:val="28"/>
        </w:rPr>
        <w:t xml:space="preserve"> эффект, снижая продукци</w:t>
      </w:r>
      <w:r w:rsidRPr="002B136D">
        <w:rPr>
          <w:rFonts w:cs="Times New Roman"/>
          <w:szCs w:val="28"/>
          <w:lang w:val="kk-KZ"/>
        </w:rPr>
        <w:t>ю</w:t>
      </w:r>
      <w:r w:rsidR="007C09CB" w:rsidRPr="002B136D">
        <w:rPr>
          <w:rFonts w:cs="Times New Roman"/>
          <w:szCs w:val="28"/>
        </w:rPr>
        <w:t xml:space="preserve"> провосп</w:t>
      </w:r>
      <w:r w:rsidRPr="002B136D">
        <w:rPr>
          <w:rFonts w:cs="Times New Roman"/>
          <w:szCs w:val="28"/>
          <w:lang w:val="kk-KZ"/>
        </w:rPr>
        <w:t>а</w:t>
      </w:r>
      <w:r w:rsidR="007C09CB" w:rsidRPr="002B136D">
        <w:rPr>
          <w:rFonts w:cs="Times New Roman"/>
          <w:szCs w:val="28"/>
        </w:rPr>
        <w:t>л</w:t>
      </w:r>
      <w:r w:rsidRPr="002B136D">
        <w:rPr>
          <w:rFonts w:cs="Times New Roman"/>
          <w:szCs w:val="28"/>
          <w:lang w:val="kk-KZ"/>
        </w:rPr>
        <w:t>и</w:t>
      </w:r>
      <w:r w:rsidR="007C09CB" w:rsidRPr="002B136D">
        <w:rPr>
          <w:rFonts w:cs="Times New Roman"/>
          <w:szCs w:val="28"/>
        </w:rPr>
        <w:t xml:space="preserve">тиельных интерлейкинов </w:t>
      </w:r>
      <w:r w:rsidR="007C09CB" w:rsidRPr="002B136D">
        <w:rPr>
          <w:rFonts w:cs="Times New Roman"/>
          <w:szCs w:val="28"/>
          <w:lang w:val="en-US"/>
        </w:rPr>
        <w:t>IL</w:t>
      </w:r>
      <w:r w:rsidR="007C09CB" w:rsidRPr="002B136D">
        <w:rPr>
          <w:rFonts w:cs="Times New Roman"/>
          <w:szCs w:val="28"/>
        </w:rPr>
        <w:t xml:space="preserve">-6, </w:t>
      </w:r>
      <w:r w:rsidR="007C09CB" w:rsidRPr="002B136D">
        <w:rPr>
          <w:rFonts w:cs="Times New Roman"/>
          <w:szCs w:val="28"/>
          <w:lang w:val="en-US"/>
        </w:rPr>
        <w:t>IL</w:t>
      </w:r>
      <w:r w:rsidR="007C09CB" w:rsidRPr="002B136D">
        <w:rPr>
          <w:rFonts w:cs="Times New Roman"/>
          <w:szCs w:val="28"/>
        </w:rPr>
        <w:t xml:space="preserve">-8, а на </w:t>
      </w:r>
      <w:r w:rsidR="007C09CB" w:rsidRPr="002B136D">
        <w:rPr>
          <w:rFonts w:cs="Times New Roman"/>
          <w:szCs w:val="28"/>
          <w:lang w:val="en-US"/>
        </w:rPr>
        <w:t>IL</w:t>
      </w:r>
      <w:r w:rsidR="007C09CB" w:rsidRPr="002B136D">
        <w:rPr>
          <w:rFonts w:cs="Times New Roman"/>
          <w:szCs w:val="28"/>
        </w:rPr>
        <w:t xml:space="preserve">-17 </w:t>
      </w:r>
      <w:proofErr w:type="gramStart"/>
      <w:r w:rsidR="007C09CB" w:rsidRPr="002B136D">
        <w:rPr>
          <w:rFonts w:cs="Times New Roman"/>
          <w:szCs w:val="28"/>
        </w:rPr>
        <w:t>действовал</w:t>
      </w:r>
      <w:proofErr w:type="gramEnd"/>
      <w:r w:rsidR="007C09CB" w:rsidRPr="002B136D">
        <w:rPr>
          <w:rFonts w:cs="Times New Roman"/>
          <w:szCs w:val="28"/>
        </w:rPr>
        <w:t xml:space="preserve"> косвенно угнетая экспрессию рецептора к </w:t>
      </w:r>
      <w:r w:rsidR="007C09CB" w:rsidRPr="002B136D">
        <w:rPr>
          <w:rFonts w:cs="Times New Roman"/>
          <w:szCs w:val="28"/>
          <w:lang w:val="en-US"/>
        </w:rPr>
        <w:t>IL</w:t>
      </w:r>
      <w:r w:rsidR="007C09CB" w:rsidRPr="002B136D">
        <w:rPr>
          <w:rFonts w:cs="Times New Roman"/>
          <w:szCs w:val="28"/>
        </w:rPr>
        <w:t>-23</w:t>
      </w:r>
      <w:r w:rsidR="00BC41A2">
        <w:rPr>
          <w:rFonts w:cs="Times New Roman"/>
          <w:szCs w:val="28"/>
        </w:rPr>
        <w:t xml:space="preserve"> </w:t>
      </w:r>
      <w:r w:rsidR="007C09CB" w:rsidRPr="002B136D">
        <w:rPr>
          <w:rFonts w:cs="Times New Roman"/>
          <w:szCs w:val="28"/>
        </w:rPr>
        <w:fldChar w:fldCharType="begin"/>
      </w:r>
      <w:r w:rsidR="004B40F7" w:rsidRPr="002B136D">
        <w:rPr>
          <w:rFonts w:cs="Times New Roman"/>
          <w:szCs w:val="28"/>
        </w:rPr>
        <w:instrText xml:space="preserve"> ADDIN ZOTERO_ITEM CSL_CITATION {"citationID":"WmZTErth","properties":{"formattedCitation":"[4]","plainCitation":"[4]","noteIndex":0},"citationItems":[{"id":335,"uris":["http://zotero.org/users/8237658/items/67KQUEGM"],"itemData":{"id":335,"type":"book","title":"Pan Y, Wang M, Chen X, Chen Y, Ai S, Wang M, Su W, Liang D. Elevated IL-38 inhibits IL-23R expression and IL-17A production in thyroid-associated ophthalmopathy. Int Immunopharmacol. 2021 Feb;91:107300. doi: 10.1016/j.intimp.2020.107300. Epub 2020 Dec 28. PMID: 33383445."}}],"schema":"https://github.com/citation-style-language/schema/raw/master/csl-citation.json"} </w:instrText>
      </w:r>
      <w:r w:rsidR="007C09CB" w:rsidRPr="002B136D">
        <w:rPr>
          <w:rFonts w:cs="Times New Roman"/>
          <w:szCs w:val="28"/>
        </w:rPr>
        <w:fldChar w:fldCharType="separate"/>
      </w:r>
      <w:r w:rsidR="004B40F7" w:rsidRPr="002B136D">
        <w:rPr>
          <w:rFonts w:cs="Times New Roman"/>
        </w:rPr>
        <w:t>[4</w:t>
      </w:r>
      <w:r w:rsidR="00BC41A2">
        <w:rPr>
          <w:rFonts w:cs="Times New Roman"/>
        </w:rPr>
        <w:t>,р. 107</w:t>
      </w:r>
      <w:r w:rsidR="004B40F7" w:rsidRPr="002B136D">
        <w:rPr>
          <w:rFonts w:cs="Times New Roman"/>
        </w:rPr>
        <w:t>]</w:t>
      </w:r>
      <w:r w:rsidR="007C09CB" w:rsidRPr="002B136D">
        <w:rPr>
          <w:rFonts w:cs="Times New Roman"/>
          <w:szCs w:val="28"/>
        </w:rPr>
        <w:fldChar w:fldCharType="end"/>
      </w:r>
      <w:r w:rsidR="007C09CB" w:rsidRPr="002B136D">
        <w:rPr>
          <w:rFonts w:cs="Times New Roman"/>
          <w:szCs w:val="28"/>
        </w:rPr>
        <w:t xml:space="preserve">. </w:t>
      </w:r>
    </w:p>
    <w:p w14:paraId="036274CB" w14:textId="46D487C2" w:rsidR="001720D8" w:rsidRPr="002B136D" w:rsidRDefault="00C72B6A" w:rsidP="00EF13AB">
      <w:pPr>
        <w:spacing w:after="0" w:line="240" w:lineRule="auto"/>
        <w:ind w:firstLine="567"/>
        <w:contextualSpacing/>
        <w:jc w:val="both"/>
        <w:rPr>
          <w:rFonts w:cs="Times New Roman"/>
          <w:szCs w:val="28"/>
        </w:rPr>
      </w:pPr>
      <w:r w:rsidRPr="002B136D">
        <w:rPr>
          <w:rFonts w:cs="Times New Roman"/>
          <w:szCs w:val="28"/>
          <w:lang w:val="kk-KZ"/>
        </w:rPr>
        <w:t xml:space="preserve">В настоящее время предполагается, что IL-38 оказывает противовоспалительное действие через три сигнальных пути или рецептора, однако специфический рецептор точно не установлен, так как получены противоречивые результаты, требующие дальнейших исследований </w:t>
      </w:r>
      <w:r w:rsidR="00AF31F3">
        <w:rPr>
          <w:rFonts w:cs="Times New Roman"/>
          <w:szCs w:val="28"/>
          <w:lang w:val="kk-KZ"/>
        </w:rPr>
        <w:t>(рисунок</w:t>
      </w:r>
      <w:r w:rsidR="00BC41A2">
        <w:rPr>
          <w:rFonts w:cs="Times New Roman"/>
          <w:szCs w:val="28"/>
          <w:lang w:val="kk-KZ"/>
        </w:rPr>
        <w:t xml:space="preserve"> </w:t>
      </w:r>
      <w:r w:rsidRPr="002B136D">
        <w:rPr>
          <w:rFonts w:cs="Times New Roman"/>
          <w:szCs w:val="28"/>
          <w:lang w:val="kk-KZ"/>
        </w:rPr>
        <w:t>5).</w:t>
      </w:r>
    </w:p>
    <w:p w14:paraId="14C2372A" w14:textId="41F4D0CB" w:rsidR="009327F2" w:rsidRPr="002B136D" w:rsidRDefault="00C72B6A" w:rsidP="00EF13AB">
      <w:pPr>
        <w:tabs>
          <w:tab w:val="left" w:pos="2777"/>
        </w:tabs>
        <w:spacing w:after="0" w:line="240" w:lineRule="auto"/>
        <w:ind w:firstLine="567"/>
        <w:contextualSpacing/>
        <w:jc w:val="both"/>
        <w:rPr>
          <w:rFonts w:cs="Times New Roman"/>
          <w:szCs w:val="28"/>
        </w:rPr>
      </w:pPr>
      <w:r w:rsidRPr="002B136D">
        <w:rPr>
          <w:rFonts w:cs="Times New Roman"/>
          <w:szCs w:val="28"/>
        </w:rPr>
        <w:tab/>
      </w:r>
    </w:p>
    <w:p w14:paraId="08D0F805" w14:textId="25140738" w:rsidR="009327F2" w:rsidRPr="00EF13AB" w:rsidRDefault="009327F2" w:rsidP="00EF13AB">
      <w:pPr>
        <w:spacing w:after="0" w:line="240" w:lineRule="auto"/>
        <w:ind w:firstLine="567"/>
        <w:jc w:val="center"/>
        <w:rPr>
          <w:rFonts w:cs="Times New Roman"/>
          <w:bCs/>
          <w:szCs w:val="28"/>
        </w:rPr>
      </w:pPr>
    </w:p>
    <w:p w14:paraId="07B4FABB" w14:textId="77777777" w:rsidR="00D77B6D" w:rsidRPr="002B136D" w:rsidRDefault="00D77B6D" w:rsidP="00C72B6A">
      <w:pPr>
        <w:spacing w:after="0" w:line="360" w:lineRule="auto"/>
        <w:jc w:val="center"/>
        <w:rPr>
          <w:rFonts w:cs="Times New Roman"/>
          <w:b/>
          <w:szCs w:val="28"/>
        </w:rPr>
      </w:pPr>
    </w:p>
    <w:p w14:paraId="55935D3A" w14:textId="0690A427" w:rsidR="00664882" w:rsidRPr="002B136D" w:rsidRDefault="00664882" w:rsidP="00EF13AB">
      <w:pPr>
        <w:spacing w:after="0" w:line="360" w:lineRule="auto"/>
        <w:ind w:firstLine="851"/>
        <w:jc w:val="both"/>
        <w:rPr>
          <w:rFonts w:cs="Times New Roman"/>
          <w:b/>
          <w:szCs w:val="28"/>
        </w:rPr>
      </w:pPr>
      <w:r w:rsidRPr="002B136D">
        <w:rPr>
          <w:rFonts w:cs="Times New Roman"/>
          <w:b/>
          <w:noProof/>
          <w:szCs w:val="28"/>
          <w:lang w:eastAsia="ru-RU"/>
        </w:rPr>
        <w:lastRenderedPageBreak/>
        <w:drawing>
          <wp:inline distT="0" distB="0" distL="0" distR="0" wp14:anchorId="75F62376" wp14:editId="2B02CC5D">
            <wp:extent cx="4626429" cy="2601686"/>
            <wp:effectExtent l="0" t="38100" r="0" b="103505"/>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2EB0DFD" w14:textId="6E848271" w:rsidR="00EF13AB" w:rsidRDefault="00EF13AB" w:rsidP="00EF13AB">
      <w:pPr>
        <w:spacing w:after="0" w:line="240" w:lineRule="auto"/>
        <w:contextualSpacing/>
        <w:jc w:val="center"/>
        <w:rPr>
          <w:rFonts w:cs="Times New Roman"/>
          <w:bCs/>
          <w:szCs w:val="28"/>
        </w:rPr>
      </w:pPr>
      <w:r w:rsidRPr="00EF13AB">
        <w:rPr>
          <w:rFonts w:cs="Times New Roman"/>
          <w:bCs/>
          <w:szCs w:val="28"/>
        </w:rPr>
        <w:t xml:space="preserve">Рисунок 5 - Рецепторы, связывающие с цитокином </w:t>
      </w:r>
      <w:r w:rsidRPr="00EF13AB">
        <w:rPr>
          <w:rFonts w:cs="Times New Roman"/>
          <w:bCs/>
          <w:szCs w:val="28"/>
          <w:lang w:val="en-US"/>
        </w:rPr>
        <w:t>IL</w:t>
      </w:r>
      <w:r w:rsidRPr="00EF13AB">
        <w:rPr>
          <w:rFonts w:cs="Times New Roman"/>
          <w:bCs/>
          <w:szCs w:val="28"/>
        </w:rPr>
        <w:t>-38</w:t>
      </w:r>
    </w:p>
    <w:p w14:paraId="7C1BAF76" w14:textId="77777777" w:rsidR="00EF13AB" w:rsidRDefault="00EF13AB" w:rsidP="00167A90">
      <w:pPr>
        <w:spacing w:after="0" w:line="240" w:lineRule="auto"/>
        <w:ind w:firstLine="709"/>
        <w:contextualSpacing/>
        <w:jc w:val="both"/>
        <w:rPr>
          <w:rFonts w:cs="Times New Roman"/>
          <w:b/>
          <w:szCs w:val="28"/>
        </w:rPr>
      </w:pPr>
    </w:p>
    <w:p w14:paraId="304EB980" w14:textId="2B61D311" w:rsidR="009B5094" w:rsidRPr="002B136D" w:rsidRDefault="00B86156" w:rsidP="00EF13AB">
      <w:pPr>
        <w:spacing w:after="0" w:line="240" w:lineRule="auto"/>
        <w:ind w:firstLine="567"/>
        <w:contextualSpacing/>
        <w:jc w:val="both"/>
        <w:rPr>
          <w:rFonts w:cs="Times New Roman"/>
          <w:b/>
          <w:szCs w:val="28"/>
        </w:rPr>
      </w:pPr>
      <w:r w:rsidRPr="002B136D">
        <w:rPr>
          <w:rFonts w:cs="Times New Roman"/>
          <w:b/>
          <w:szCs w:val="28"/>
        </w:rPr>
        <w:t xml:space="preserve">1.4 </w:t>
      </w:r>
      <w:r w:rsidR="009B5094" w:rsidRPr="002B136D">
        <w:rPr>
          <w:rFonts w:cs="Times New Roman"/>
          <w:b/>
          <w:szCs w:val="28"/>
        </w:rPr>
        <w:t>Сигнальный путь IL-38/IL-1R1 и его функции</w:t>
      </w:r>
    </w:p>
    <w:p w14:paraId="5E228168" w14:textId="77777777" w:rsidR="001D6289" w:rsidRPr="002B136D" w:rsidRDefault="001D6289" w:rsidP="00EF13AB">
      <w:pPr>
        <w:spacing w:after="0" w:line="240" w:lineRule="auto"/>
        <w:ind w:firstLine="567"/>
        <w:contextualSpacing/>
        <w:jc w:val="both"/>
        <w:rPr>
          <w:rFonts w:cs="Times New Roman"/>
          <w:szCs w:val="28"/>
        </w:rPr>
      </w:pPr>
      <w:r w:rsidRPr="002B136D">
        <w:rPr>
          <w:rFonts w:cs="Times New Roman"/>
          <w:szCs w:val="28"/>
        </w:rPr>
        <w:t xml:space="preserve">IL-1R1, </w:t>
      </w:r>
      <w:proofErr w:type="gramStart"/>
      <w:r w:rsidRPr="002B136D">
        <w:rPr>
          <w:rFonts w:cs="Times New Roman"/>
          <w:szCs w:val="28"/>
        </w:rPr>
        <w:t>который</w:t>
      </w:r>
      <w:proofErr w:type="gramEnd"/>
      <w:r w:rsidRPr="002B136D">
        <w:rPr>
          <w:rFonts w:cs="Times New Roman"/>
          <w:szCs w:val="28"/>
        </w:rPr>
        <w:t xml:space="preserve"> экспрессируется в большинстве клеток, активируется провоспалительными цитокинами IL-1 (IL-1α и IL-1β) и блокируется антагонистом IL-1R (IL-1Ra). IL-1R1 является членом семейства IL-1R, которое включает от IL-1R1 до IL-1R10.</w:t>
      </w:r>
    </w:p>
    <w:p w14:paraId="4B483928" w14:textId="6FCAD142" w:rsidR="00A31D94" w:rsidRPr="002B136D" w:rsidRDefault="001D6289" w:rsidP="00EF13AB">
      <w:pPr>
        <w:spacing w:after="0" w:line="240" w:lineRule="auto"/>
        <w:ind w:firstLine="567"/>
        <w:contextualSpacing/>
        <w:jc w:val="both"/>
        <w:rPr>
          <w:rFonts w:cs="Times New Roman"/>
          <w:szCs w:val="28"/>
        </w:rPr>
      </w:pPr>
      <w:r w:rsidRPr="002B136D">
        <w:rPr>
          <w:rFonts w:cs="Times New Roman"/>
          <w:szCs w:val="28"/>
        </w:rPr>
        <w:t xml:space="preserve">Когда провоспалительные цитокины IL-1 связываются с IL-1R1, к комплексу присоединяется IL-1RAcP, а затем активируется внутриклеточный домен TLR. Образовавшийся комплекс действует как платформа для связывания адаптерного белка MyD88. Это, в свою очередь, запускает сигнальные пути, включающие протеинкиназы ERK1/2, p38 MAPK, NF-kB и JNK, что приводит к секреции </w:t>
      </w:r>
      <w:proofErr w:type="gramStart"/>
      <w:r w:rsidRPr="002B136D">
        <w:rPr>
          <w:rFonts w:cs="Times New Roman"/>
          <w:szCs w:val="28"/>
        </w:rPr>
        <w:t>воспалительных</w:t>
      </w:r>
      <w:proofErr w:type="gramEnd"/>
      <w:r w:rsidRPr="002B136D">
        <w:rPr>
          <w:rFonts w:cs="Times New Roman"/>
          <w:szCs w:val="28"/>
        </w:rPr>
        <w:t xml:space="preserve"> цитокинов</w:t>
      </w:r>
      <w:r w:rsidR="009B5094" w:rsidRPr="002B136D">
        <w:rPr>
          <w:rFonts w:cs="Times New Roman"/>
          <w:szCs w:val="28"/>
        </w:rPr>
        <w:t xml:space="preserve"> </w:t>
      </w:r>
      <w:r w:rsidR="00AF31F3">
        <w:rPr>
          <w:rFonts w:cs="Times New Roman"/>
          <w:szCs w:val="28"/>
        </w:rPr>
        <w:t>(рисунок</w:t>
      </w:r>
      <w:r w:rsidR="00BC41A2">
        <w:rPr>
          <w:rFonts w:cs="Times New Roman"/>
          <w:szCs w:val="28"/>
        </w:rPr>
        <w:t xml:space="preserve"> </w:t>
      </w:r>
      <w:r w:rsidR="004B0216" w:rsidRPr="002B136D">
        <w:rPr>
          <w:rFonts w:cs="Times New Roman"/>
          <w:szCs w:val="28"/>
        </w:rPr>
        <w:t>6</w:t>
      </w:r>
      <w:r w:rsidR="009B5094" w:rsidRPr="002B136D">
        <w:rPr>
          <w:rFonts w:cs="Times New Roman"/>
          <w:szCs w:val="28"/>
        </w:rPr>
        <w:t xml:space="preserve">) </w:t>
      </w:r>
      <w:r w:rsidR="00CA4565" w:rsidRPr="002B136D">
        <w:rPr>
          <w:rFonts w:cs="Times New Roman"/>
          <w:szCs w:val="28"/>
        </w:rPr>
        <w:fldChar w:fldCharType="begin"/>
      </w:r>
      <w:r w:rsidR="00A6759A" w:rsidRPr="002B136D">
        <w:rPr>
          <w:rFonts w:cs="Times New Roman"/>
          <w:szCs w:val="28"/>
        </w:rPr>
        <w:instrText xml:space="preserve"> ADDIN ZOTERO_ITEM CSL_CITATION {"citationID":"LaMtTnmH","properties":{"formattedCitation":"[124,125]","plainCitation":"[124,125]","noteIndex":0},"citationItems":[{"id":373,"uris":["http://zotero.org/users/8237658/items/8WW5QTSU"],"itemData":{"id":373,"type":"book","title":"Boraschi D, Tagliabue A. The interleukin-1 receptor family. Semin Immunol. 2013 Dec 15;25(6):394-407. doi: 10.1016/j.smim.2013.10.023. Epub 2013 Nov 15. PMID: 24246227."},"label":"page"},{"id":372,"uris":["http://zotero.org/users/8237658/items/QDC9GGBV"],"itemData":{"id":372,"type":"book","title":"Garlanda C, Dinarello CA, Mantovani A. The interleukin-1 family: back to the future. Immunity. 2013 Dec 12;39(6):1003-18. doi: 10.1016/j.immuni.2013.11.010. PMID: 24332029; PMCID: PMC3933951."},"label":"page"}],"schema":"https://github.com/citation-style-language/schema/raw/master/csl-citation.json"} </w:instrText>
      </w:r>
      <w:r w:rsidR="00CA4565" w:rsidRPr="002B136D">
        <w:rPr>
          <w:rFonts w:cs="Times New Roman"/>
          <w:szCs w:val="28"/>
        </w:rPr>
        <w:fldChar w:fldCharType="separate"/>
      </w:r>
      <w:r w:rsidR="00A6759A" w:rsidRPr="002B136D">
        <w:rPr>
          <w:rFonts w:cs="Times New Roman"/>
        </w:rPr>
        <w:t>[124,125]</w:t>
      </w:r>
      <w:r w:rsidR="00CA4565" w:rsidRPr="002B136D">
        <w:rPr>
          <w:rFonts w:cs="Times New Roman"/>
          <w:szCs w:val="28"/>
        </w:rPr>
        <w:fldChar w:fldCharType="end"/>
      </w:r>
      <w:r w:rsidR="009B5094" w:rsidRPr="002B136D">
        <w:rPr>
          <w:rFonts w:cs="Times New Roman"/>
          <w:szCs w:val="28"/>
        </w:rPr>
        <w:t>.</w:t>
      </w:r>
    </w:p>
    <w:p w14:paraId="2F7DAB27" w14:textId="77777777" w:rsidR="001D6289" w:rsidRPr="002B136D" w:rsidRDefault="001D6289" w:rsidP="00EF13AB">
      <w:pPr>
        <w:spacing w:after="0" w:line="240" w:lineRule="auto"/>
        <w:ind w:firstLine="567"/>
        <w:contextualSpacing/>
        <w:jc w:val="both"/>
        <w:rPr>
          <w:rFonts w:cs="Times New Roman"/>
          <w:szCs w:val="28"/>
        </w:rPr>
      </w:pPr>
      <w:r w:rsidRPr="002B136D">
        <w:rPr>
          <w:rFonts w:cs="Times New Roman"/>
          <w:szCs w:val="28"/>
        </w:rPr>
        <w:t>В отличие от IL-1, IL-1Ra предотвращает передачу сигналов через рецептор IL-1R. Он блокирует присоединение IL-1RAcP и, используя SIGIRR, вмешивается в дальнейшую передачу сигналов. Белок IL-38 на 41% гомологичен IL-1Ra, что предполагает наличие у IL-38 противовоспалительных свойств, схожих с IL-1Ra.</w:t>
      </w:r>
    </w:p>
    <w:p w14:paraId="031BCE3D" w14:textId="0AA5A95C" w:rsidR="001D6289" w:rsidRPr="002B136D" w:rsidRDefault="001D6289" w:rsidP="00EF13AB">
      <w:pPr>
        <w:spacing w:after="0" w:line="240" w:lineRule="auto"/>
        <w:ind w:firstLine="567"/>
        <w:contextualSpacing/>
        <w:jc w:val="both"/>
        <w:rPr>
          <w:rFonts w:cs="Times New Roman"/>
          <w:szCs w:val="28"/>
        </w:rPr>
      </w:pPr>
      <w:r w:rsidRPr="002B136D">
        <w:rPr>
          <w:rFonts w:cs="Times New Roman"/>
          <w:szCs w:val="28"/>
        </w:rPr>
        <w:t xml:space="preserve">В 2001 году Bensen и коллеги показали, что IL-38 </w:t>
      </w:r>
      <w:proofErr w:type="gramStart"/>
      <w:r w:rsidRPr="002B136D">
        <w:rPr>
          <w:rFonts w:cs="Times New Roman"/>
          <w:szCs w:val="28"/>
        </w:rPr>
        <w:t>способен</w:t>
      </w:r>
      <w:proofErr w:type="gramEnd"/>
      <w:r w:rsidRPr="002B136D">
        <w:rPr>
          <w:rFonts w:cs="Times New Roman"/>
          <w:szCs w:val="28"/>
        </w:rPr>
        <w:t xml:space="preserve"> связываться с IL-1R1, но сродство IL-38 к нему значительно ниже, чем у IL-1 и IL-1Ra </w:t>
      </w:r>
      <w:r w:rsidRPr="002B136D">
        <w:rPr>
          <w:rFonts w:cs="Times New Roman"/>
          <w:szCs w:val="28"/>
        </w:rPr>
        <w:fldChar w:fldCharType="begin"/>
      </w:r>
      <w:r w:rsidR="00A6759A" w:rsidRPr="002B136D">
        <w:rPr>
          <w:rFonts w:cs="Times New Roman"/>
          <w:szCs w:val="28"/>
        </w:rPr>
        <w:instrText xml:space="preserve"> ADDIN ZOTERO_ITEM CSL_CITATION {"citationID":"GZgRpQLq","properties":{"formattedCitation":"[116]","plainCitation":"[116]","noteIndex":0},"citationItems":[{"id":298,"uris":["http://zotero.org/users/8237658/items/QAF78JLV"],"itemData":{"id":298,"type":"book","title":"Bensen, J.T.; Dawson, P.A.; Mychaleckyj, J.C.; Bowden, D.W. Bowden. Identification of a Novel Human Cytokine Gene in the Interleukin Gene Cluster on Chromosome 2q12-14. J. Interferon Cytokine Res. 2001, 218, 99–904"}}],"schema":"https://github.com/citation-style-language/schema/raw/master/csl-citation.json"} </w:instrText>
      </w:r>
      <w:r w:rsidRPr="002B136D">
        <w:rPr>
          <w:rFonts w:cs="Times New Roman"/>
          <w:szCs w:val="28"/>
        </w:rPr>
        <w:fldChar w:fldCharType="separate"/>
      </w:r>
      <w:r w:rsidR="00A6759A" w:rsidRPr="002B136D">
        <w:rPr>
          <w:rFonts w:cs="Times New Roman"/>
        </w:rPr>
        <w:t>[116</w:t>
      </w:r>
      <w:r w:rsidR="00BC41A2">
        <w:rPr>
          <w:rFonts w:cs="Times New Roman"/>
        </w:rPr>
        <w:t>,р. 99</w:t>
      </w:r>
      <w:r w:rsidR="00A6759A" w:rsidRPr="002B136D">
        <w:rPr>
          <w:rFonts w:cs="Times New Roman"/>
        </w:rPr>
        <w:t>]</w:t>
      </w:r>
      <w:r w:rsidRPr="002B136D">
        <w:rPr>
          <w:rFonts w:cs="Times New Roman"/>
          <w:szCs w:val="28"/>
          <w:lang w:val="en-US"/>
        </w:rPr>
        <w:fldChar w:fldCharType="end"/>
      </w:r>
      <w:r w:rsidRPr="002B136D">
        <w:rPr>
          <w:rFonts w:cs="Times New Roman"/>
          <w:szCs w:val="28"/>
        </w:rPr>
        <w:t xml:space="preserve">. В 2012 году van de Veerdonk и коллеги обнаружили, что IL-38 не связывается с иммобилизованным IL-1R1 </w:t>
      </w:r>
      <w:r w:rsidRPr="002B136D">
        <w:rPr>
          <w:rFonts w:cs="Times New Roman"/>
          <w:szCs w:val="28"/>
        </w:rPr>
        <w:fldChar w:fldCharType="begin"/>
      </w:r>
      <w:r w:rsidR="00A6759A" w:rsidRPr="002B136D">
        <w:rPr>
          <w:rFonts w:cs="Times New Roman"/>
          <w:szCs w:val="28"/>
        </w:rPr>
        <w:instrText xml:space="preserve"> ADDIN ZOTERO_ITEM CSL_CITATION {"citationID":"lec8t2uu","properties":{"formattedCitation":"[16]","plainCitation":"[16]","noteIndex":0},"citationItems":[{"id":305,"uris":["http://zotero.org/users/8237658/items/P96J9UIY"],"itemData":{"id":305,"type":"book","title":"Van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[CrossRef]"}}],"schema":"https://github.com/citation-style-language/schema/raw/master/csl-citation.json"} </w:instrText>
      </w:r>
      <w:r w:rsidRPr="002B136D">
        <w:rPr>
          <w:rFonts w:cs="Times New Roman"/>
          <w:szCs w:val="28"/>
        </w:rPr>
        <w:fldChar w:fldCharType="separate"/>
      </w:r>
      <w:r w:rsidR="00A6759A" w:rsidRPr="002B136D">
        <w:rPr>
          <w:rFonts w:cs="Times New Roman"/>
        </w:rPr>
        <w:t>[16</w:t>
      </w:r>
      <w:r w:rsidR="00BC41A2">
        <w:rPr>
          <w:rFonts w:cs="Times New Roman"/>
        </w:rPr>
        <w:t>,р. 1-5</w:t>
      </w:r>
      <w:r w:rsidR="00A6759A" w:rsidRPr="002B136D">
        <w:rPr>
          <w:rFonts w:cs="Times New Roman"/>
        </w:rPr>
        <w:t>]</w:t>
      </w:r>
      <w:r w:rsidRPr="002B136D">
        <w:rPr>
          <w:rFonts w:cs="Times New Roman"/>
          <w:szCs w:val="28"/>
          <w:lang w:val="en-US"/>
        </w:rPr>
        <w:fldChar w:fldCharType="end"/>
      </w:r>
      <w:r w:rsidRPr="002B136D">
        <w:rPr>
          <w:rFonts w:cs="Times New Roman"/>
          <w:szCs w:val="28"/>
        </w:rPr>
        <w:t>.</w:t>
      </w:r>
    </w:p>
    <w:p w14:paraId="70096BA3" w14:textId="51B5126B" w:rsidR="00B67697" w:rsidRPr="002B136D" w:rsidRDefault="001D6289" w:rsidP="00EF13AB">
      <w:pPr>
        <w:spacing w:after="0" w:line="240" w:lineRule="auto"/>
        <w:ind w:firstLine="567"/>
        <w:contextualSpacing/>
        <w:jc w:val="both"/>
        <w:rPr>
          <w:rFonts w:cs="Times New Roman"/>
          <w:szCs w:val="28"/>
        </w:rPr>
      </w:pPr>
      <w:r w:rsidRPr="002B136D">
        <w:rPr>
          <w:rFonts w:cs="Times New Roman"/>
          <w:szCs w:val="28"/>
        </w:rPr>
        <w:t xml:space="preserve">В 2016 году Mora и коллеги </w:t>
      </w:r>
      <w:r w:rsidRPr="002B136D">
        <w:rPr>
          <w:rFonts w:cs="Times New Roman"/>
          <w:szCs w:val="28"/>
        </w:rPr>
        <w:fldChar w:fldCharType="begin"/>
      </w:r>
      <w:r w:rsidR="00A6759A" w:rsidRPr="002B136D">
        <w:rPr>
          <w:rFonts w:cs="Times New Roman"/>
          <w:szCs w:val="28"/>
        </w:rPr>
        <w:instrText xml:space="preserve"> ADDIN ZOTERO_ITEM CSL_CITATION {"citationID":"QUDBXKb0","properties":{"formattedCitation":"[14]","plainCitation":"[14]","noteIndex":0},"citationItems":[{"id":303,"uris":["http://zotero.org/users/8237658/items/7HS468CZ"],"itemData":{"id":303,"type":"book","title":"Mora,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[CrossRef]"}}],"schema":"https://github.com/citation-style-language/schema/raw/master/csl-citation.json"} </w:instrText>
      </w:r>
      <w:r w:rsidRPr="002B136D">
        <w:rPr>
          <w:rFonts w:cs="Times New Roman"/>
          <w:szCs w:val="28"/>
        </w:rPr>
        <w:fldChar w:fldCharType="separate"/>
      </w:r>
      <w:r w:rsidR="00A6759A" w:rsidRPr="002B136D">
        <w:rPr>
          <w:rFonts w:cs="Times New Roman"/>
        </w:rPr>
        <w:t>[14</w:t>
      </w:r>
      <w:r w:rsidR="00BC41A2">
        <w:rPr>
          <w:rFonts w:cs="Times New Roman"/>
        </w:rPr>
        <w:t>,р. 426</w:t>
      </w:r>
      <w:r w:rsidR="00A6759A" w:rsidRPr="002B136D">
        <w:rPr>
          <w:rFonts w:cs="Times New Roman"/>
        </w:rPr>
        <w:t>]</w:t>
      </w:r>
      <w:r w:rsidRPr="002B136D">
        <w:rPr>
          <w:rFonts w:cs="Times New Roman"/>
          <w:szCs w:val="28"/>
        </w:rPr>
        <w:fldChar w:fldCharType="end"/>
      </w:r>
      <w:r w:rsidRPr="002B136D">
        <w:rPr>
          <w:rFonts w:cs="Times New Roman"/>
          <w:szCs w:val="28"/>
        </w:rPr>
        <w:t xml:space="preserve"> выявили, что укороченная форма IL-38 обладает более высоким сродством к IL-1R1 и снижает высвобождение IL-6 макрофагами (Mφs) под воздействием IL-1β. Полная форма IL-38 такой способностью не обладает. Добавление супернатанта клеток THP-1, экспрессирующих IL-38, снижает выработку IL-6 синовиальными фибробластами (SFs), стимулированными IL-1β </w:t>
      </w:r>
      <w:r w:rsidR="00285C52" w:rsidRPr="002B136D">
        <w:rPr>
          <w:rFonts w:cs="Times New Roman"/>
          <w:szCs w:val="28"/>
        </w:rPr>
        <w:fldChar w:fldCharType="begin"/>
      </w:r>
      <w:r w:rsidR="00A6759A" w:rsidRPr="002B136D">
        <w:rPr>
          <w:rFonts w:cs="Times New Roman"/>
          <w:szCs w:val="28"/>
        </w:rPr>
        <w:instrText xml:space="preserve"> ADDIN ZOTERO_ITEM CSL_CITATION {"citationID":"rfuZG9Da","properties":{"formattedCitation":"[17]","plainCitation":"[17]","noteIndex":0},"citationItems":[{"id":374,"uris":["http://zotero.org/users/8237658/items/CNH697CP"],"itemData":{"id":374,"type":"book","title":"Boutet MA, Najm A, Bart G, Brion R, Touchais S, Trichet V, Layrolle P, Gabay C, Palmer G, Blanchard F, Le Goff B. IL-38 overexpression induces anti-inflammatory effects in mice arthritis models and in human macrophages in vitro. Ann Rheum Dis. 2017 Jul;76(7):1304-1312. doi: 10.1136/annrheumdis-2016-210630. Epub 2017 Mar 13. PMID: 28288964."}}],"schema":"https://github.com/citation-style-language/schema/raw/master/csl-citation.json"} </w:instrText>
      </w:r>
      <w:r w:rsidR="00285C52" w:rsidRPr="002B136D">
        <w:rPr>
          <w:rFonts w:cs="Times New Roman"/>
          <w:szCs w:val="28"/>
        </w:rPr>
        <w:fldChar w:fldCharType="separate"/>
      </w:r>
      <w:r w:rsidR="00A6759A" w:rsidRPr="002B136D">
        <w:rPr>
          <w:rFonts w:cs="Times New Roman"/>
        </w:rPr>
        <w:t>[17</w:t>
      </w:r>
      <w:r w:rsidR="00BC41A2">
        <w:rPr>
          <w:rFonts w:cs="Times New Roman"/>
        </w:rPr>
        <w:t>,р. 1304</w:t>
      </w:r>
      <w:r w:rsidR="00A6759A" w:rsidRPr="002B136D">
        <w:rPr>
          <w:rFonts w:cs="Times New Roman"/>
        </w:rPr>
        <w:t>]</w:t>
      </w:r>
      <w:r w:rsidR="00285C52" w:rsidRPr="002B136D">
        <w:rPr>
          <w:rFonts w:cs="Times New Roman"/>
          <w:szCs w:val="28"/>
        </w:rPr>
        <w:fldChar w:fldCharType="end"/>
      </w:r>
      <w:r w:rsidR="009B5094" w:rsidRPr="002B136D">
        <w:rPr>
          <w:rFonts w:cs="Times New Roman"/>
          <w:szCs w:val="28"/>
        </w:rPr>
        <w:t>. </w:t>
      </w:r>
      <w:r w:rsidR="00B67697" w:rsidRPr="002B136D">
        <w:rPr>
          <w:rFonts w:cs="Times New Roman"/>
          <w:szCs w:val="28"/>
        </w:rPr>
        <w:t xml:space="preserve">Вопреки этому, </w:t>
      </w:r>
      <w:r w:rsidR="00B67697" w:rsidRPr="002B136D">
        <w:rPr>
          <w:rFonts w:cs="Times New Roman"/>
          <w:szCs w:val="28"/>
        </w:rPr>
        <w:lastRenderedPageBreak/>
        <w:t xml:space="preserve">швейцарские ученые показали, что in vitro </w:t>
      </w:r>
      <w:proofErr w:type="gramStart"/>
      <w:r w:rsidR="00B67697" w:rsidRPr="002B136D">
        <w:rPr>
          <w:rFonts w:cs="Times New Roman"/>
          <w:szCs w:val="28"/>
        </w:rPr>
        <w:t>укороченный</w:t>
      </w:r>
      <w:proofErr w:type="gramEnd"/>
      <w:r w:rsidR="00B67697" w:rsidRPr="002B136D">
        <w:rPr>
          <w:rFonts w:cs="Times New Roman"/>
          <w:szCs w:val="28"/>
        </w:rPr>
        <w:t xml:space="preserve"> ИЛ-38 не ингибирует агонистические эффекты ИЛ-1 </w:t>
      </w:r>
      <w:r w:rsidR="00B67697" w:rsidRPr="002B136D">
        <w:rPr>
          <w:rFonts w:cs="Times New Roman"/>
          <w:szCs w:val="28"/>
        </w:rPr>
        <w:fldChar w:fldCharType="begin"/>
      </w:r>
      <w:r w:rsidR="00A6759A" w:rsidRPr="002B136D">
        <w:rPr>
          <w:rFonts w:cs="Times New Roman"/>
          <w:szCs w:val="28"/>
        </w:rPr>
        <w:instrText xml:space="preserve"> ADDIN ZOTERO_ITEM CSL_CITATION {"citationID":"M3DRAGaZ","properties":{"formattedCitation":"[126]","plainCitation":"[126]","noteIndex":0},"citationItems":[{"id":590,"uris":["http://zotero.org/users/8237658/items/76U5V3SA"],"itemData":{"id":590,"type":"book","title":"Diaz-Barreiro A, Talabot-Ayer D, Huard A, Cereghetti G, Tonacini J, Maillasson M, Francés-Monerris A, Mortier E, Palmer G. Full-length and N-terminally truncated recombinant interleukin-38 variants are similarly inefficient in antagonizing interleukin-36 and interleukin-1 receptors. Cell Commun Signal. 2025 Jan 20;23(1):34. doi: 10.1186/s12964-025-02035-z. PMID: 39833821; PMCID: PMC11744908."}}],"schema":"https://github.com/citation-style-language/schema/raw/master/csl-citation.json"} </w:instrText>
      </w:r>
      <w:r w:rsidR="00B67697" w:rsidRPr="002B136D">
        <w:rPr>
          <w:rFonts w:cs="Times New Roman"/>
          <w:szCs w:val="28"/>
        </w:rPr>
        <w:fldChar w:fldCharType="separate"/>
      </w:r>
      <w:r w:rsidR="00A6759A" w:rsidRPr="002B136D">
        <w:rPr>
          <w:rFonts w:cs="Times New Roman"/>
        </w:rPr>
        <w:t>[126]</w:t>
      </w:r>
      <w:r w:rsidR="00B67697" w:rsidRPr="002B136D">
        <w:rPr>
          <w:rFonts w:cs="Times New Roman"/>
          <w:szCs w:val="28"/>
        </w:rPr>
        <w:fldChar w:fldCharType="end"/>
      </w:r>
      <w:r w:rsidR="00B67697" w:rsidRPr="002B136D">
        <w:rPr>
          <w:rFonts w:cs="Times New Roman"/>
          <w:szCs w:val="28"/>
        </w:rPr>
        <w:t>.</w:t>
      </w:r>
    </w:p>
    <w:p w14:paraId="2CC583C8" w14:textId="34734706" w:rsidR="009B5094" w:rsidRDefault="009B5094" w:rsidP="00EF13AB">
      <w:pPr>
        <w:spacing w:after="0" w:line="240" w:lineRule="auto"/>
        <w:ind w:firstLine="567"/>
        <w:contextualSpacing/>
        <w:jc w:val="both"/>
        <w:rPr>
          <w:rFonts w:cs="Times New Roman"/>
          <w:szCs w:val="28"/>
        </w:rPr>
      </w:pPr>
      <w:proofErr w:type="gramStart"/>
      <w:r w:rsidRPr="002B136D">
        <w:rPr>
          <w:rFonts w:cs="Times New Roman"/>
          <w:szCs w:val="28"/>
        </w:rPr>
        <w:t>В заключение, путь IL-38/IL-1R1, вероятно, оказывает противовоспалительное действие, хотя ни в одном из этих сообщений не доказано, что IL-1R1 необходим для биоэффектов, связанных с IL-38.</w:t>
      </w:r>
      <w:proofErr w:type="gramEnd"/>
      <w:r w:rsidRPr="002B136D">
        <w:rPr>
          <w:rFonts w:cs="Times New Roman"/>
          <w:szCs w:val="28"/>
        </w:rPr>
        <w:t> Таким образом, роль IL-1R1 еще предстоит изучить в отношении широкой экспрессии IL-1R1 в иммунных клетках.</w:t>
      </w:r>
    </w:p>
    <w:p w14:paraId="5BE4728F" w14:textId="77777777" w:rsidR="00EF13AB" w:rsidRPr="002B136D" w:rsidRDefault="00EF13AB" w:rsidP="00EF13AB">
      <w:pPr>
        <w:spacing w:after="0" w:line="240" w:lineRule="auto"/>
        <w:ind w:firstLine="567"/>
        <w:contextualSpacing/>
        <w:jc w:val="both"/>
        <w:rPr>
          <w:rFonts w:cs="Times New Roman"/>
          <w:szCs w:val="28"/>
        </w:rPr>
      </w:pPr>
    </w:p>
    <w:p w14:paraId="07FBBD76" w14:textId="77777777" w:rsidR="00A31D94" w:rsidRPr="002B136D" w:rsidRDefault="00B86156" w:rsidP="00EF13AB">
      <w:pPr>
        <w:spacing w:after="0" w:line="240" w:lineRule="auto"/>
        <w:ind w:firstLine="567"/>
        <w:contextualSpacing/>
        <w:jc w:val="both"/>
        <w:rPr>
          <w:rFonts w:cs="Times New Roman"/>
          <w:b/>
          <w:szCs w:val="28"/>
        </w:rPr>
      </w:pPr>
      <w:r w:rsidRPr="002B136D">
        <w:rPr>
          <w:rFonts w:cs="Times New Roman"/>
          <w:b/>
          <w:szCs w:val="28"/>
        </w:rPr>
        <w:t>1.</w:t>
      </w:r>
      <w:r w:rsidR="00D46C4D" w:rsidRPr="002B136D">
        <w:rPr>
          <w:rFonts w:cs="Times New Roman"/>
          <w:b/>
          <w:szCs w:val="28"/>
        </w:rPr>
        <w:t>5</w:t>
      </w:r>
      <w:r w:rsidRPr="002B136D">
        <w:rPr>
          <w:rFonts w:cs="Times New Roman"/>
          <w:b/>
          <w:szCs w:val="28"/>
        </w:rPr>
        <w:t xml:space="preserve"> </w:t>
      </w:r>
      <w:r w:rsidR="009B5094" w:rsidRPr="002B136D">
        <w:rPr>
          <w:rFonts w:cs="Times New Roman"/>
          <w:b/>
          <w:szCs w:val="28"/>
        </w:rPr>
        <w:t>Сигнальный путь IL-38/IL-36R и его функции</w:t>
      </w:r>
    </w:p>
    <w:p w14:paraId="5FA01C80" w14:textId="5DABECC3" w:rsidR="00A31D94" w:rsidRPr="002B136D" w:rsidRDefault="00DB4EEB" w:rsidP="00EF13AB">
      <w:pPr>
        <w:spacing w:after="0" w:line="240" w:lineRule="auto"/>
        <w:ind w:firstLine="567"/>
        <w:contextualSpacing/>
        <w:jc w:val="both"/>
        <w:rPr>
          <w:rFonts w:cs="Times New Roman"/>
          <w:szCs w:val="28"/>
        </w:rPr>
      </w:pPr>
      <w:r w:rsidRPr="002B136D">
        <w:rPr>
          <w:rFonts w:cs="Times New Roman"/>
          <w:szCs w:val="28"/>
        </w:rPr>
        <w:t xml:space="preserve">IL-36R (также </w:t>
      </w:r>
      <w:proofErr w:type="gramStart"/>
      <w:r w:rsidRPr="002B136D">
        <w:rPr>
          <w:rFonts w:cs="Times New Roman"/>
          <w:szCs w:val="28"/>
        </w:rPr>
        <w:t>известный</w:t>
      </w:r>
      <w:proofErr w:type="gramEnd"/>
      <w:r w:rsidRPr="002B136D">
        <w:rPr>
          <w:rFonts w:cs="Times New Roman"/>
          <w:szCs w:val="28"/>
        </w:rPr>
        <w:t xml:space="preserve"> как IL-1R6 или IL-1Rrp2) является рецептором для IL-36α, IL-36β и IL-36γ, активируясь этими процитокинами и ингибируясь IL-36Ra. IL-38 также связывается с IL-36R, но действует как слабый, дозозависимый частичный антагонист. IL-36R преимущественно экспрессируется дендритными клетками, кератоцитами и T-хелперами  </w:t>
      </w:r>
      <w:r w:rsidR="00285C52" w:rsidRPr="002B136D">
        <w:rPr>
          <w:rFonts w:cs="Times New Roman"/>
          <w:szCs w:val="28"/>
        </w:rPr>
        <w:fldChar w:fldCharType="begin"/>
      </w:r>
      <w:r w:rsidR="00A6759A" w:rsidRPr="002B136D">
        <w:rPr>
          <w:rFonts w:cs="Times New Roman"/>
          <w:szCs w:val="28"/>
        </w:rPr>
        <w:instrText xml:space="preserve"> ADDIN ZOTERO_ITEM CSL_CITATION {"citationID":"F21YcnWW","properties":{"formattedCitation":"[119,127,128]","plainCitation":"[119,127,128]","noteIndex":0},"citationItems":[{"id":306,"uris":["http://zotero.org/users/8237658/items/A2LDPLCR"],"itemData":{"id":306,"type":"book","title":"Boutet, M.A.; Bart, G.; Penhoat, M.; Amiaud, J.; Brulin, B.; Charrier, C.; Vigne, S. Distinct expression of interleukin (IL)-36alpha, beta and gamma, their antagonist IL-36Ra and IL-38 in psoriasis, rheumatoid arthritis and Crohn’s disease. Clin. Exp. Immunol. 2016, 1841, 59–73."},"label":"page"},{"id":376,"uris":["http://zotero.org/users/8237658/items/4UWGHWNY"],"itemData":{"id":376,"type":"book","title":"Mutamba S, Allison A, Mahida Y, Barrow P, Foster N. Expression of IL-1Rrp2 by human myelomonocytic cells is unique to DCs and facilitates DC maturation by IL-1F8 and IL-1F9. Eur J Immunol. 2012 Mar;42(3):607-17. doi: 10.1002/eji.201142035. PMID: 22144259."},"label":"page"},{"id":375,"uris":["http://zotero.org/users/8237658/items/M9KY85HV"],"itemData":{"id":375,"type":"book","title":"Vigne S, Palmer G, Lamacchia C, Martin P, Talabot-Ayer D, Rodriguez E, Ronchi F, Sallusto F, Dinh H, Sims JE, Gabay C. IL-36R ligands are potent regulators of dendritic and T cells. Blood. 2011 Nov 24;118(22):5813-23. doi: 10.1182/blood-2011-05-356873. Epub 2011 Aug 22. PMID: 21860022."},"label":"page"}],"schema":"https://github.com/citation-style-language/schema/raw/master/csl-citation.json"} </w:instrText>
      </w:r>
      <w:r w:rsidR="00285C52" w:rsidRPr="002B136D">
        <w:rPr>
          <w:rFonts w:cs="Times New Roman"/>
          <w:szCs w:val="28"/>
        </w:rPr>
        <w:fldChar w:fldCharType="separate"/>
      </w:r>
      <w:r w:rsidR="00A6759A" w:rsidRPr="002B136D">
        <w:rPr>
          <w:rFonts w:cs="Times New Roman"/>
        </w:rPr>
        <w:t>[127,128]</w:t>
      </w:r>
      <w:r w:rsidR="00285C52" w:rsidRPr="002B136D">
        <w:rPr>
          <w:rFonts w:cs="Times New Roman"/>
          <w:szCs w:val="28"/>
        </w:rPr>
        <w:fldChar w:fldCharType="end"/>
      </w:r>
      <w:r w:rsidR="009B5094" w:rsidRPr="002B136D">
        <w:rPr>
          <w:rFonts w:cs="Times New Roman"/>
          <w:szCs w:val="28"/>
        </w:rPr>
        <w:t>.</w:t>
      </w:r>
      <w:r w:rsidR="009B5094" w:rsidRPr="002B136D">
        <w:rPr>
          <w:rFonts w:cs="Times New Roman"/>
          <w:szCs w:val="28"/>
          <w:lang w:val="en-US"/>
        </w:rPr>
        <w:t> </w:t>
      </w:r>
    </w:p>
    <w:p w14:paraId="1C724307" w14:textId="186D4B19" w:rsidR="00A31D94" w:rsidRPr="002B136D" w:rsidRDefault="009B5094" w:rsidP="00EF13AB">
      <w:pPr>
        <w:spacing w:after="0" w:line="240" w:lineRule="auto"/>
        <w:ind w:firstLine="567"/>
        <w:contextualSpacing/>
        <w:jc w:val="both"/>
        <w:rPr>
          <w:rFonts w:cs="Times New Roman"/>
          <w:szCs w:val="28"/>
        </w:rPr>
      </w:pPr>
      <w:proofErr w:type="gramStart"/>
      <w:r w:rsidRPr="002B136D">
        <w:rPr>
          <w:rFonts w:cs="Times New Roman"/>
          <w:szCs w:val="28"/>
        </w:rPr>
        <w:t xml:space="preserve">Для процитокинов IL-36Ra и IL-36 необходимо расщепить девять AA, прежде чем мотив Ax-Asp станет полностью активным </w:t>
      </w:r>
      <w:proofErr w:type="gramEnd"/>
      <w:r w:rsidR="008B0D48" w:rsidRPr="002B136D">
        <w:rPr>
          <w:rFonts w:cs="Times New Roman"/>
          <w:szCs w:val="28"/>
        </w:rPr>
        <w:fldChar w:fldCharType="begin"/>
      </w:r>
      <w:r w:rsidR="00A6759A" w:rsidRPr="002B136D">
        <w:rPr>
          <w:rFonts w:cs="Times New Roman"/>
          <w:szCs w:val="28"/>
        </w:rPr>
        <w:instrText xml:space="preserve"> ADDIN ZOTERO_ITEM CSL_CITATION {"citationID":"PJFOJ2Gt","properties":{"formattedCitation":"[129]","plainCitation":"[129]","noteIndex":0},"citationItems":[{"id":377,"uris":["http://zotero.org/users/8237658/items/8CPJCXPR"],"itemData":{"id":377,"type":"book","title":"Towne JE, Renshaw BR, Douangpanya J, Lipsky BP, Shen M, Gabel CA, Sims JE. Interleukin-36 (IL-36) ligands require processing for full agonist (IL-36α, IL-36β, and IL-36γ) or antagonist (IL-36Ra) activity. J Biol Chem. 2011 Dec 9;286(49):42594-42602. doi: 10.1074/jbc.M111.267922. Epub 2011 Sep 29. PMID: 21965679; PMCID: PMC3234937."}}],"schema":"https://github.com/citation-style-language/schema/raw/master/csl-citation.json"} </w:instrText>
      </w:r>
      <w:r w:rsidR="008B0D48" w:rsidRPr="002B136D">
        <w:rPr>
          <w:rFonts w:cs="Times New Roman"/>
          <w:szCs w:val="28"/>
        </w:rPr>
        <w:fldChar w:fldCharType="separate"/>
      </w:r>
      <w:r w:rsidR="00A6759A" w:rsidRPr="002B136D">
        <w:rPr>
          <w:rFonts w:cs="Times New Roman"/>
        </w:rPr>
        <w:t>[129]</w:t>
      </w:r>
      <w:r w:rsidR="008B0D48" w:rsidRPr="002B136D">
        <w:rPr>
          <w:rFonts w:cs="Times New Roman"/>
          <w:szCs w:val="28"/>
        </w:rPr>
        <w:fldChar w:fldCharType="end"/>
      </w:r>
      <w:proofErr w:type="gramStart"/>
      <w:r w:rsidRPr="002B136D">
        <w:rPr>
          <w:rFonts w:cs="Times New Roman"/>
          <w:szCs w:val="28"/>
        </w:rPr>
        <w:t>. Процитокины IL-36 взаимодействуют с IL-36R и рекрутируют IL-1RAcP, который формирует цитоплазматический домен рец</w:t>
      </w:r>
      <w:r w:rsidR="007077B6" w:rsidRPr="002B136D">
        <w:rPr>
          <w:rFonts w:cs="Times New Roman"/>
          <w:szCs w:val="28"/>
        </w:rPr>
        <w:t>ептора толл-интерлейкина 1 (TIR.</w:t>
      </w:r>
      <w:proofErr w:type="gramEnd"/>
      <w:r w:rsidR="00D77B6D" w:rsidRPr="002B136D">
        <w:rPr>
          <w:rFonts w:cs="Times New Roman"/>
          <w:szCs w:val="28"/>
        </w:rPr>
        <w:t xml:space="preserve"> </w:t>
      </w:r>
      <w:r w:rsidRPr="002B136D">
        <w:rPr>
          <w:rFonts w:cs="Times New Roman"/>
          <w:szCs w:val="28"/>
        </w:rPr>
        <w:t xml:space="preserve">Домены TIR функционируют как сайт стыковки для MyD88 </w:t>
      </w:r>
      <w:r w:rsidR="008B0D48" w:rsidRPr="002B136D">
        <w:rPr>
          <w:rFonts w:cs="Times New Roman"/>
          <w:szCs w:val="28"/>
        </w:rPr>
        <w:fldChar w:fldCharType="begin"/>
      </w:r>
      <w:r w:rsidR="00A6759A" w:rsidRPr="002B136D">
        <w:rPr>
          <w:rFonts w:cs="Times New Roman"/>
          <w:szCs w:val="28"/>
        </w:rPr>
        <w:instrText xml:space="preserve"> ADDIN ZOTERO_ITEM CSL_CITATION {"citationID":"Tyz0cGFm","properties":{"formattedCitation":"[130]","plainCitation":"[130]","noteIndex":0},"citationItems":[{"id":378,"uris":["http://zotero.org/users/8237658/items/YNHK5KET"],"itemData":{"id":378,"type":"book","title":"Nishida A, Hidaka K, Kanda T, Imaeda H, Shioya M, Inatomi O, Bamba S, Kitoh K, Sugimoto M, Andoh A. Increased Expression of Interleukin-36, a Member of the Interleukin-1 Cytokine Family, in Inflammatory Bowel Disease. Inflamm Bowel Dis. 2016 Feb;22(2):303-14. doi: 10.1097/MIB.0000000000000654. PMID: 26752465."}}],"schema":"https://github.com/citation-style-language/schema/raw/master/csl-citation.json"} </w:instrText>
      </w:r>
      <w:r w:rsidR="008B0D48" w:rsidRPr="002B136D">
        <w:rPr>
          <w:rFonts w:cs="Times New Roman"/>
          <w:szCs w:val="28"/>
        </w:rPr>
        <w:fldChar w:fldCharType="separate"/>
      </w:r>
      <w:r w:rsidR="00A6759A" w:rsidRPr="002B136D">
        <w:rPr>
          <w:rFonts w:cs="Times New Roman"/>
        </w:rPr>
        <w:t>[130]</w:t>
      </w:r>
      <w:r w:rsidR="008B0D48" w:rsidRPr="002B136D">
        <w:rPr>
          <w:rFonts w:cs="Times New Roman"/>
          <w:szCs w:val="28"/>
        </w:rPr>
        <w:fldChar w:fldCharType="end"/>
      </w:r>
      <w:r w:rsidRPr="002B136D">
        <w:rPr>
          <w:rFonts w:cs="Times New Roman"/>
          <w:szCs w:val="28"/>
        </w:rPr>
        <w:t xml:space="preserve">, который активирует ряд цепных реакций, которые в конечном итоге приводят к активации нескольких факторов транскрипции, что сходно с таковым для пути IL-1R1. Этот процесс запускает TNF-α, IFN-γ и IL-17, среди прочего, чтобы способствовать притоку нейтрофилов, возбуждению DC, поляризации Th1 и Th17 и пролиферации KC </w:t>
      </w:r>
      <w:r w:rsidR="008B0D48" w:rsidRPr="002B136D">
        <w:rPr>
          <w:rFonts w:cs="Times New Roman"/>
          <w:szCs w:val="28"/>
        </w:rPr>
        <w:fldChar w:fldCharType="begin"/>
      </w:r>
      <w:r w:rsidR="00A6759A" w:rsidRPr="002B136D">
        <w:rPr>
          <w:rFonts w:cs="Times New Roman"/>
          <w:szCs w:val="28"/>
        </w:rPr>
        <w:instrText xml:space="preserve"> ADDIN ZOTERO_ITEM CSL_CITATION {"citationID":"mXHFTbFF","properties":{"formattedCitation":"[131]","plainCitation":"[131]","noteIndex":0},"citationItems":[{"id":618,"uris":["http://zotero.org/users/8237658/items/67RGINHI"],"itemData":{"id":618,"type":"book","title":"Трошина Е.А., Сенюшкина Е.С. Вклад центральных регуляторов иммунного ответа в развитие заболеваний щитовидной железы. Проблемы Эндокринологии. 2019;65(6):458-465. https://doi.org/10.14341/probl10304"}}],"schema":"https://github.com/citation-style-language/schema/raw/master/csl-citation.json"} </w:instrText>
      </w:r>
      <w:r w:rsidR="008B0D48" w:rsidRPr="002B136D">
        <w:rPr>
          <w:rFonts w:cs="Times New Roman"/>
          <w:szCs w:val="28"/>
        </w:rPr>
        <w:fldChar w:fldCharType="separate"/>
      </w:r>
      <w:r w:rsidR="00A6759A" w:rsidRPr="002B136D">
        <w:rPr>
          <w:rFonts w:cs="Times New Roman"/>
        </w:rPr>
        <w:t>[131]</w:t>
      </w:r>
      <w:r w:rsidR="008B0D48" w:rsidRPr="002B136D">
        <w:rPr>
          <w:rFonts w:cs="Times New Roman"/>
          <w:szCs w:val="28"/>
        </w:rPr>
        <w:fldChar w:fldCharType="end"/>
      </w:r>
      <w:r w:rsidRPr="002B136D">
        <w:rPr>
          <w:rFonts w:cs="Times New Roman"/>
          <w:szCs w:val="28"/>
        </w:rPr>
        <w:t>. </w:t>
      </w:r>
    </w:p>
    <w:p w14:paraId="668225ED" w14:textId="6DC6372B" w:rsidR="00A31D94" w:rsidRPr="002B136D" w:rsidRDefault="009B5094" w:rsidP="00EF13AB">
      <w:pPr>
        <w:spacing w:after="0" w:line="240" w:lineRule="auto"/>
        <w:ind w:firstLine="567"/>
        <w:contextualSpacing/>
        <w:jc w:val="both"/>
        <w:rPr>
          <w:rFonts w:cs="Times New Roman"/>
          <w:szCs w:val="28"/>
        </w:rPr>
      </w:pPr>
      <w:proofErr w:type="gramStart"/>
      <w:r w:rsidRPr="002B136D">
        <w:rPr>
          <w:rFonts w:cs="Times New Roman"/>
          <w:szCs w:val="28"/>
        </w:rPr>
        <w:t xml:space="preserve">Более того, процитокины IL-36 повышают выработку IL-23, способствуя экспансии Th17 </w:t>
      </w:r>
      <w:proofErr w:type="gramEnd"/>
      <w:r w:rsidR="00354B5A" w:rsidRPr="002B136D">
        <w:rPr>
          <w:rFonts w:cs="Times New Roman"/>
          <w:szCs w:val="28"/>
        </w:rPr>
        <w:fldChar w:fldCharType="begin"/>
      </w:r>
      <w:r w:rsidR="00A6759A" w:rsidRPr="002B136D">
        <w:rPr>
          <w:rFonts w:cs="Times New Roman"/>
          <w:szCs w:val="28"/>
        </w:rPr>
        <w:instrText xml:space="preserve"> ADDIN ZOTERO_ITEM CSL_CITATION {"citationID":"NRu9M757","properties":{"formattedCitation":"[132]","plainCitation":"[132]","noteIndex":0},"citationItems":[{"id":380,"uris":["http://zotero.org/users/8237658/items/SLC3SL44"],"itemData":{"id":380,"type":"book","title":"Chi HH, Hua KF, Lin YC, Chu CL, Hsieh CY, Hsu YJ, Ka SM, Tsai YL, Liu FC, Chen A. IL-36 Signaling Facilitates Activation of the NLRP3 Inflammasome and IL-23/IL-17 Axis in Renal Inflammation and Fibrosis. J Am Soc Nephrol. 2017 Jul;28(7):2022-2037. doi: 10.1681/ASN.2016080840. Epub 2017 Feb 8. PMID: 28179433; PMCID: PMC5491282."}}],"schema":"https://github.com/citation-style-language/schema/raw/master/csl-citation.json"} </w:instrText>
      </w:r>
      <w:r w:rsidR="00354B5A" w:rsidRPr="002B136D">
        <w:rPr>
          <w:rFonts w:cs="Times New Roman"/>
          <w:szCs w:val="28"/>
        </w:rPr>
        <w:fldChar w:fldCharType="separate"/>
      </w:r>
      <w:r w:rsidR="00A6759A" w:rsidRPr="002B136D">
        <w:rPr>
          <w:rFonts w:cs="Times New Roman"/>
        </w:rPr>
        <w:t>[132]</w:t>
      </w:r>
      <w:r w:rsidR="00354B5A" w:rsidRPr="002B136D">
        <w:rPr>
          <w:rFonts w:cs="Times New Roman"/>
          <w:szCs w:val="28"/>
        </w:rPr>
        <w:fldChar w:fldCharType="end"/>
      </w:r>
      <w:proofErr w:type="gramStart"/>
      <w:r w:rsidRPr="002B136D">
        <w:rPr>
          <w:rFonts w:cs="Times New Roman"/>
          <w:szCs w:val="28"/>
        </w:rPr>
        <w:t xml:space="preserve">, и рассматриваются как часть каркаса IL-17, поскольку они не только регулируются IL-17, но и усиливаются функциями IL-17 </w:t>
      </w:r>
      <w:proofErr w:type="gramEnd"/>
      <w:r w:rsidR="00354B5A" w:rsidRPr="002B136D">
        <w:rPr>
          <w:rFonts w:cs="Times New Roman"/>
          <w:szCs w:val="28"/>
        </w:rPr>
        <w:fldChar w:fldCharType="begin"/>
      </w:r>
      <w:r w:rsidR="004B40F7" w:rsidRPr="002B136D">
        <w:rPr>
          <w:rFonts w:cs="Times New Roman"/>
          <w:szCs w:val="28"/>
        </w:rPr>
        <w:instrText xml:space="preserve"> ADDIN ZOTERO_ITEM CSL_CITATION {"citationID":"0AcrrXEO","properties":{"formattedCitation":"[9]","plainCitation":"[9]","noteIndex":0},"citationItems":[{"id":591,"uris":["http://zotero.org/users/8237658/items/4TBKPAML"],"itemData":{"id":591,"type":"book","title":"Lu Y, Xing C, Zhang C, Lv X, Liu G, Chen F, Hou Z, Zhang D. Promotion of IL‑17/NF‑κB signaling in autoimmune thyroid diseases. Exp Ther Med. 2022 Dec 6;25(1):51. doi: 10.3892/etm.2022.11750. PMID: 36588813; PMCID: PMC9780515."}}],"schema":"https://github.com/citation-style-language/schema/raw/master/csl-citation.json"} </w:instrText>
      </w:r>
      <w:r w:rsidR="00354B5A" w:rsidRPr="002B136D">
        <w:rPr>
          <w:rFonts w:cs="Times New Roman"/>
          <w:szCs w:val="28"/>
        </w:rPr>
        <w:fldChar w:fldCharType="separate"/>
      </w:r>
      <w:r w:rsidR="004B40F7" w:rsidRPr="002B136D">
        <w:rPr>
          <w:rFonts w:cs="Times New Roman"/>
        </w:rPr>
        <w:t>[9</w:t>
      </w:r>
      <w:r w:rsidR="00BC41A2">
        <w:rPr>
          <w:rFonts w:cs="Times New Roman"/>
        </w:rPr>
        <w:t>,р. 51</w:t>
      </w:r>
      <w:r w:rsidR="004B40F7" w:rsidRPr="002B136D">
        <w:rPr>
          <w:rFonts w:cs="Times New Roman"/>
        </w:rPr>
        <w:t>]</w:t>
      </w:r>
      <w:r w:rsidR="00354B5A" w:rsidRPr="002B136D">
        <w:rPr>
          <w:rFonts w:cs="Times New Roman"/>
          <w:szCs w:val="28"/>
        </w:rPr>
        <w:fldChar w:fldCharType="end"/>
      </w:r>
      <w:proofErr w:type="gramStart"/>
      <w:r w:rsidR="000A09A6">
        <w:fldChar w:fldCharType="begin"/>
      </w:r>
      <w:r w:rsidR="000A09A6">
        <w:instrText xml:space="preserve"> HYPERLINK "https://www.ncbi.nlm.nih.gov/pmc/articles/PMC6723600/" \l "B51-biomolecules-09-00345" </w:instrText>
      </w:r>
      <w:r w:rsidR="000A09A6">
        <w:fldChar w:fldCharType="separate"/>
      </w:r>
      <w:r w:rsidRPr="002B136D">
        <w:rPr>
          <w:rStyle w:val="a8"/>
          <w:rFonts w:cs="Times New Roman"/>
          <w:color w:val="auto"/>
          <w:szCs w:val="28"/>
          <w:u w:val="none"/>
        </w:rPr>
        <w:t>.</w:t>
      </w:r>
      <w:r w:rsidR="000A09A6">
        <w:rPr>
          <w:rStyle w:val="a8"/>
          <w:rFonts w:cs="Times New Roman"/>
          <w:color w:val="auto"/>
          <w:szCs w:val="28"/>
          <w:u w:val="none"/>
        </w:rPr>
        <w:fldChar w:fldCharType="end"/>
      </w:r>
      <w:r w:rsidR="00D77B6D" w:rsidRPr="002B136D">
        <w:rPr>
          <w:rFonts w:cs="Times New Roman"/>
          <w:szCs w:val="28"/>
        </w:rPr>
        <w:t xml:space="preserve"> </w:t>
      </w:r>
      <w:r w:rsidRPr="002B136D">
        <w:rPr>
          <w:rFonts w:cs="Times New Roman"/>
          <w:szCs w:val="28"/>
        </w:rPr>
        <w:t>Напротив, IL-36Ra проявляет антагонистический эффект при некоторых воспалительных аутоиммунных заболеваниях</w:t>
      </w:r>
      <w:proofErr w:type="gramEnd"/>
      <w:r w:rsidRPr="002B136D">
        <w:rPr>
          <w:rFonts w:cs="Times New Roman"/>
          <w:szCs w:val="28"/>
        </w:rPr>
        <w:t xml:space="preserve"> </w:t>
      </w:r>
      <w:r w:rsidR="00354B5A" w:rsidRPr="002B136D">
        <w:rPr>
          <w:rFonts w:cs="Times New Roman"/>
          <w:szCs w:val="28"/>
        </w:rPr>
        <w:fldChar w:fldCharType="begin"/>
      </w:r>
      <w:r w:rsidR="00A6759A" w:rsidRPr="002B136D">
        <w:rPr>
          <w:rFonts w:cs="Times New Roman"/>
          <w:szCs w:val="28"/>
        </w:rPr>
        <w:instrText xml:space="preserve"> ADDIN ZOTERO_ITEM CSL_CITATION {"citationID":"itUORd9H","properties":{"formattedCitation":"[119]","plainCitation":"[119]","noteIndex":0},"citationItems":[{"id":306,"uris":["http://zotero.org/users/8237658/items/A2LDPLCR"],"itemData":{"id":306,"type":"book","title":"Boutet, M.A.; Bart, G.; Penhoat, M.; Amiaud, J.; Brulin, B.; Charrier, C.; Vigne, S. Distinct expression of interleukin (IL)-36alpha, beta and gamma, their antagonist IL-36Ra and IL-38 in psoriasis, rheumatoid arthritis and Crohn’s disease. Clin. Exp. Immunol. 2016, 1841, 59–73."}}],"schema":"https://github.com/citation-style-language/schema/raw/master/csl-citation.json"} </w:instrText>
      </w:r>
      <w:r w:rsidR="00354B5A" w:rsidRPr="002B136D">
        <w:rPr>
          <w:rFonts w:cs="Times New Roman"/>
          <w:szCs w:val="28"/>
        </w:rPr>
        <w:fldChar w:fldCharType="separate"/>
      </w:r>
      <w:r w:rsidR="00A6759A" w:rsidRPr="002B136D">
        <w:rPr>
          <w:rFonts w:cs="Times New Roman"/>
        </w:rPr>
        <w:t>[119</w:t>
      </w:r>
      <w:r w:rsidR="00BC41A2">
        <w:rPr>
          <w:rFonts w:cs="Times New Roman"/>
        </w:rPr>
        <w:t>,р. 59</w:t>
      </w:r>
      <w:r w:rsidR="00A6759A" w:rsidRPr="002B136D">
        <w:rPr>
          <w:rFonts w:cs="Times New Roman"/>
        </w:rPr>
        <w:t>]</w:t>
      </w:r>
      <w:r w:rsidR="00354B5A" w:rsidRPr="002B136D">
        <w:rPr>
          <w:rFonts w:cs="Times New Roman"/>
          <w:szCs w:val="28"/>
        </w:rPr>
        <w:fldChar w:fldCharType="end"/>
      </w:r>
      <w:r w:rsidRPr="002B136D">
        <w:rPr>
          <w:rFonts w:cs="Times New Roman"/>
          <w:szCs w:val="28"/>
        </w:rPr>
        <w:t>. </w:t>
      </w:r>
    </w:p>
    <w:p w14:paraId="29F5F2C1" w14:textId="767CCD13" w:rsidR="00A31D94" w:rsidRPr="002B136D" w:rsidRDefault="009B5094" w:rsidP="00EF13AB">
      <w:pPr>
        <w:spacing w:after="0" w:line="240" w:lineRule="auto"/>
        <w:ind w:firstLine="567"/>
        <w:contextualSpacing/>
        <w:jc w:val="both"/>
        <w:rPr>
          <w:rFonts w:cs="Times New Roman"/>
          <w:szCs w:val="28"/>
        </w:rPr>
      </w:pPr>
      <w:proofErr w:type="gramStart"/>
      <w:r w:rsidRPr="002B136D">
        <w:rPr>
          <w:rFonts w:cs="Times New Roman"/>
          <w:szCs w:val="28"/>
        </w:rPr>
        <w:t>IL-36Ra блокирует передачу сигналов вниз от IL-36R, предотвращая рекрутирование IL-1RAcP, и в то же время IL-36Ra рекрутирует SIGIRR, подобно IL-1Ra.</w:t>
      </w:r>
      <w:r w:rsidR="005B0439" w:rsidRPr="002B136D">
        <w:rPr>
          <w:rFonts w:cs="Times New Roman"/>
          <w:szCs w:val="28"/>
        </w:rPr>
        <w:t xml:space="preserve"> </w:t>
      </w:r>
      <w:r w:rsidR="00AF31F3">
        <w:rPr>
          <w:rFonts w:cs="Times New Roman"/>
          <w:szCs w:val="28"/>
        </w:rPr>
        <w:t>(рисунок</w:t>
      </w:r>
      <w:r w:rsidR="00BC41A2">
        <w:rPr>
          <w:rFonts w:cs="Times New Roman"/>
          <w:szCs w:val="28"/>
        </w:rPr>
        <w:t xml:space="preserve"> </w:t>
      </w:r>
      <w:r w:rsidR="004B0216" w:rsidRPr="002B136D">
        <w:rPr>
          <w:rFonts w:cs="Times New Roman"/>
          <w:szCs w:val="28"/>
        </w:rPr>
        <w:t>6</w:t>
      </w:r>
      <w:r w:rsidRPr="002B136D">
        <w:rPr>
          <w:rFonts w:cs="Times New Roman"/>
          <w:szCs w:val="28"/>
        </w:rPr>
        <w:t>)</w:t>
      </w:r>
      <w:r w:rsidR="00354B5A" w:rsidRPr="002B136D">
        <w:rPr>
          <w:rFonts w:cs="Times New Roman"/>
          <w:szCs w:val="28"/>
        </w:rPr>
        <w:t xml:space="preserve"> </w:t>
      </w:r>
      <w:proofErr w:type="gramEnd"/>
      <w:r w:rsidR="00354B5A" w:rsidRPr="002B136D">
        <w:rPr>
          <w:rFonts w:cs="Times New Roman"/>
          <w:szCs w:val="28"/>
        </w:rPr>
        <w:fldChar w:fldCharType="begin"/>
      </w:r>
      <w:r w:rsidR="00A6759A" w:rsidRPr="002B136D">
        <w:rPr>
          <w:rFonts w:cs="Times New Roman"/>
          <w:szCs w:val="28"/>
        </w:rPr>
        <w:instrText xml:space="preserve"> ADDIN ZOTERO_ITEM CSL_CITATION {"citationID":"omlbzszG","properties":{"formattedCitation":"[119,133]","plainCitation":"[119,133]","noteIndex":0},"citationItems":[{"id":306,"uris":["http://zotero.org/users/8237658/items/A2LDPLCR"],"itemData":{"id":306,"type":"book","title":"Boutet, M.A.; Bart, G.; Penhoat, M.; Amiaud, J.; Brulin, B.; Charrier, C.; Vigne, S. Distinct expression of interleukin (IL)-36alpha, beta and gamma, their antagonist IL-36Ra and IL-38 in psoriasis, rheumatoid arthritis and Crohn’s disease. Clin. Exp. Immunol. 2016, 1841, 59–73."},"label":"page"},{"id":381,"uris":["http://zotero.org/users/8237658/items/JWAC89BG"],"itemData":{"id":381,"type":"book","title":"Riva F, Bonavita E, Barbati E, Muzio M, Mantovani A, Garlanda C. TIR8/SIGIRR is an Interleukin-1 Receptor/Toll Like Receptor Family Member with Regulatory Functions in Inflammation and Immunity. Front Immunol. 2012 Oct 29;3:322. doi: 10.3389/fimmu.2012.00322. PMID: 23112799; PMCID: PMC3482685."},"label":"page"}],"schema":"https://github.com/citation-style-language/schema/raw/master/csl-citation.json"} </w:instrText>
      </w:r>
      <w:r w:rsidR="00354B5A" w:rsidRPr="002B136D">
        <w:rPr>
          <w:rFonts w:cs="Times New Roman"/>
          <w:szCs w:val="28"/>
        </w:rPr>
        <w:fldChar w:fldCharType="separate"/>
      </w:r>
      <w:r w:rsidR="00A6759A" w:rsidRPr="002B136D">
        <w:rPr>
          <w:rFonts w:cs="Times New Roman"/>
        </w:rPr>
        <w:t>[133]</w:t>
      </w:r>
      <w:r w:rsidR="00354B5A" w:rsidRPr="002B136D">
        <w:rPr>
          <w:rFonts w:cs="Times New Roman"/>
          <w:szCs w:val="28"/>
        </w:rPr>
        <w:fldChar w:fldCharType="end"/>
      </w:r>
      <w:proofErr w:type="gramStart"/>
      <w:r w:rsidRPr="002B136D">
        <w:rPr>
          <w:rFonts w:cs="Times New Roman"/>
          <w:szCs w:val="28"/>
        </w:rPr>
        <w:t>. Как и в случае с IL-36Ra, IL-38 блокирует нижестоящую передачу сигналов, предотвращая связывание процитокинов IL-36 с IL-36R и рекрутирование IL-1RAcP, но пока не сообщалось, обладает ли IL-38 способностью рекрутировать SIGIRR. </w:t>
      </w:r>
      <w:proofErr w:type="gramEnd"/>
    </w:p>
    <w:p w14:paraId="5B6EA10A" w14:textId="267D5C6E" w:rsidR="00A31D94" w:rsidRPr="002B136D" w:rsidRDefault="009B5094" w:rsidP="00EF13AB">
      <w:pPr>
        <w:spacing w:after="0" w:line="240" w:lineRule="auto"/>
        <w:ind w:firstLine="567"/>
        <w:contextualSpacing/>
        <w:jc w:val="both"/>
        <w:rPr>
          <w:rFonts w:cs="Times New Roman"/>
          <w:szCs w:val="28"/>
        </w:rPr>
      </w:pPr>
      <w:r w:rsidRPr="002B136D">
        <w:rPr>
          <w:rFonts w:cs="Times New Roman"/>
          <w:szCs w:val="28"/>
        </w:rPr>
        <w:t xml:space="preserve">Однако </w:t>
      </w:r>
      <w:r w:rsidR="005B0439" w:rsidRPr="002B136D">
        <w:rPr>
          <w:rFonts w:cs="Times New Roman"/>
          <w:szCs w:val="28"/>
        </w:rPr>
        <w:t>имеется теория</w:t>
      </w:r>
      <w:r w:rsidRPr="002B136D">
        <w:rPr>
          <w:rFonts w:cs="Times New Roman"/>
          <w:szCs w:val="28"/>
        </w:rPr>
        <w:t xml:space="preserve">, что IL-38 имеет дозозависимый эффект, аналогичный эффекту IL-37, который может задействовать SIGIRR для противовоспалительного эффекта, что требует дальнейших исследований для проверки. Кроме того, все еще необходимо определить, действует ли IL-38 как провоспалительный или </w:t>
      </w:r>
      <w:proofErr w:type="gramStart"/>
      <w:r w:rsidRPr="002B136D">
        <w:rPr>
          <w:rFonts w:cs="Times New Roman"/>
          <w:szCs w:val="28"/>
        </w:rPr>
        <w:t>противовоспалительный</w:t>
      </w:r>
      <w:proofErr w:type="gramEnd"/>
      <w:r w:rsidRPr="002B136D">
        <w:rPr>
          <w:rFonts w:cs="Times New Roman"/>
          <w:szCs w:val="28"/>
        </w:rPr>
        <w:t xml:space="preserve"> цитокин в</w:t>
      </w:r>
      <w:r w:rsidR="009064AD" w:rsidRPr="002B136D">
        <w:rPr>
          <w:rFonts w:cs="Times New Roman"/>
          <w:szCs w:val="28"/>
        </w:rPr>
        <w:t xml:space="preserve"> пути IL-38/IL36R. В 2012 году </w:t>
      </w:r>
      <w:r w:rsidR="009064AD" w:rsidRPr="002B136D">
        <w:rPr>
          <w:rFonts w:cs="Times New Roman"/>
          <w:szCs w:val="28"/>
          <w:lang w:val="kk-KZ"/>
        </w:rPr>
        <w:t>В</w:t>
      </w:r>
      <w:r w:rsidRPr="002B136D">
        <w:rPr>
          <w:rFonts w:cs="Times New Roman"/>
          <w:szCs w:val="28"/>
        </w:rPr>
        <w:t xml:space="preserve">ан де Вердонк и его коллеги </w:t>
      </w:r>
      <w:r w:rsidR="00B0705F" w:rsidRPr="002B136D">
        <w:rPr>
          <w:rFonts w:cs="Times New Roman"/>
          <w:szCs w:val="28"/>
        </w:rPr>
        <w:fldChar w:fldCharType="begin"/>
      </w:r>
      <w:r w:rsidR="00A6759A" w:rsidRPr="002B136D">
        <w:rPr>
          <w:rFonts w:cs="Times New Roman"/>
          <w:szCs w:val="28"/>
        </w:rPr>
        <w:instrText xml:space="preserve"> ADDIN ZOTERO_ITEM CSL_CITATION {"citationID":"VxhHI8bl","properties":{"formattedCitation":"[16]","plainCitation":"[16]","noteIndex":0},"citationItems":[{"id":305,"uris":["http://zotero.org/users/8237658/items/P96J9UIY"],"itemData":{"id":305,"type":"book","title":"Van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[CrossRef]"}}],"schema":"https://github.com/citation-style-language/schema/raw/master/csl-citation.json"} </w:instrText>
      </w:r>
      <w:r w:rsidR="00B0705F" w:rsidRPr="002B136D">
        <w:rPr>
          <w:rFonts w:cs="Times New Roman"/>
          <w:szCs w:val="28"/>
        </w:rPr>
        <w:fldChar w:fldCharType="separate"/>
      </w:r>
      <w:r w:rsidR="00A6759A" w:rsidRPr="002B136D">
        <w:rPr>
          <w:rFonts w:cs="Times New Roman"/>
        </w:rPr>
        <w:t>[16</w:t>
      </w:r>
      <w:r w:rsidR="00BC41A2">
        <w:rPr>
          <w:rFonts w:cs="Times New Roman"/>
        </w:rPr>
        <w:t>,р. 1-5</w:t>
      </w:r>
      <w:r w:rsidR="00A6759A" w:rsidRPr="002B136D">
        <w:rPr>
          <w:rFonts w:cs="Times New Roman"/>
        </w:rPr>
        <w:t>]</w:t>
      </w:r>
      <w:r w:rsidR="00B0705F" w:rsidRPr="002B136D">
        <w:rPr>
          <w:rFonts w:cs="Times New Roman"/>
          <w:szCs w:val="28"/>
        </w:rPr>
        <w:fldChar w:fldCharType="end"/>
      </w:r>
      <w:r w:rsidRPr="002B136D">
        <w:rPr>
          <w:rFonts w:cs="Times New Roman"/>
          <w:szCs w:val="28"/>
        </w:rPr>
        <w:t xml:space="preserve"> обнаружили, что IL-38 может связываться только с IL-36R, но не с IL-1RI, IL-18R и IL-1RAcP, </w:t>
      </w:r>
      <w:r w:rsidRPr="002B136D">
        <w:rPr>
          <w:rFonts w:cs="Times New Roman"/>
          <w:szCs w:val="28"/>
        </w:rPr>
        <w:lastRenderedPageBreak/>
        <w:t xml:space="preserve">способность IL-38 </w:t>
      </w:r>
      <w:proofErr w:type="gramStart"/>
      <w:r w:rsidRPr="002B136D">
        <w:rPr>
          <w:rFonts w:cs="Times New Roman"/>
          <w:szCs w:val="28"/>
        </w:rPr>
        <w:t>связываться с IL-36R также аналогична</w:t>
      </w:r>
      <w:proofErr w:type="gramEnd"/>
      <w:r w:rsidRPr="002B136D">
        <w:rPr>
          <w:rFonts w:cs="Times New Roman"/>
          <w:szCs w:val="28"/>
        </w:rPr>
        <w:t xml:space="preserve"> способности IL-36Ra. </w:t>
      </w:r>
    </w:p>
    <w:p w14:paraId="0168FEA2" w14:textId="71E35484" w:rsidR="006103DB" w:rsidRDefault="008D6502" w:rsidP="00EF13AB">
      <w:pPr>
        <w:spacing w:after="0" w:line="240" w:lineRule="auto"/>
        <w:ind w:firstLine="567"/>
        <w:contextualSpacing/>
        <w:jc w:val="both"/>
        <w:rPr>
          <w:rFonts w:cs="Times New Roman"/>
          <w:szCs w:val="28"/>
        </w:rPr>
      </w:pPr>
      <w:r w:rsidRPr="002B136D">
        <w:rPr>
          <w:rFonts w:cs="Times New Roman"/>
          <w:szCs w:val="28"/>
        </w:rPr>
        <w:t xml:space="preserve">В экспериментальных исследованиях введение рекомбинантного IL-38 подавляло Th17-ответы, вызванные Candida albicans, снижая уровни цитокинов IL-6, IL-8 и IL-17 в культурах периферических моноклеток крови (PBMC), что сопоставимо с действием IL-36Ra. </w:t>
      </w:r>
      <w:proofErr w:type="gramStart"/>
      <w:r w:rsidRPr="002B136D">
        <w:rPr>
          <w:rFonts w:cs="Times New Roman"/>
          <w:szCs w:val="28"/>
        </w:rPr>
        <w:t xml:space="preserve">После удаления гена IL-38 уровни IL-6 и IL-8 увеличивались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{"citationID":"mKPxMEtC","properties":{"formattedCitation":"[16]","plainCitation":"[16]","noteIndex":0},"citationItems":[{"id":305,"uris":["http://zotero.org/users/8237658/items/P96J9UIY"],"itemData":{"id":305,"type":"book","title":"Van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[CrossRef]"}}],"schema":"https://github.com/citation-style-language/schema/raw/master/csl-citation.json"} </w:instrText>
      </w:r>
      <w:r w:rsidRPr="002B136D">
        <w:rPr>
          <w:rFonts w:cs="Times New Roman"/>
          <w:szCs w:val="28"/>
        </w:rPr>
        <w:fldChar w:fldCharType="separate"/>
      </w:r>
      <w:r w:rsidR="00A6759A" w:rsidRPr="002B136D">
        <w:rPr>
          <w:rFonts w:cs="Times New Roman"/>
        </w:rPr>
        <w:t>[16</w:t>
      </w:r>
      <w:r w:rsidR="00BC41A2">
        <w:rPr>
          <w:rFonts w:cs="Times New Roman"/>
        </w:rPr>
        <w:t>,р. 1-5</w:t>
      </w:r>
      <w:r w:rsidR="00A6759A" w:rsidRPr="002B136D">
        <w:rPr>
          <w:rFonts w:cs="Times New Roman"/>
        </w:rPr>
        <w:t>]</w:t>
      </w:r>
      <w:r w:rsidRPr="002B136D">
        <w:rPr>
          <w:rFonts w:cs="Times New Roman"/>
          <w:szCs w:val="28"/>
        </w:rPr>
        <w:fldChar w:fldCharType="end"/>
      </w:r>
      <w:proofErr w:type="gramStart"/>
      <w:r w:rsidRPr="002B136D">
        <w:rPr>
          <w:rFonts w:cs="Times New Roman"/>
          <w:szCs w:val="28"/>
        </w:rPr>
        <w:t xml:space="preserve">. </w:t>
      </w:r>
      <w:r w:rsidR="007721AE" w:rsidRPr="002B136D">
        <w:rPr>
          <w:rFonts w:cs="Times New Roman"/>
          <w:szCs w:val="28"/>
        </w:rPr>
        <w:t>Кроме того, выявлено, что в</w:t>
      </w:r>
      <w:r w:rsidRPr="002B136D">
        <w:rPr>
          <w:rFonts w:cs="Times New Roman"/>
          <w:szCs w:val="28"/>
        </w:rPr>
        <w:t xml:space="preserve">заимодействие IL-38/IL-36R играет ключевую роль в развитии множества заболеваний, включая воспалительные аутоиммунные расстройства, такие как системная красная волчанка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{"citationID":"Dn5IphA2","properties":{"formattedCitation":"[134]","plainCitation":"[134]","noteIndex":0},"citationItems":[{"id":382,"uris":["http://zotero.org/users/8237658/items/3HJ9VN98"],"itemData":{"id":382,"type":"book","title":"Takeuchi Y, Seki T, Kobayashi N, Sano K, Shigemura T, Shimojo H, Matsumoto K, Agematsu K. Analysis of serum IL-38 in juvenile-onset systemic lupus erythematosus. Mod Rheumatol. 2018 Nov;28(6):1069-1072. doi: 10.1080/14397595.2018.1436118. Epub 2018 Feb 23. PMID: 29385862."}}],"schema":"https://github.com/citation-style-language/schema/raw/master/csl-citation.json"} </w:instrText>
      </w:r>
      <w:r w:rsidRPr="002B136D">
        <w:rPr>
          <w:rFonts w:cs="Times New Roman"/>
          <w:szCs w:val="28"/>
        </w:rPr>
        <w:fldChar w:fldCharType="separate"/>
      </w:r>
      <w:r w:rsidR="00A6759A" w:rsidRPr="002B136D">
        <w:rPr>
          <w:rFonts w:cs="Times New Roman"/>
        </w:rPr>
        <w:t>[134]</w:t>
      </w:r>
      <w:r w:rsidRPr="002B136D">
        <w:rPr>
          <w:rFonts w:cs="Times New Roman"/>
          <w:szCs w:val="28"/>
        </w:rPr>
        <w:fldChar w:fldCharType="end"/>
      </w:r>
      <w:proofErr w:type="gramStart"/>
      <w:r w:rsidRPr="002B136D">
        <w:rPr>
          <w:rFonts w:cs="Times New Roman"/>
          <w:szCs w:val="28"/>
        </w:rPr>
        <w:t>, ревматоидный артрит</w:t>
      </w:r>
      <w:proofErr w:type="gramEnd"/>
      <w:r w:rsidRPr="002B136D">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{"citationID":"W5w7OVjj","properties":{"formattedCitation":"[119]","plainCitation":"[119]","noteIndex":0},"citationItems":[{"id":306,"uris":["http://zotero.org/users/8237658/items/A2LDPLCR"],"itemData":{"id":306,"type":"book","title":"Boutet, M.A.; Bart, G.; Penhoat, M.; Amiaud, J.; Brulin, B.; Charrier, C.; Vigne, S. Distinct expression of interleukin (IL)-36alpha, beta and gamma, their antagonist IL-36Ra and IL-38 in psoriasis, rheumatoid arthritis and Crohn’s disease. Clin. Exp. Immunol. 2016, 1841, 59–73."}}],"schema":"https://github.com/citation-style-language/schema/raw/master/csl-citation.json"} </w:instrText>
      </w:r>
      <w:r w:rsidRPr="002B136D">
        <w:rPr>
          <w:rFonts w:cs="Times New Roman"/>
          <w:szCs w:val="28"/>
        </w:rPr>
        <w:fldChar w:fldCharType="separate"/>
      </w:r>
      <w:r w:rsidR="00A6759A" w:rsidRPr="002B136D">
        <w:rPr>
          <w:rFonts w:cs="Times New Roman"/>
        </w:rPr>
        <w:t>[119</w:t>
      </w:r>
      <w:r w:rsidR="00BC41A2">
        <w:rPr>
          <w:rFonts w:cs="Times New Roman"/>
        </w:rPr>
        <w:t>,р. 59</w:t>
      </w:r>
      <w:r w:rsidR="00A6759A" w:rsidRPr="002B136D">
        <w:rPr>
          <w:rFonts w:cs="Times New Roman"/>
        </w:rPr>
        <w:t>]</w:t>
      </w:r>
      <w:r w:rsidRPr="002B136D">
        <w:rPr>
          <w:rFonts w:cs="Times New Roman"/>
          <w:szCs w:val="28"/>
        </w:rPr>
        <w:fldChar w:fldCharType="end"/>
      </w:r>
      <w:r w:rsidRPr="002B136D">
        <w:rPr>
          <w:rFonts w:cs="Times New Roman"/>
          <w:szCs w:val="28"/>
        </w:rPr>
        <w:t xml:space="preserve">, анкилозирующий спондилит </w:t>
      </w:r>
      <w:r w:rsidRPr="002B136D">
        <w:rPr>
          <w:rFonts w:cs="Times New Roman"/>
          <w:szCs w:val="28"/>
        </w:rPr>
        <w:fldChar w:fldCharType="begin"/>
      </w:r>
      <w:r w:rsidR="00A6759A" w:rsidRPr="002B136D">
        <w:rPr>
          <w:rFonts w:cs="Times New Roman"/>
          <w:szCs w:val="28"/>
        </w:rPr>
        <w:instrText xml:space="preserve"> ADDIN ZOTERO_ITEM CSL_CITATION {"citationID":"uLMvtDmZ","properties":{"formattedCitation":"[135]","plainCitation":"[135]","noteIndex":0},"citationItems":[{"id":616,"uris":["http://zotero.org/users/8237658/items/JPUNAGEN"],"itemData":{"id":616,"type":"book","title":"Garraud T, Harel M, Boutet MA, Le Goff B, Blanchard F. The enigmatic role of IL-38 in inflammatory diseases. Cytokine Growth Factor Rev. 2018 Feb;39:26-35. doi: 10.1016/j.cytogfr.2018.01.001. Epub 2018 Jan 12. PMID: 29366546."}}],"schema":"https://github.com/citation-style-language/schema/raw/master/csl-citation.json"} </w:instrText>
      </w:r>
      <w:r w:rsidRPr="002B136D">
        <w:rPr>
          <w:rFonts w:cs="Times New Roman"/>
          <w:szCs w:val="28"/>
        </w:rPr>
        <w:fldChar w:fldCharType="separate"/>
      </w:r>
      <w:r w:rsidR="00A6759A" w:rsidRPr="002B136D">
        <w:rPr>
          <w:rFonts w:cs="Times New Roman"/>
        </w:rPr>
        <w:t>[135]</w:t>
      </w:r>
      <w:r w:rsidRPr="002B136D">
        <w:rPr>
          <w:rFonts w:cs="Times New Roman"/>
          <w:szCs w:val="28"/>
        </w:rPr>
        <w:fldChar w:fldCharType="end"/>
      </w:r>
      <w:r w:rsidRPr="002B136D">
        <w:rPr>
          <w:rFonts w:cs="Times New Roman"/>
          <w:szCs w:val="28"/>
        </w:rPr>
        <w:t xml:space="preserve">, псориаз </w:t>
      </w:r>
      <w:r w:rsidRPr="002B136D">
        <w:rPr>
          <w:rFonts w:cs="Times New Roman"/>
          <w:szCs w:val="28"/>
        </w:rPr>
        <w:fldChar w:fldCharType="begin"/>
      </w:r>
      <w:r w:rsidR="00A6759A" w:rsidRPr="002B136D">
        <w:rPr>
          <w:rFonts w:cs="Times New Roman"/>
          <w:szCs w:val="28"/>
        </w:rPr>
        <w:instrText xml:space="preserve"> ADDIN ZOTERO_ITEM CSL_CITATION {"citationID":"ms5ZTChz","properties":{"formattedCitation":"[136]","plainCitation":"[136]","noteIndex":0},"citationItems":[{"id":384,"uris":["http://zotero.org/users/8237658/items/W2AL9SCJ"],"itemData":{"id":384,"type":"book","title":"Li J., Liu L., Rui W., Li X., Xuan D., Zheng S., Yu Y., Zhang J., Kong N., Zhu X., et al. New Interleukins in Psoriasis and Psoriatic Arthritis Patients: The Possible Roles of Interleukin-33 to Interleukin-38 in Disease Activities and Bone Erosions. Dermatology. 2017;233:37–46. doi: 10.1159/000471798."}}],"schema":"https://github.com/citation-style-language/schema/raw/master/csl-citation.json"} </w:instrText>
      </w:r>
      <w:r w:rsidRPr="002B136D">
        <w:rPr>
          <w:rFonts w:cs="Times New Roman"/>
          <w:szCs w:val="28"/>
        </w:rPr>
        <w:fldChar w:fldCharType="separate"/>
      </w:r>
      <w:r w:rsidR="00A6759A" w:rsidRPr="002B136D">
        <w:rPr>
          <w:rFonts w:cs="Times New Roman"/>
        </w:rPr>
        <w:t>[136]</w:t>
      </w:r>
      <w:r w:rsidRPr="002B136D">
        <w:rPr>
          <w:rFonts w:cs="Times New Roman"/>
          <w:szCs w:val="28"/>
        </w:rPr>
        <w:fldChar w:fldCharType="end"/>
      </w:r>
      <w:r w:rsidRPr="002B136D">
        <w:rPr>
          <w:rFonts w:cs="Times New Roman"/>
          <w:szCs w:val="28"/>
        </w:rPr>
        <w:t xml:space="preserve">, , псориатический артрит </w:t>
      </w:r>
      <w:r w:rsidRPr="002B136D">
        <w:rPr>
          <w:rFonts w:cs="Times New Roman"/>
          <w:szCs w:val="28"/>
        </w:rPr>
        <w:fldChar w:fldCharType="begin"/>
      </w:r>
      <w:r w:rsidR="00A6759A" w:rsidRPr="002B136D">
        <w:rPr>
          <w:rFonts w:cs="Times New Roman"/>
          <w:szCs w:val="28"/>
        </w:rPr>
        <w:instrText xml:space="preserve"> ADDIN ZOTERO_ITEM CSL_CITATION {"citationID":"LQApwUWy","properties":{"formattedCitation":"[137]","plainCitation":"[137]","noteIndex":0},"citationItems":[{"id":385,"uris":["http://zotero.org/users/8237658/items/G7YRYG26"],"itemData":{"id":385,"type":"book","title":"Ciccia F., Accardo-Palumbo A., Alessandro R., Alessandri C., Priori R., Guggino G., Raimondo S., Carubbi F., Valesini G., Giacomelli R., et al. Interleukin-36α axis is modulated in patients with primary Sjögren’s syndrome. Clin. Exp. Immunol. 2015;181:230–238. doi: 10.1111/cei.12644."}}],"schema":"https://github.com/citation-style-language/schema/raw/master/csl-citation.json"} </w:instrText>
      </w:r>
      <w:r w:rsidRPr="002B136D">
        <w:rPr>
          <w:rFonts w:cs="Times New Roman"/>
          <w:szCs w:val="28"/>
        </w:rPr>
        <w:fldChar w:fldCharType="separate"/>
      </w:r>
      <w:r w:rsidR="00A6759A" w:rsidRPr="002B136D">
        <w:rPr>
          <w:rFonts w:cs="Times New Roman"/>
        </w:rPr>
        <w:t>[137]</w:t>
      </w:r>
      <w:r w:rsidRPr="002B136D">
        <w:rPr>
          <w:rFonts w:cs="Times New Roman"/>
          <w:szCs w:val="28"/>
        </w:rPr>
        <w:fldChar w:fldCharType="end"/>
      </w:r>
      <w:r w:rsidRPr="002B136D">
        <w:rPr>
          <w:rFonts w:cs="Times New Roman"/>
          <w:szCs w:val="28"/>
        </w:rPr>
        <w:t>,</w:t>
      </w:r>
      <w:r w:rsidR="00A0694B" w:rsidRPr="002B136D">
        <w:rPr>
          <w:rFonts w:cs="Times New Roman"/>
          <w:szCs w:val="28"/>
        </w:rPr>
        <w:t xml:space="preserve"> астма</w:t>
      </w:r>
      <w:r w:rsidRPr="002B136D">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{"citationID":"tMiE70nl","properties":{"formattedCitation":"[138]","plainCitation":"[138]","noteIndex":0},"citationItems":[{"id":386,"uris":["http://zotero.org/users/8237658/items/62XM7H5Q"],"itemData":{"id":386,"type":"book","title":"Chu M., Chu I.M., Yung E.C., Lam C.W., Leung T.F., Wong G.W., Wong C.K. Aberrant Expression of Novel Cytokine IL-38 and Regulatory T Lymphocytes in Childhood Asthma. Molecules. 2016;21:933. doi: 10.3390/molecules21070933."}}],"schema":"https://github.com/citation-style-language/schema/raw/master/csl-citation.json"} </w:instrText>
      </w:r>
      <w:r w:rsidRPr="002B136D">
        <w:rPr>
          <w:rFonts w:cs="Times New Roman"/>
          <w:szCs w:val="28"/>
        </w:rPr>
        <w:fldChar w:fldCharType="separate"/>
      </w:r>
      <w:r w:rsidR="00A6759A" w:rsidRPr="002B136D">
        <w:rPr>
          <w:rFonts w:cs="Times New Roman"/>
        </w:rPr>
        <w:t>[138]</w:t>
      </w:r>
      <w:r w:rsidRPr="002B136D">
        <w:rPr>
          <w:rFonts w:cs="Times New Roman"/>
          <w:szCs w:val="28"/>
        </w:rPr>
        <w:fldChar w:fldCharType="end"/>
      </w:r>
      <w:r w:rsidRPr="002B136D">
        <w:rPr>
          <w:rFonts w:cs="Times New Roman"/>
          <w:szCs w:val="28"/>
        </w:rPr>
        <w:t xml:space="preserve">, </w:t>
      </w:r>
      <w:r w:rsidR="00A0694B" w:rsidRPr="002B136D">
        <w:rPr>
          <w:rFonts w:cs="Times New Roman"/>
          <w:szCs w:val="28"/>
        </w:rPr>
        <w:t>ретинопатия</w:t>
      </w:r>
      <w:r w:rsidRPr="002B136D">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{"citationID":"dtNV3k3O","properties":{"formattedCitation":"[139]","plainCitation":"[139]","noteIndex":0},"citationItems":[{"id":387,"uris":["http://zotero.org/users/8237658/items/3LEQ769H"],"itemData":{"id":387,"type":"book","title":"Zhang J., Zhao R., Chen J., Jin J., Yu Y., Tian Y., Li W., Wang W., Zhou H., Su S.B. The Effect of Interleukin 38 on Angiogenesis in a Model of Oxygen-induced Retinopathy. Sci. Rep. 2017;7:2756. doi: 10.1038/s41598-017-03079-z."}}],"schema":"https://github.com/citation-style-language/schema/raw/master/csl-citation.json"} </w:instrText>
      </w:r>
      <w:r w:rsidRPr="002B136D">
        <w:rPr>
          <w:rFonts w:cs="Times New Roman"/>
          <w:szCs w:val="28"/>
        </w:rPr>
        <w:fldChar w:fldCharType="separate"/>
      </w:r>
      <w:r w:rsidR="00A6759A" w:rsidRPr="002B136D">
        <w:rPr>
          <w:rFonts w:cs="Times New Roman"/>
        </w:rPr>
        <w:t>[139]</w:t>
      </w:r>
      <w:r w:rsidRPr="002B136D">
        <w:rPr>
          <w:rFonts w:cs="Times New Roman"/>
          <w:szCs w:val="28"/>
        </w:rPr>
        <w:fldChar w:fldCharType="end"/>
      </w:r>
      <w:r w:rsidRPr="002B136D">
        <w:rPr>
          <w:rFonts w:cs="Times New Roman"/>
          <w:szCs w:val="28"/>
        </w:rPr>
        <w:t xml:space="preserve">, гепатит </w:t>
      </w:r>
      <w:r w:rsidRPr="002B136D">
        <w:rPr>
          <w:rFonts w:cs="Times New Roman"/>
          <w:szCs w:val="28"/>
        </w:rPr>
        <w:fldChar w:fldCharType="begin"/>
      </w:r>
      <w:r w:rsidR="00A6759A" w:rsidRPr="002B136D">
        <w:rPr>
          <w:rFonts w:cs="Times New Roman"/>
          <w:szCs w:val="28"/>
        </w:rPr>
        <w:instrText xml:space="preserve"> ADDIN ZOTERO_ITEM CSL_CITATION {"citationID":"BfpmHOvR","properties":{"formattedCitation":"[140]","plainCitation":"[140]","noteIndex":0},"citationItems":[{"id":388,"uris":["http://zotero.org/users/8237658/items/XDZRPM9R"],"itemData":{"id":388,"type":"book","title":"Wang H.-J., Jiang Y.-F., Wang X.-R., Zhang M.-L., Gao P.-J. Elevated serum interleukin-38 level at baseline predicts virological response in telbivudine-treated patients with chronic hepatitis B. World J. Gastroenterol. 2016;22:4529–4537. doi: 10.3748/wjg.v22.i18.4529."}}],"schema":"https://github.com/citation-style-language/schema/raw/master/csl-citation.json"} </w:instrText>
      </w:r>
      <w:r w:rsidRPr="002B136D">
        <w:rPr>
          <w:rFonts w:cs="Times New Roman"/>
          <w:szCs w:val="28"/>
        </w:rPr>
        <w:fldChar w:fldCharType="separate"/>
      </w:r>
      <w:r w:rsidR="00A6759A" w:rsidRPr="002B136D">
        <w:rPr>
          <w:rFonts w:cs="Times New Roman"/>
        </w:rPr>
        <w:t>[140]</w:t>
      </w:r>
      <w:r w:rsidRPr="002B136D">
        <w:rPr>
          <w:rFonts w:cs="Times New Roman"/>
          <w:szCs w:val="28"/>
        </w:rPr>
        <w:fldChar w:fldCharType="end"/>
      </w:r>
      <w:r w:rsidRPr="002B136D">
        <w:rPr>
          <w:rFonts w:cs="Times New Roman"/>
          <w:szCs w:val="28"/>
        </w:rPr>
        <w:t>,</w:t>
      </w:r>
      <w:r w:rsidR="00A0694B" w:rsidRPr="002B136D">
        <w:rPr>
          <w:rFonts w:cs="Times New Roman"/>
          <w:szCs w:val="28"/>
        </w:rPr>
        <w:t xml:space="preserve"> ишемическая</w:t>
      </w:r>
      <w:r w:rsidRPr="002B136D">
        <w:rPr>
          <w:rFonts w:cs="Times New Roman"/>
          <w:szCs w:val="28"/>
        </w:rPr>
        <w:t xml:space="preserve"> болезнь сердца, рак </w:t>
      </w:r>
      <w:r w:rsidRPr="002B136D">
        <w:rPr>
          <w:rFonts w:cs="Times New Roman"/>
          <w:szCs w:val="28"/>
        </w:rPr>
        <w:fldChar w:fldCharType="begin"/>
      </w:r>
      <w:r w:rsidR="00A6759A" w:rsidRPr="002B136D">
        <w:rPr>
          <w:rFonts w:cs="Times New Roman"/>
          <w:szCs w:val="28"/>
        </w:rPr>
        <w:instrText xml:space="preserve"> ADDIN ZOTERO_ITEM CSL_CITATION {"citationID":"JzhwAKRr","properties":{"formattedCitation":"[141]","plainCitation":"[141]","noteIndex":0},"citationItems":[{"id":390,"uris":["http://zotero.org/users/8237658/items/4A6WB65Z"],"itemData":{"id":390,"type":"book","title":"Takada K., Okamoto T., Tominaga M., Teraishi K., Akamine T., Takamori S., Katsura M., Toyokawa G., Shoji F., Okamoto M., et al. Clinical implications of the novel cytokine IL-38 expressed in lung adenocarcinoma: Possible association with PD-L1 expression. PLoS ONE. 2017;12:e0181598. doi: 10.1371/journal.pone.0181598."}}],"schema":"https://github.com/citation-style-language/schema/raw/master/csl-citation.json"} </w:instrText>
      </w:r>
      <w:r w:rsidRPr="002B136D">
        <w:rPr>
          <w:rFonts w:cs="Times New Roman"/>
          <w:szCs w:val="28"/>
        </w:rPr>
        <w:fldChar w:fldCharType="separate"/>
      </w:r>
      <w:r w:rsidR="00A6759A" w:rsidRPr="002B136D">
        <w:rPr>
          <w:rFonts w:cs="Times New Roman"/>
        </w:rPr>
        <w:t>[141]</w:t>
      </w:r>
      <w:r w:rsidRPr="002B136D">
        <w:rPr>
          <w:rFonts w:cs="Times New Roman"/>
          <w:szCs w:val="28"/>
        </w:rPr>
        <w:fldChar w:fldCharType="end"/>
      </w:r>
      <w:r w:rsidR="00FC1A05" w:rsidRPr="002B136D">
        <w:rPr>
          <w:rFonts w:cs="Times New Roman"/>
          <w:szCs w:val="28"/>
        </w:rPr>
        <w:t xml:space="preserve"> </w:t>
      </w:r>
      <w:r w:rsidRPr="002B136D">
        <w:rPr>
          <w:rFonts w:cs="Times New Roman"/>
          <w:szCs w:val="28"/>
        </w:rPr>
        <w:t xml:space="preserve">и инфаркт миокарда </w:t>
      </w:r>
      <w:r w:rsidRPr="002B136D">
        <w:rPr>
          <w:rFonts w:cs="Times New Roman"/>
          <w:szCs w:val="28"/>
        </w:rPr>
        <w:fldChar w:fldCharType="begin"/>
      </w:r>
      <w:r w:rsidR="00A6759A" w:rsidRPr="002B136D">
        <w:rPr>
          <w:rFonts w:cs="Times New Roman"/>
          <w:szCs w:val="28"/>
        </w:rPr>
        <w:instrText xml:space="preserve"> ADDIN ZOTERO_ITEM CSL_CITATION {"citationID":"GVvnWN2c","properties":{"formattedCitation":"[142]","plainCitation":"[142]","noteIndex":0},"citationItems":[{"id":391,"uris":["http://zotero.org/users/8237658/items/NLCXHG46"],"itemData":{"id":391,"type":"book","title":"Zhong Y., Yu K., Wang X., Wang X., Ji Q., Zeng Q. Elevated Plasma IL-38 Concentrations in Patients with Acute ST-Segment Elevation Myocardial Infarction and Their Dynamics after Reperfusion Treatment. Mediat. Inflamm. 2015;2015:1–10. doi: 10.1155/2015/490120."}}],"schema":"https://github.com/citation-style-language/schema/raw/master/csl-citation.json"} </w:instrText>
      </w:r>
      <w:r w:rsidRPr="002B136D">
        <w:rPr>
          <w:rFonts w:cs="Times New Roman"/>
          <w:szCs w:val="28"/>
        </w:rPr>
        <w:fldChar w:fldCharType="separate"/>
      </w:r>
      <w:r w:rsidR="00A6759A" w:rsidRPr="002B136D">
        <w:rPr>
          <w:rFonts w:cs="Times New Roman"/>
        </w:rPr>
        <w:t>[142]</w:t>
      </w:r>
      <w:r w:rsidRPr="002B136D">
        <w:rPr>
          <w:rFonts w:cs="Times New Roman"/>
          <w:szCs w:val="28"/>
        </w:rPr>
        <w:fldChar w:fldCharType="end"/>
      </w:r>
      <w:r w:rsidRPr="002B136D">
        <w:rPr>
          <w:rFonts w:cs="Times New Roman"/>
          <w:szCs w:val="28"/>
        </w:rPr>
        <w:t xml:space="preserve">. IL-38 также способствует выработке противовоспалительных цитокинов в ответ на липополисахарид (LPS) в дендритных клетках </w:t>
      </w:r>
      <w:r w:rsidRPr="002B136D">
        <w:rPr>
          <w:rFonts w:cs="Times New Roman"/>
          <w:szCs w:val="28"/>
        </w:rPr>
        <w:fldChar w:fldCharType="begin"/>
      </w:r>
      <w:r w:rsidR="00A6759A" w:rsidRPr="002B136D">
        <w:rPr>
          <w:rFonts w:cs="Times New Roman"/>
          <w:szCs w:val="28"/>
        </w:rPr>
        <w:instrText xml:space="preserve"> ADDIN ZOTERO_ITEM CSL_CITATION {"citationID":"N8rqm1OT","properties":{"formattedCitation":"[14,16]","plainCitation":"[14,16]","noteIndex":0},"citationItems":[{"id":305,"uris":["http://zotero.org/users/8237658/items/P96J9UIY"],"itemData":{"id":305,"type":"book","title":"Van de Veerdonk, F.L.; Stoeckman, A.K.; Wu, G.; Boeckermann, A.N.; Azam, T.; Netea, M.G.; Dinarello, C.A. IL-38 binds to the IL-36 receptor and has biological effects on immune cells similar to IL-36 receptor antagonist. Proc. Natl. Acad. Sci. USA 2012, 1093, 1–5. [CrossRef]"},"label":"page"},{"id":303,"uris":["http://zotero.org/users/8237658/items/7HS468CZ"],"itemData":{"id":303,"type":"book","title":"Mora,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[CrossRef]"},"label":"page"}],"schema":"https://github.com/citation-style-language/schema/raw/master/csl-citation.json"} </w:instrText>
      </w:r>
      <w:r w:rsidRPr="002B136D">
        <w:rPr>
          <w:rFonts w:cs="Times New Roman"/>
          <w:szCs w:val="28"/>
        </w:rPr>
        <w:fldChar w:fldCharType="separate"/>
      </w:r>
      <w:r w:rsidR="00A6759A" w:rsidRPr="002B136D">
        <w:rPr>
          <w:rFonts w:cs="Times New Roman"/>
        </w:rPr>
        <w:t>[14,</w:t>
      </w:r>
      <w:r w:rsidR="00BC41A2">
        <w:rPr>
          <w:rFonts w:cs="Times New Roman"/>
        </w:rPr>
        <w:t>р. 426</w:t>
      </w:r>
      <w:r w:rsidR="00A6759A" w:rsidRPr="002B136D">
        <w:rPr>
          <w:rFonts w:cs="Times New Roman"/>
        </w:rPr>
        <w:t>]</w:t>
      </w:r>
      <w:r w:rsidRPr="002B136D">
        <w:rPr>
          <w:rFonts w:cs="Times New Roman"/>
          <w:szCs w:val="28"/>
        </w:rPr>
        <w:fldChar w:fldCharType="end"/>
      </w:r>
      <w:r w:rsidR="00FC1A05" w:rsidRPr="002B136D">
        <w:rPr>
          <w:rFonts w:cs="Times New Roman"/>
          <w:szCs w:val="28"/>
        </w:rPr>
        <w:t xml:space="preserve">. </w:t>
      </w:r>
      <w:r w:rsidRPr="002B136D">
        <w:rPr>
          <w:rFonts w:cs="Times New Roman"/>
          <w:szCs w:val="28"/>
        </w:rPr>
        <w:t xml:space="preserve">Более того, Паломо и его коллеги </w:t>
      </w:r>
      <w:r w:rsidRPr="002B136D">
        <w:rPr>
          <w:rFonts w:cs="Times New Roman"/>
          <w:szCs w:val="28"/>
        </w:rPr>
        <w:fldChar w:fldCharType="begin"/>
      </w:r>
      <w:r w:rsidR="00A6759A" w:rsidRPr="002B136D">
        <w:rPr>
          <w:rFonts w:cs="Times New Roman"/>
          <w:szCs w:val="28"/>
        </w:rPr>
        <w:instrText xml:space="preserve"> ADDIN ZOTERO_ITEM CSL_CITATION {"citationID":"HtAsB7VJ","properties":{"formattedCitation":"[143]","plainCitation":"[143]","noteIndex":0},"citationItems":[{"id":395,"uris":["http://zotero.org/users/8237658/items/BN6GHJZG"],"itemData":{"id":395,"type":"book","title":"Palomo J., Troccaz S., Talabot-Ayer D., Rodriguez E., Palmer G. The severity of imiquimod-induced mouse skin inflammation is independent of endogenous IL-38 expression. PLoS ONE. 2018;13:e0194667. doi: 10.1371/journal.pone.0194667."}}],"schema":"https://github.com/citation-style-language/schema/raw/master/csl-citation.json"} </w:instrText>
      </w:r>
      <w:r w:rsidRPr="002B136D">
        <w:rPr>
          <w:rFonts w:cs="Times New Roman"/>
          <w:szCs w:val="28"/>
        </w:rPr>
        <w:fldChar w:fldCharType="separate"/>
      </w:r>
      <w:r w:rsidR="00A6759A" w:rsidRPr="002B136D">
        <w:rPr>
          <w:rFonts w:cs="Times New Roman"/>
        </w:rPr>
        <w:t>[143]</w:t>
      </w:r>
      <w:r w:rsidRPr="002B136D">
        <w:rPr>
          <w:rFonts w:cs="Times New Roman"/>
          <w:szCs w:val="28"/>
        </w:rPr>
        <w:fldChar w:fldCharType="end"/>
      </w:r>
      <w:proofErr w:type="gramStart"/>
      <w:r w:rsidRPr="002B136D">
        <w:rPr>
          <w:rFonts w:cs="Times New Roman"/>
          <w:szCs w:val="28"/>
        </w:rPr>
        <w:t xml:space="preserve"> отметили, что IL-38/IL-36R, по-видимому, не оказывает влияния на модель кожного иммунитета у мышей</w:t>
      </w:r>
      <w:r w:rsidR="00A0694B" w:rsidRPr="002B136D">
        <w:rPr>
          <w:rFonts w:cs="Times New Roman"/>
          <w:szCs w:val="28"/>
        </w:rPr>
        <w:t>, и IL-36R не связан</w:t>
      </w:r>
      <w:r w:rsidR="005A54CB" w:rsidRPr="002B136D">
        <w:rPr>
          <w:rFonts w:cs="Times New Roman"/>
          <w:szCs w:val="28"/>
        </w:rPr>
        <w:t xml:space="preserve"> с несколькими моделями артрита</w:t>
      </w:r>
      <w:r w:rsidR="00A0694B" w:rsidRPr="002B136D">
        <w:rPr>
          <w:rFonts w:cs="Times New Roman"/>
          <w:szCs w:val="28"/>
        </w:rPr>
        <w:t xml:space="preserve"> </w:t>
      </w:r>
      <w:proofErr w:type="gramEnd"/>
      <w:r w:rsidR="00A0694B" w:rsidRPr="002B136D">
        <w:rPr>
          <w:rFonts w:cs="Times New Roman"/>
          <w:szCs w:val="28"/>
        </w:rPr>
        <w:fldChar w:fldCharType="begin"/>
      </w:r>
      <w:r w:rsidR="00A6759A" w:rsidRPr="002B136D">
        <w:rPr>
          <w:rFonts w:cs="Times New Roman"/>
          <w:szCs w:val="28"/>
        </w:rPr>
        <w:instrText xml:space="preserve"> ADDIN ZOTERO_ITEM CSL_CITATION {"citationID":"iGAsaLJU","properties":{"formattedCitation":"[144,145]","plainCitation":"[144,145]","noteIndex":0},"citationItems":[{"id":392,"uris":["http://zotero.org/users/8237658/items/5DEMH5WY"],"itemData":{"id":392,"type":"book","title":"Derer A., Groetsch B., Harre U., Bohm C., Towne J., Schett G., Frey S., Hueber A.J. Blockade of IL-36 Receptor Signaling Does Not Prevent from TNF-Induced Arthritis. PLoS ONE. 2014;9:101954. doi: 10.1371/journal.pone.0101954."},"label":"page"},{"id":393,"uris":["http://zotero.org/users/8237658/items/S6G6VA2Z"],"itemData":{"id":393,"type":"book","title":"Lamacchia C., Palmer G., Rodriguez E., Martin P., Vigne S., Seemayer C.A., Talabot-Ayer D., E Towne J., Gabay C. The severity of experimental arthritis is independent of IL-36 receptor signaling. Arthritis Res. Ther. 2013;15:R38. doi: 10.1186/ar4192"},"label":"page"}],"schema":"https://github.com/citation-style-language/schema/raw/master/csl-citation.json"} </w:instrText>
      </w:r>
      <w:r w:rsidR="00A0694B" w:rsidRPr="002B136D">
        <w:rPr>
          <w:rFonts w:cs="Times New Roman"/>
          <w:szCs w:val="28"/>
        </w:rPr>
        <w:fldChar w:fldCharType="separate"/>
      </w:r>
      <w:r w:rsidR="00A6759A" w:rsidRPr="002B136D">
        <w:rPr>
          <w:rFonts w:cs="Times New Roman"/>
        </w:rPr>
        <w:t>[144,145]</w:t>
      </w:r>
      <w:r w:rsidR="00A0694B" w:rsidRPr="002B136D">
        <w:rPr>
          <w:rFonts w:cs="Times New Roman"/>
          <w:szCs w:val="28"/>
        </w:rPr>
        <w:fldChar w:fldCharType="end"/>
      </w:r>
      <w:proofErr w:type="gramStart"/>
      <w:r w:rsidR="00FC1A05" w:rsidRPr="002B136D">
        <w:rPr>
          <w:rFonts w:cs="Times New Roman"/>
          <w:szCs w:val="28"/>
        </w:rPr>
        <w:t>. Тем не менее,</w:t>
      </w:r>
      <w:r w:rsidR="00A0694B" w:rsidRPr="002B136D">
        <w:rPr>
          <w:rFonts w:cs="Times New Roman"/>
          <w:szCs w:val="28"/>
        </w:rPr>
        <w:t xml:space="preserve"> IL-38 может снижать клинические показатели и уровень экспрессии IL-17 в этих моделях</w:t>
      </w:r>
      <w:proofErr w:type="gramEnd"/>
      <w:r w:rsidR="00A0694B" w:rsidRPr="002B136D">
        <w:rPr>
          <w:rFonts w:cs="Times New Roman"/>
          <w:szCs w:val="28"/>
        </w:rPr>
        <w:t xml:space="preserve"> </w:t>
      </w:r>
      <w:r w:rsidR="00A0694B" w:rsidRPr="002B136D">
        <w:rPr>
          <w:rFonts w:cs="Times New Roman"/>
          <w:szCs w:val="28"/>
        </w:rPr>
        <w:fldChar w:fldCharType="begin"/>
      </w:r>
      <w:r w:rsidR="00A6759A" w:rsidRPr="002B136D">
        <w:rPr>
          <w:rFonts w:cs="Times New Roman"/>
          <w:szCs w:val="28"/>
        </w:rPr>
        <w:instrText xml:space="preserve"> ADDIN ZOTERO_ITEM CSL_CITATION {"citationID":"zDks3l65","properties":{"formattedCitation":"[17]","plainCitation":"[17]","noteIndex":0},"citationItems":[{"id":374,"uris":["http://zotero.org/users/8237658/items/CNH697CP"],"itemData":{"id":374,"type":"book","title":"Boutet MA, Najm A, Bart G, Brion R, Touchais S, Trichet V, Layrolle P, Gabay C, Palmer G, Blanchard F, Le Goff B. IL-38 overexpression induces anti-inflammatory effects in mice arthritis models and in human macrophages in vitro. Ann Rheum Dis. 2017 Jul;76(7):1304-1312. doi: 10.1136/annrheumdis-2016-210630. Epub 2017 Mar 13. PMID: 28288964."}}],"schema":"https://github.com/citation-style-language/schema/raw/master/csl-citation.json"} </w:instrText>
      </w:r>
      <w:r w:rsidR="00A0694B" w:rsidRPr="002B136D">
        <w:rPr>
          <w:rFonts w:cs="Times New Roman"/>
          <w:szCs w:val="28"/>
        </w:rPr>
        <w:fldChar w:fldCharType="separate"/>
      </w:r>
      <w:r w:rsidR="00A6759A" w:rsidRPr="002B136D">
        <w:rPr>
          <w:rFonts w:cs="Times New Roman"/>
        </w:rPr>
        <w:t>[17</w:t>
      </w:r>
      <w:r w:rsidR="00BC41A2">
        <w:rPr>
          <w:rFonts w:cs="Times New Roman"/>
        </w:rPr>
        <w:t>,р. 1304</w:t>
      </w:r>
      <w:r w:rsidR="00A6759A" w:rsidRPr="002B136D">
        <w:rPr>
          <w:rFonts w:cs="Times New Roman"/>
        </w:rPr>
        <w:t>]</w:t>
      </w:r>
      <w:r w:rsidR="00A0694B" w:rsidRPr="002B136D">
        <w:rPr>
          <w:rFonts w:cs="Times New Roman"/>
          <w:szCs w:val="28"/>
        </w:rPr>
        <w:fldChar w:fldCharType="end"/>
      </w:r>
      <w:r w:rsidR="00FC1A05" w:rsidRPr="002B136D">
        <w:rPr>
          <w:rFonts w:cs="Times New Roman"/>
          <w:szCs w:val="28"/>
        </w:rPr>
        <w:t>.</w:t>
      </w:r>
      <w:r w:rsidR="00A0694B" w:rsidRPr="002B136D">
        <w:rPr>
          <w:rFonts w:cs="Times New Roman"/>
          <w:szCs w:val="28"/>
        </w:rPr>
        <w:t xml:space="preserve"> </w:t>
      </w:r>
    </w:p>
    <w:p w14:paraId="69ECC156" w14:textId="77777777" w:rsidR="00EF13AB" w:rsidRPr="002B136D" w:rsidRDefault="00EF13AB" w:rsidP="00EF13AB">
      <w:pPr>
        <w:spacing w:after="0" w:line="240" w:lineRule="auto"/>
        <w:ind w:firstLine="567"/>
        <w:contextualSpacing/>
        <w:jc w:val="both"/>
        <w:rPr>
          <w:rFonts w:cs="Times New Roman"/>
          <w:szCs w:val="28"/>
        </w:rPr>
      </w:pPr>
    </w:p>
    <w:p w14:paraId="7FF5B678" w14:textId="77777777" w:rsidR="009B5094" w:rsidRPr="002B136D" w:rsidRDefault="00B86156" w:rsidP="00EF13AB">
      <w:pPr>
        <w:spacing w:after="0" w:line="240" w:lineRule="auto"/>
        <w:ind w:firstLine="567"/>
        <w:contextualSpacing/>
        <w:jc w:val="both"/>
        <w:rPr>
          <w:rFonts w:cs="Times New Roman"/>
          <w:b/>
          <w:szCs w:val="28"/>
        </w:rPr>
      </w:pPr>
      <w:r w:rsidRPr="002B136D">
        <w:rPr>
          <w:rFonts w:cs="Times New Roman"/>
          <w:b/>
          <w:szCs w:val="28"/>
        </w:rPr>
        <w:t>1.</w:t>
      </w:r>
      <w:r w:rsidR="00D46C4D" w:rsidRPr="002B136D">
        <w:rPr>
          <w:rFonts w:cs="Times New Roman"/>
          <w:b/>
          <w:szCs w:val="28"/>
        </w:rPr>
        <w:t>6</w:t>
      </w:r>
      <w:r w:rsidRPr="002B136D">
        <w:rPr>
          <w:rFonts w:cs="Times New Roman"/>
          <w:b/>
          <w:szCs w:val="28"/>
        </w:rPr>
        <w:t xml:space="preserve"> </w:t>
      </w:r>
      <w:r w:rsidR="009B5094" w:rsidRPr="002B136D">
        <w:rPr>
          <w:rFonts w:cs="Times New Roman"/>
          <w:b/>
          <w:szCs w:val="28"/>
        </w:rPr>
        <w:t>Сигнальный путь IL-38/IL-1RAPL1 и его функции</w:t>
      </w:r>
    </w:p>
    <w:p w14:paraId="10660784" w14:textId="5507BC16" w:rsidR="00A31D94" w:rsidRPr="002B136D" w:rsidRDefault="00AC5AD3" w:rsidP="00EF13AB">
      <w:pPr>
        <w:spacing w:after="0" w:line="240" w:lineRule="auto"/>
        <w:ind w:firstLine="567"/>
        <w:contextualSpacing/>
        <w:jc w:val="both"/>
        <w:rPr>
          <w:rFonts w:cs="Times New Roman"/>
          <w:szCs w:val="28"/>
        </w:rPr>
      </w:pPr>
      <w:proofErr w:type="gramStart"/>
      <w:r w:rsidRPr="002B136D">
        <w:rPr>
          <w:szCs w:val="28"/>
        </w:rPr>
        <w:t xml:space="preserve">Анализ связывания рецепторов показал, что IL-38 связывается с IL-36R и IL1RAPL1 (Mora et al. </w:t>
      </w:r>
      <w:proofErr w:type="gramEnd"/>
      <w:r w:rsidRPr="002B136D">
        <w:rPr>
          <w:szCs w:val="28"/>
        </w:rPr>
        <w:fldChar w:fldCharType="begin"/>
      </w:r>
      <w:r w:rsidR="00A6759A" w:rsidRPr="002B136D">
        <w:rPr>
          <w:szCs w:val="28"/>
        </w:rPr>
        <w:instrText xml:space="preserve"> ADDIN ZOTERO_ITEM CSL_CITATION {"citationID":"2EorI57k","properties":{"formattedCitation":"[14]","plainCitation":"[14]","noteIndex":0},"citationItems":[{"id":303,"uris":["http://zotero.org/users/8237658/items/7HS468CZ"],"itemData":{"id":303,"type":"book","title":"Mora,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[CrossRef]"}}],"schema":"https://github.com/citation-style-language/schema/raw/master/csl-citation.json"} </w:instrText>
      </w:r>
      <w:r w:rsidRPr="002B136D">
        <w:rPr>
          <w:szCs w:val="28"/>
        </w:rPr>
        <w:fldChar w:fldCharType="separate"/>
      </w:r>
      <w:r w:rsidR="00A6759A" w:rsidRPr="002B136D">
        <w:rPr>
          <w:rFonts w:cs="Times New Roman"/>
        </w:rPr>
        <w:t>[14</w:t>
      </w:r>
      <w:r w:rsidR="00BC41A2">
        <w:rPr>
          <w:rFonts w:cs="Times New Roman"/>
        </w:rPr>
        <w:t>,р. 426</w:t>
      </w:r>
      <w:r w:rsidR="00A6759A" w:rsidRPr="002B136D">
        <w:rPr>
          <w:rFonts w:cs="Times New Roman"/>
        </w:rPr>
        <w:t>]</w:t>
      </w:r>
      <w:r w:rsidRPr="002B136D">
        <w:rPr>
          <w:szCs w:val="28"/>
        </w:rPr>
        <w:fldChar w:fldCharType="end"/>
      </w:r>
      <w:proofErr w:type="gramStart"/>
      <w:r w:rsidRPr="002B136D">
        <w:rPr>
          <w:szCs w:val="28"/>
        </w:rPr>
        <w:t>), что имеет значение для нейробиологии, иммунитета, биологии опухолей, развития мозжечка и когнитивных функци</w:t>
      </w:r>
      <w:proofErr w:type="gramEnd"/>
      <w:r w:rsidRPr="002B136D">
        <w:rPr>
          <w:szCs w:val="28"/>
        </w:rPr>
        <w:t xml:space="preserve"> </w:t>
      </w:r>
      <w:r w:rsidRPr="002B136D">
        <w:rPr>
          <w:rFonts w:cs="Times New Roman"/>
          <w:szCs w:val="28"/>
        </w:rPr>
        <w:t xml:space="preserve"> </w:t>
      </w:r>
      <w:r w:rsidR="001F7AF9" w:rsidRPr="002B136D">
        <w:rPr>
          <w:rFonts w:cs="Times New Roman"/>
          <w:szCs w:val="28"/>
        </w:rPr>
        <w:fldChar w:fldCharType="begin"/>
      </w:r>
      <w:r w:rsidR="00A6759A" w:rsidRPr="002B136D">
        <w:rPr>
          <w:rFonts w:cs="Times New Roman"/>
          <w:szCs w:val="28"/>
        </w:rPr>
        <w:instrText xml:space="preserve"> ADDIN ZOTERO_ITEM CSL_CITATION {"citationID":"xYgDdEEf","properties":{"formattedCitation":"[146,147]","plainCitation":"[146,147]","noteIndex":0},"citationItems":[{"id":397,"uris":["http://zotero.org/users/8237658/items/TS9QMEYC"],"itemData":{"id":397,"type":"book","title":"Carrié A., Jun L., Bienvenu T., Vinet M.-C., McDonell N., Couvert P., Zemni R., Cardona A., Van Buggenhout G., Frints S., et al. A new member of the IL-1 receptor family highly expressed in hippocampus and involved in X-linked mental retardation. Nat. Genet. 1999;23:25–31. doi: 10.1038/12623."},"label":"page"},{"id":398,"uris":["http://zotero.org/users/8237658/items/6CYU64NL"],"itemData":{"id":398,"type":"book","title":"Born T.L., Smith D.E., Garka K.E., Renshaw B.R., Bertles J.S., Sims J.E. Identification and Characterization of Two Members of a Novel Class of the Interleukin-1 Receptor (IL-1R) Family: Delineation of a new class of IL-1R-related proteins based on signaling. J. Boil. Chem. 2000;275:29946–29954. doi: 10.1074/jbc.M004077200."},"label":"page"}],"schema":"https://github.com/citation-style-language/schema/raw/master/csl-citation.json"} </w:instrText>
      </w:r>
      <w:r w:rsidR="001F7AF9" w:rsidRPr="002B136D">
        <w:rPr>
          <w:rFonts w:cs="Times New Roman"/>
          <w:szCs w:val="28"/>
        </w:rPr>
        <w:fldChar w:fldCharType="separate"/>
      </w:r>
      <w:r w:rsidR="00A6759A" w:rsidRPr="002B136D">
        <w:rPr>
          <w:rFonts w:cs="Times New Roman"/>
        </w:rPr>
        <w:t>[146,147]</w:t>
      </w:r>
      <w:r w:rsidR="001F7AF9" w:rsidRPr="002B136D">
        <w:rPr>
          <w:rFonts w:cs="Times New Roman"/>
          <w:szCs w:val="28"/>
        </w:rPr>
        <w:fldChar w:fldCharType="end"/>
      </w:r>
      <w:r w:rsidR="009B5094" w:rsidRPr="002B136D">
        <w:rPr>
          <w:rFonts w:cs="Times New Roman"/>
          <w:szCs w:val="28"/>
        </w:rPr>
        <w:t>.</w:t>
      </w:r>
    </w:p>
    <w:p w14:paraId="555D8FD7" w14:textId="5E86F8DA" w:rsidR="00CE6D75" w:rsidRPr="002B136D" w:rsidRDefault="007630CF" w:rsidP="00EF13AB">
      <w:pPr>
        <w:spacing w:after="0" w:line="240" w:lineRule="auto"/>
        <w:ind w:firstLine="567"/>
        <w:contextualSpacing/>
        <w:jc w:val="both"/>
        <w:rPr>
          <w:rFonts w:cs="Times New Roman"/>
          <w:szCs w:val="28"/>
        </w:rPr>
      </w:pPr>
      <w:r w:rsidRPr="002B136D">
        <w:rPr>
          <w:rFonts w:cs="Times New Roman"/>
          <w:szCs w:val="28"/>
        </w:rPr>
        <w:t xml:space="preserve">IL1RAPL1, также </w:t>
      </w:r>
      <w:proofErr w:type="gramStart"/>
      <w:r w:rsidRPr="002B136D">
        <w:rPr>
          <w:rFonts w:cs="Times New Roman"/>
          <w:szCs w:val="28"/>
        </w:rPr>
        <w:t>известный</w:t>
      </w:r>
      <w:proofErr w:type="gramEnd"/>
      <w:r w:rsidRPr="002B136D">
        <w:rPr>
          <w:rFonts w:cs="Times New Roman"/>
          <w:szCs w:val="28"/>
        </w:rPr>
        <w:t xml:space="preserve"> как TIGIRR-2 или IL-1R10, является рецептором-сиротой с тремя внеклеточными иммуноглобулиновыми доменами и внутриклеточным TIR доменом. Несмотря на это, он все же относится к семейству IL-1R, вместе с SIGIRR и TIGGRR-1 (IL-1P9) </w:t>
      </w:r>
      <w:r w:rsidRPr="002B136D">
        <w:rPr>
          <w:rFonts w:cs="Times New Roman"/>
          <w:szCs w:val="28"/>
        </w:rPr>
        <w:fldChar w:fldCharType="begin"/>
      </w:r>
      <w:r w:rsidR="00A6759A" w:rsidRPr="002B136D">
        <w:rPr>
          <w:rFonts w:cs="Times New Roman"/>
          <w:szCs w:val="28"/>
        </w:rPr>
        <w:instrText xml:space="preserve"> ADDIN ZOTERO_ITEM CSL_CITATION {"citationID":"iXlfFh19","properties":{"formattedCitation":"[125]","plainCitation":"[125]","noteIndex":0},"citationItems":[{"id":372,"uris":["http://zotero.org/users/8237658/items/QDC9GGBV"],"itemData":{"id":372,"type":"book","title":"Garlanda C, Dinarello CA, Mantovani A. The interleukin-1 family: back to the future. Immunity. 2013 Dec 12;39(6):1003-18. doi: 10.1016/j.immuni.2013.11.010. PMID: 24332029; PMCID: PMC3933951."}}],"schema":"https://github.com/citation-style-language/schema/raw/master/csl-citation.json"} </w:instrText>
      </w:r>
      <w:r w:rsidRPr="002B136D">
        <w:rPr>
          <w:rFonts w:cs="Times New Roman"/>
          <w:szCs w:val="28"/>
        </w:rPr>
        <w:fldChar w:fldCharType="separate"/>
      </w:r>
      <w:r w:rsidR="00A6759A" w:rsidRPr="002B136D">
        <w:rPr>
          <w:rFonts w:cs="Times New Roman"/>
        </w:rPr>
        <w:t>[125</w:t>
      </w:r>
      <w:r w:rsidR="00BC41A2">
        <w:rPr>
          <w:rFonts w:cs="Times New Roman"/>
        </w:rPr>
        <w:t>,р. 1003</w:t>
      </w:r>
      <w:r w:rsidR="00A6759A" w:rsidRPr="002B136D">
        <w:rPr>
          <w:rFonts w:cs="Times New Roman"/>
        </w:rPr>
        <w:t>]</w:t>
      </w:r>
      <w:r w:rsidRPr="002B136D">
        <w:rPr>
          <w:rFonts w:cs="Times New Roman"/>
          <w:szCs w:val="28"/>
        </w:rPr>
        <w:fldChar w:fldCharType="end"/>
      </w:r>
      <w:r w:rsidRPr="002B136D">
        <w:rPr>
          <w:rFonts w:cs="Times New Roman"/>
          <w:szCs w:val="28"/>
        </w:rPr>
        <w:t xml:space="preserve">. В отличие от других рецепторов этого семейства, которые активируют сигнальные пути MAPK или NF-κB, IL1RAPL1 активирует путь JNK/AP1 </w:t>
      </w:r>
      <w:r w:rsidRPr="002B136D">
        <w:rPr>
          <w:rFonts w:cs="Times New Roman"/>
          <w:szCs w:val="28"/>
        </w:rPr>
        <w:fldChar w:fldCharType="begin"/>
      </w:r>
      <w:r w:rsidR="00A6759A" w:rsidRPr="002B136D">
        <w:rPr>
          <w:rFonts w:cs="Times New Roman"/>
          <w:szCs w:val="28"/>
        </w:rPr>
        <w:instrText xml:space="preserve"> ADDIN ZOTERO_ITEM CSL_CITATION {"citationID":"EcBES9lJ","properties":{"formattedCitation":"[148]","plainCitation":"[148]","noteIndex":0},"citationItems":[{"id":399,"uris":["http://zotero.org/users/8237658/items/YY5ADWR5"],"itemData":{"id":399,"type":"book","title":"Pavlowsky A., Zanchi A., Pallotto M., Giustetto M., Chelly J., Sala C., Billuart P. Neuronal JNK pathway activation by IL-1 is mediated through IL1RAPL1, a protein required for development of cognitive functions. Commun. Integr. Boil. 2010;3:245–247. doi: 10.4161/cib.3.3.11414."}}],"schema":"https://github.com/citation-style-language/schema/raw/master/csl-citation.json"} </w:instrText>
      </w:r>
      <w:r w:rsidRPr="002B136D">
        <w:rPr>
          <w:rFonts w:cs="Times New Roman"/>
          <w:szCs w:val="28"/>
        </w:rPr>
        <w:fldChar w:fldCharType="separate"/>
      </w:r>
      <w:r w:rsidR="00A6759A" w:rsidRPr="002B136D">
        <w:rPr>
          <w:rFonts w:cs="Times New Roman"/>
        </w:rPr>
        <w:t>[148]</w:t>
      </w:r>
      <w:r w:rsidRPr="002B136D">
        <w:rPr>
          <w:rFonts w:cs="Times New Roman"/>
          <w:szCs w:val="28"/>
        </w:rPr>
        <w:fldChar w:fldCharType="end"/>
      </w:r>
      <w:r w:rsidRPr="002B136D">
        <w:rPr>
          <w:rFonts w:cs="Times New Roman"/>
          <w:szCs w:val="28"/>
        </w:rPr>
        <w:t>. Как полная, так и укороченная формы IL-38 связываются с IL1RAPL1.</w:t>
      </w:r>
      <w:r w:rsidR="00CE6D75" w:rsidRPr="002B136D">
        <w:rPr>
          <w:rFonts w:cs="Times New Roman"/>
          <w:szCs w:val="28"/>
        </w:rPr>
        <w:t xml:space="preserve"> Полная форма IL-38 активирует путь JNK/AP1, что приводит к повышенной выработке IL-6 и стимулирующему эффекту. В отличие от этого, укороченная форма IL-38 снижает активность пути JNK/AP1 и ограничивает активацию Th17, что уменьшает воспаление. Это также приводит к активации макрофагов (Mφ) за счет снижения уровней IL-6 и IL-8 </w:t>
      </w:r>
      <w:r w:rsidR="00AF31F3">
        <w:rPr>
          <w:rFonts w:cs="Times New Roman"/>
          <w:szCs w:val="28"/>
        </w:rPr>
        <w:t>(рисунок</w:t>
      </w:r>
      <w:r w:rsidR="00BC41A2">
        <w:rPr>
          <w:rFonts w:cs="Times New Roman"/>
          <w:szCs w:val="28"/>
        </w:rPr>
        <w:t xml:space="preserve"> </w:t>
      </w:r>
      <w:r w:rsidR="00CE6D75" w:rsidRPr="002B136D">
        <w:rPr>
          <w:rFonts w:cs="Times New Roman"/>
          <w:szCs w:val="28"/>
        </w:rPr>
        <w:t xml:space="preserve">6) </w:t>
      </w:r>
      <w:r w:rsidR="00CE6D75" w:rsidRPr="002B136D">
        <w:rPr>
          <w:rFonts w:cs="Times New Roman"/>
          <w:szCs w:val="28"/>
        </w:rPr>
        <w:fldChar w:fldCharType="begin"/>
      </w:r>
      <w:r w:rsidR="00A6759A" w:rsidRPr="002B136D">
        <w:rPr>
          <w:rFonts w:cs="Times New Roman"/>
          <w:szCs w:val="28"/>
        </w:rPr>
        <w:instrText xml:space="preserve"> ADDIN ZOTERO_ITEM CSL_CITATION {"citationID":"3eOZmuDU","properties":{"formattedCitation":"[14]","plainCitation":"[14]","noteIndex":0},"citationItems":[{"id":303,"uris":["http://zotero.org/users/8237658/items/7HS468CZ"],"itemData":{"id":303,"type":"book","title":"Mora, J.; Schlemmer, A.; Wittig, I.; Richter, F.; Putyrski, M.; Frank, A.-C.; Han, Y.; Jung, M.; Ernst, A.; Weigert, A.; et al. Interleukin-38 is released from apoptotic cells to limit inflammatory macrophage responses. J. Mol. Cell Boil. 2016, 8, 426–438. [CrossRef]"}}],"schema":"https://github.com/citation-style-language/schema/raw/master/csl-citation.json"} </w:instrText>
      </w:r>
      <w:r w:rsidR="00CE6D75" w:rsidRPr="002B136D">
        <w:rPr>
          <w:rFonts w:cs="Times New Roman"/>
          <w:szCs w:val="28"/>
        </w:rPr>
        <w:fldChar w:fldCharType="separate"/>
      </w:r>
      <w:r w:rsidR="00A6759A" w:rsidRPr="002B136D">
        <w:rPr>
          <w:rFonts w:cs="Times New Roman"/>
        </w:rPr>
        <w:t>[14</w:t>
      </w:r>
      <w:r w:rsidR="00BC41A2">
        <w:rPr>
          <w:rFonts w:cs="Times New Roman"/>
        </w:rPr>
        <w:t>,р. 426</w:t>
      </w:r>
      <w:r w:rsidR="00A6759A" w:rsidRPr="002B136D">
        <w:rPr>
          <w:rFonts w:cs="Times New Roman"/>
        </w:rPr>
        <w:t>]</w:t>
      </w:r>
      <w:r w:rsidR="00CE6D75" w:rsidRPr="002B136D">
        <w:rPr>
          <w:rFonts w:cs="Times New Roman"/>
          <w:szCs w:val="28"/>
        </w:rPr>
        <w:fldChar w:fldCharType="end"/>
      </w:r>
      <w:r w:rsidR="00CE6D75" w:rsidRPr="002B136D">
        <w:rPr>
          <w:rFonts w:cs="Times New Roman"/>
          <w:szCs w:val="28"/>
        </w:rPr>
        <w:t>.</w:t>
      </w:r>
      <w:r w:rsidR="008722C8" w:rsidRPr="002B136D">
        <w:rPr>
          <w:rFonts w:cs="Times New Roman"/>
          <w:szCs w:val="28"/>
        </w:rPr>
        <w:t xml:space="preserve"> </w:t>
      </w:r>
    </w:p>
    <w:p w14:paraId="09011501" w14:textId="77777777" w:rsidR="00A31D94" w:rsidRPr="002B136D" w:rsidRDefault="009B5094" w:rsidP="00EF13AB">
      <w:pPr>
        <w:spacing w:after="0" w:line="240" w:lineRule="auto"/>
        <w:ind w:firstLine="567"/>
        <w:contextualSpacing/>
        <w:jc w:val="both"/>
        <w:rPr>
          <w:rFonts w:cs="Times New Roman"/>
          <w:szCs w:val="28"/>
        </w:rPr>
      </w:pPr>
      <w:r w:rsidRPr="002B136D">
        <w:rPr>
          <w:rFonts w:cs="Times New Roman"/>
          <w:szCs w:val="28"/>
        </w:rPr>
        <w:t>Механизм, с помощью которого IL1RAPL1 индуцирует активацию AP1, неизвестен. Он может повышать базальную активность факторов или продуцировать эндогенный корецептор IL1RAPL1, такой как IL-1RAcP, IL-1R1 или IL-36R, для активации AP1, что объясняет, почему IL-38 может взаимодействовать с несколькими рецепторами.</w:t>
      </w:r>
    </w:p>
    <w:p w14:paraId="098F7C6B" w14:textId="77777777" w:rsidR="00841873" w:rsidRPr="002B136D" w:rsidRDefault="009B5094" w:rsidP="00EF13AB">
      <w:pPr>
        <w:spacing w:after="0" w:line="240" w:lineRule="auto"/>
        <w:ind w:firstLine="567"/>
        <w:contextualSpacing/>
        <w:jc w:val="both"/>
        <w:rPr>
          <w:rFonts w:cs="Times New Roman"/>
          <w:szCs w:val="28"/>
        </w:rPr>
      </w:pPr>
      <w:r w:rsidRPr="002B136D">
        <w:rPr>
          <w:rFonts w:cs="Times New Roman"/>
          <w:szCs w:val="28"/>
        </w:rPr>
        <w:t xml:space="preserve"> Для выяснения этого механизма необходимо провести дополнительные исследования. Кроме того, апоптотические клетки могут продуцировать </w:t>
      </w:r>
      <w:r w:rsidRPr="002B136D">
        <w:rPr>
          <w:rFonts w:cs="Times New Roman"/>
          <w:szCs w:val="28"/>
        </w:rPr>
        <w:lastRenderedPageBreak/>
        <w:t>высокие уровни белка IL-38, который связывается с IL1RAPL1, чтобы уменьшить активацию AP1 в Mφs путем противодействия фосфорилированию JNK при взаимодействии с апоптозными клетками и снижения концентрации IL-6 и IL-8.</w:t>
      </w:r>
    </w:p>
    <w:p w14:paraId="3C320869" w14:textId="65DD9848" w:rsidR="009327F2" w:rsidRPr="002B136D" w:rsidRDefault="009327F2" w:rsidP="00EF13AB">
      <w:pPr>
        <w:spacing w:after="0" w:line="240" w:lineRule="auto"/>
        <w:rPr>
          <w:rFonts w:cs="Times New Roman"/>
          <w:b/>
          <w:szCs w:val="28"/>
        </w:rPr>
      </w:pPr>
    </w:p>
    <w:tbl>
      <w:tblPr>
        <w:tblStyle w:val="-5"/>
        <w:tblpPr w:leftFromText="180" w:rightFromText="180" w:vertAnchor="text" w:tblpX="229" w:tblpY="73"/>
        <w:tblW w:w="0" w:type="auto"/>
        <w:tblLook w:val="0000" w:firstRow="0" w:lastRow="0" w:firstColumn="0" w:lastColumn="0" w:noHBand="0" w:noVBand="0"/>
      </w:tblPr>
      <w:tblGrid>
        <w:gridCol w:w="4116"/>
        <w:gridCol w:w="4926"/>
      </w:tblGrid>
      <w:tr w:rsidR="00D51D40" w:rsidRPr="002B136D" w14:paraId="2275C3FA" w14:textId="77777777" w:rsidTr="00597CED">
        <w:trPr>
          <w:cnfStyle w:val="000000100000" w:firstRow="0" w:lastRow="0" w:firstColumn="0" w:lastColumn="0" w:oddVBand="0" w:evenVBand="0" w:oddHBand="1" w:evenHBand="0" w:firstRowFirstColumn="0" w:firstRowLastColumn="0" w:lastRowFirstColumn="0" w:lastRowLastColumn="0"/>
          <w:trHeight w:val="1356"/>
        </w:trPr>
        <w:tc>
          <w:tcPr>
            <w:cnfStyle w:val="000010000000" w:firstRow="0" w:lastRow="0" w:firstColumn="0" w:lastColumn="0" w:oddVBand="1" w:evenVBand="0" w:oddHBand="0" w:evenHBand="0" w:firstRowFirstColumn="0" w:firstRowLastColumn="0" w:lastRowFirstColumn="0" w:lastRowLastColumn="0"/>
            <w:tcW w:w="4116" w:type="dxa"/>
          </w:tcPr>
          <w:p w14:paraId="2A5C6A63" w14:textId="77777777" w:rsidR="00A57063" w:rsidRPr="002B136D" w:rsidRDefault="00A57063" w:rsidP="006E7629">
            <w:pPr>
              <w:spacing w:line="360" w:lineRule="auto"/>
              <w:jc w:val="both"/>
              <w:rPr>
                <w:rFonts w:cs="Times New Roman"/>
                <w:szCs w:val="28"/>
              </w:rPr>
            </w:pPr>
            <w:r w:rsidRPr="002B136D">
              <w:rPr>
                <w:rFonts w:cs="Times New Roman"/>
                <w:noProof/>
                <w:szCs w:val="28"/>
                <w:lang w:eastAsia="ru-RU"/>
              </w:rPr>
              <w:drawing>
                <wp:inline distT="0" distB="0" distL="0" distR="0" wp14:anchorId="40C22261" wp14:editId="3F2B761F">
                  <wp:extent cx="2368073" cy="1251644"/>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5034" cy="1255323"/>
                          </a:xfrm>
                          <a:prstGeom prst="rect">
                            <a:avLst/>
                          </a:prstGeom>
                          <a:noFill/>
                        </pic:spPr>
                      </pic:pic>
                    </a:graphicData>
                  </a:graphic>
                </wp:inline>
              </w:drawing>
            </w:r>
          </w:p>
        </w:tc>
        <w:tc>
          <w:tcPr>
            <w:tcW w:w="4926" w:type="dxa"/>
            <w:vMerge w:val="restart"/>
          </w:tcPr>
          <w:p w14:paraId="366A2E0F" w14:textId="77777777" w:rsidR="00A57063" w:rsidRPr="002B136D" w:rsidRDefault="00A57063" w:rsidP="00EF13A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2B136D">
              <w:rPr>
                <w:rFonts w:cs="Times New Roman"/>
                <w:noProof/>
                <w:szCs w:val="28"/>
                <w:lang w:eastAsia="ru-RU"/>
              </w:rPr>
              <w:drawing>
                <wp:inline distT="0" distB="0" distL="0" distR="0" wp14:anchorId="0F01D104" wp14:editId="53BC501B">
                  <wp:extent cx="2987040" cy="3322320"/>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040" cy="3322320"/>
                          </a:xfrm>
                          <a:prstGeom prst="rect">
                            <a:avLst/>
                          </a:prstGeom>
                          <a:noFill/>
                        </pic:spPr>
                      </pic:pic>
                    </a:graphicData>
                  </a:graphic>
                </wp:inline>
              </w:drawing>
            </w:r>
          </w:p>
        </w:tc>
      </w:tr>
      <w:tr w:rsidR="00D51D40" w:rsidRPr="002B136D" w14:paraId="6C66C96D" w14:textId="77777777" w:rsidTr="00597CED">
        <w:trPr>
          <w:trHeight w:val="1488"/>
        </w:trPr>
        <w:tc>
          <w:tcPr>
            <w:cnfStyle w:val="000010000000" w:firstRow="0" w:lastRow="0" w:firstColumn="0" w:lastColumn="0" w:oddVBand="1" w:evenVBand="0" w:oddHBand="0" w:evenHBand="0" w:firstRowFirstColumn="0" w:firstRowLastColumn="0" w:lastRowFirstColumn="0" w:lastRowLastColumn="0"/>
            <w:tcW w:w="4116" w:type="dxa"/>
          </w:tcPr>
          <w:p w14:paraId="1AEC0F16" w14:textId="77777777" w:rsidR="00A57063" w:rsidRPr="002B136D" w:rsidRDefault="00A57063" w:rsidP="006E7629">
            <w:pPr>
              <w:spacing w:line="360" w:lineRule="auto"/>
              <w:jc w:val="both"/>
              <w:rPr>
                <w:rFonts w:cs="Times New Roman"/>
                <w:szCs w:val="28"/>
              </w:rPr>
            </w:pPr>
            <w:r w:rsidRPr="002B136D">
              <w:rPr>
                <w:rFonts w:cs="Times New Roman"/>
                <w:noProof/>
                <w:szCs w:val="28"/>
                <w:lang w:eastAsia="ru-RU"/>
              </w:rPr>
              <w:drawing>
                <wp:inline distT="0" distB="0" distL="0" distR="0" wp14:anchorId="7A5A0AD9" wp14:editId="0675D036">
                  <wp:extent cx="2212858" cy="159065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2858" cy="1590653"/>
                          </a:xfrm>
                          <a:prstGeom prst="rect">
                            <a:avLst/>
                          </a:prstGeom>
                          <a:noFill/>
                        </pic:spPr>
                      </pic:pic>
                    </a:graphicData>
                  </a:graphic>
                </wp:inline>
              </w:drawing>
            </w:r>
          </w:p>
        </w:tc>
        <w:tc>
          <w:tcPr>
            <w:tcW w:w="4926" w:type="dxa"/>
            <w:vMerge/>
          </w:tcPr>
          <w:p w14:paraId="6D0B7A7C" w14:textId="77777777" w:rsidR="00A57063" w:rsidRPr="002B136D" w:rsidRDefault="00A57063" w:rsidP="006E762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8"/>
              </w:rPr>
            </w:pPr>
          </w:p>
        </w:tc>
      </w:tr>
    </w:tbl>
    <w:p w14:paraId="42A49D96" w14:textId="77777777" w:rsidR="00A31D94" w:rsidRDefault="00A31D94" w:rsidP="00EF13AB">
      <w:pPr>
        <w:spacing w:after="0" w:line="240" w:lineRule="auto"/>
        <w:jc w:val="both"/>
        <w:rPr>
          <w:rFonts w:cs="Times New Roman"/>
          <w:szCs w:val="28"/>
        </w:rPr>
      </w:pPr>
    </w:p>
    <w:p w14:paraId="76C9F6C6" w14:textId="14A530A6" w:rsidR="00EF13AB" w:rsidRPr="00EF13AB" w:rsidRDefault="00EF13AB" w:rsidP="00EF13AB">
      <w:pPr>
        <w:spacing w:after="0" w:line="240" w:lineRule="auto"/>
        <w:jc w:val="center"/>
        <w:rPr>
          <w:rFonts w:cs="Times New Roman"/>
          <w:bCs/>
          <w:szCs w:val="28"/>
        </w:rPr>
      </w:pPr>
      <w:r w:rsidRPr="00EF13AB">
        <w:rPr>
          <w:rFonts w:cs="Times New Roman"/>
          <w:bCs/>
          <w:szCs w:val="28"/>
        </w:rPr>
        <w:t>Рисунок 6 - Сигнальные пути и рецепторы интерлейкина</w:t>
      </w:r>
      <w:r>
        <w:rPr>
          <w:rFonts w:cs="Times New Roman"/>
          <w:bCs/>
          <w:szCs w:val="28"/>
        </w:rPr>
        <w:t xml:space="preserve"> </w:t>
      </w:r>
      <w:r w:rsidRPr="00EF13AB">
        <w:rPr>
          <w:rFonts w:cs="Times New Roman"/>
          <w:bCs/>
          <w:szCs w:val="28"/>
        </w:rPr>
        <w:t>-</w:t>
      </w:r>
      <w:r>
        <w:rPr>
          <w:rFonts w:cs="Times New Roman"/>
          <w:bCs/>
          <w:szCs w:val="28"/>
        </w:rPr>
        <w:t xml:space="preserve"> </w:t>
      </w:r>
      <w:r w:rsidRPr="00EF13AB">
        <w:rPr>
          <w:rFonts w:cs="Times New Roman"/>
          <w:bCs/>
          <w:szCs w:val="28"/>
        </w:rPr>
        <w:t>38</w:t>
      </w:r>
    </w:p>
    <w:p w14:paraId="4E187467" w14:textId="77777777" w:rsidR="00EF13AB" w:rsidRPr="002B136D" w:rsidRDefault="00EF13AB" w:rsidP="00EF13AB">
      <w:pPr>
        <w:spacing w:after="0" w:line="240" w:lineRule="auto"/>
        <w:jc w:val="both"/>
        <w:rPr>
          <w:rFonts w:cs="Times New Roman"/>
          <w:szCs w:val="28"/>
        </w:rPr>
      </w:pPr>
    </w:p>
    <w:p w14:paraId="6F3D8679" w14:textId="52EB5669" w:rsidR="008722C8" w:rsidRPr="002B136D" w:rsidRDefault="0037553E" w:rsidP="00EF13AB">
      <w:pPr>
        <w:spacing w:after="0" w:line="240" w:lineRule="auto"/>
        <w:ind w:firstLine="567"/>
        <w:contextualSpacing/>
        <w:jc w:val="both"/>
        <w:rPr>
          <w:rFonts w:cs="Times New Roman"/>
          <w:szCs w:val="28"/>
        </w:rPr>
      </w:pPr>
      <w:r w:rsidRPr="002B136D">
        <w:rPr>
          <w:rFonts w:cs="Times New Roman"/>
          <w:szCs w:val="28"/>
        </w:rPr>
        <w:t xml:space="preserve">Генетическое исследование – перспективный метод диагностики, позволяющий выявлять причины заболеваний или маркеры их тяжелого течения. У генетически предрасположенных лиц факторы риска, такие как курение, стресс и неблагоприятная экология, приводят к гиперэкспрессии аутоантигенов (измененных внеклеточных участков рецептора ТТГ) в мягких тканях орбиты у пациентов с ЭОП </w:t>
      </w:r>
      <w:r w:rsidR="008722C8" w:rsidRPr="002B136D">
        <w:rPr>
          <w:rFonts w:cs="Times New Roman"/>
          <w:szCs w:val="28"/>
        </w:rPr>
        <w:fldChar w:fldCharType="begin"/>
      </w:r>
      <w:r w:rsidR="00A6759A" w:rsidRPr="002B136D">
        <w:rPr>
          <w:rFonts w:cs="Times New Roman"/>
          <w:szCs w:val="28"/>
        </w:rPr>
        <w:instrText xml:space="preserve"> ADDIN ZOTERO_ITEM CSL_CITATION {"citationID":"MeJv55Np","properties":{"formattedCitation":"[149]","plainCitation":"[149]","noteIndex":0},"citationItems":[{"id":369,"uris":["http://zotero.org/users/8237658/items/DHKRTQ48"],"itemData":{"id":369,"type":"book","title":"Pujol-Borrell R, Gimenez-Barcons M, Marin-Sanchez A, Colobran R. Genetics of Graves’ disease: special focus on the role of TSHR gene. Horm Metab Res. 2015;47(10):753-766. doi: 10.1055/s-0035-1559646."}}],"schema":"https://github.com/citation-style-language/schema/raw/master/csl-citation.json"} </w:instrText>
      </w:r>
      <w:r w:rsidR="008722C8" w:rsidRPr="002B136D">
        <w:rPr>
          <w:rFonts w:cs="Times New Roman"/>
          <w:szCs w:val="28"/>
        </w:rPr>
        <w:fldChar w:fldCharType="separate"/>
      </w:r>
      <w:r w:rsidR="00A6759A" w:rsidRPr="002B136D">
        <w:rPr>
          <w:rFonts w:cs="Times New Roman"/>
        </w:rPr>
        <w:t>[149]</w:t>
      </w:r>
      <w:r w:rsidR="008722C8" w:rsidRPr="002B136D">
        <w:rPr>
          <w:rFonts w:cs="Times New Roman"/>
          <w:szCs w:val="28"/>
        </w:rPr>
        <w:fldChar w:fldCharType="end"/>
      </w:r>
      <w:r w:rsidR="008722C8" w:rsidRPr="002B136D">
        <w:rPr>
          <w:rFonts w:cs="Times New Roman"/>
          <w:szCs w:val="28"/>
        </w:rPr>
        <w:t xml:space="preserve">. </w:t>
      </w:r>
    </w:p>
    <w:p w14:paraId="6D96F878" w14:textId="0228ADF9" w:rsidR="000E0289" w:rsidRPr="002B136D" w:rsidRDefault="000E0289" w:rsidP="00EF13AB">
      <w:pPr>
        <w:spacing w:after="0" w:line="240" w:lineRule="auto"/>
        <w:ind w:firstLine="567"/>
        <w:contextualSpacing/>
        <w:jc w:val="both"/>
        <w:rPr>
          <w:rFonts w:cs="Times New Roman"/>
          <w:szCs w:val="28"/>
        </w:rPr>
      </w:pPr>
      <w:proofErr w:type="gramStart"/>
      <w:r w:rsidRPr="002B136D">
        <w:rPr>
          <w:rFonts w:cs="Times New Roman"/>
          <w:szCs w:val="28"/>
        </w:rPr>
        <w:t xml:space="preserve">В европейской популяции предрасположенность к </w:t>
      </w:r>
      <w:r w:rsidR="00AC5AD3" w:rsidRPr="002B136D">
        <w:rPr>
          <w:rFonts w:cs="Times New Roman"/>
          <w:szCs w:val="28"/>
        </w:rPr>
        <w:t xml:space="preserve">ЭОП у пациентов с </w:t>
      </w:r>
      <w:r w:rsidRPr="002B136D">
        <w:rPr>
          <w:rFonts w:cs="Times New Roman"/>
          <w:szCs w:val="28"/>
        </w:rPr>
        <w:t>БГ ассоциирована с гаплотипами HLA-B8, -DR3 и DQA1*0501, генами CTLA-4, ICAM-1, TNF, IFN-γ, TSHR и полиморфизмами PRO12ALA и C1431T гена PPAR</w:t>
      </w:r>
      <w:proofErr w:type="gramEnd"/>
      <w:r w:rsidRPr="002B136D">
        <w:rPr>
          <w:rFonts w:cs="Times New Roman"/>
          <w:szCs w:val="28"/>
        </w:rPr>
        <w:t>γ</w:t>
      </w:r>
      <w:r w:rsidR="00AC5AD3" w:rsidRPr="002B136D">
        <w:rPr>
          <w:rFonts w:cs="Times New Roman"/>
          <w:szCs w:val="28"/>
        </w:rPr>
        <w:t xml:space="preserve"> </w:t>
      </w:r>
      <w:r w:rsidR="00AC5AD3" w:rsidRPr="002B136D">
        <w:rPr>
          <w:rFonts w:cs="Times New Roman"/>
          <w:szCs w:val="28"/>
        </w:rPr>
        <w:fldChar w:fldCharType="begin"/>
      </w:r>
      <w:r w:rsidR="00A6759A" w:rsidRPr="002B136D">
        <w:rPr>
          <w:rFonts w:cs="Times New Roman"/>
          <w:szCs w:val="28"/>
        </w:rPr>
        <w:instrText xml:space="preserve"> ADDIN ZOTERO_ITEM CSL_CITATION {"citationID":"nPG583ZM","properties":{"formattedCitation":"[149\\uc0\\u8211{}151]","plainCitation":"[149–151]","noteIndex":0},"citationItems":[{"id":369,"uris":["http://zotero.org/users/8237658/items/DHKRTQ48"],"itemData":{"id":369,"type":"book","title":"Pujol-Borrell R, Gimenez-Barcons M, Marin-Sanchez A, Colobran R. Genetics of Graves’ disease: special focus on the role of TSHR gene. Horm Metab Res. 2015;47(10):753-766. doi: 10.1055/s-0035-1559646."},"label":"page"},{"id":370,"uris":["http://zotero.org/users/8237658/items/YD3HWFNJ"],"itemData":{"id":370,"type":"book","title":"Серкин Д.М., Серебрякова О.В., Харинцева С.В., и др. Значение сочетаний полиморфизмов PRO12ALA И C1431T PPARγ в формировании эндокринной офтальмопатии. // Забайкальский медицинский вестник. – 2014. – №2. – С. 38–43. [Serkin DM, Serebryakova OV, Kharintseva SV, et al. Znachenie sochetaniy polimorfizmov PRO12ALA I C1431T PPARγ v formirovanii endokrinnoy oftal’mopatii. Zabaykal’skiy meditsinskiy vestnik. 2014;(2):38-43. (In Russ.)]"},"label":"page"},{"id":350,"uris":["http://zotero.org/users/8237658/items/Z2GW4C8C"],"itemData":{"id":350,"type":"book","title":"Wong KH, Rong SS, Chong KK, Young AL, Pang CP, Chen LJ. Genetic Associations of Interleukin-related Genes with Graves' Ophthalmopathy: a Systematic Review and Meta-analysis. Sci Rep. 2015 Nov 18;5:16672. doi: 10.1038/srep16672. PMID: 26578206; PMCID: PMC4649612."},"label":"page"}],"schema":"https://github.com/citation-style-language/schema/raw/master/csl-citation.json"} </w:instrText>
      </w:r>
      <w:r w:rsidR="00AC5AD3" w:rsidRPr="002B136D">
        <w:rPr>
          <w:rFonts w:cs="Times New Roman"/>
          <w:szCs w:val="28"/>
        </w:rPr>
        <w:fldChar w:fldCharType="separate"/>
      </w:r>
      <w:r w:rsidR="00A6759A" w:rsidRPr="002B136D">
        <w:rPr>
          <w:rFonts w:cs="Times New Roman"/>
          <w:szCs w:val="24"/>
        </w:rPr>
        <w:t>[149–151]</w:t>
      </w:r>
      <w:r w:rsidR="00AC5AD3" w:rsidRPr="002B136D">
        <w:rPr>
          <w:rFonts w:cs="Times New Roman"/>
          <w:szCs w:val="28"/>
        </w:rPr>
        <w:fldChar w:fldCharType="end"/>
      </w:r>
      <w:r w:rsidR="00AC5AD3" w:rsidRPr="002B136D">
        <w:rPr>
          <w:rFonts w:cs="Times New Roman"/>
          <w:szCs w:val="28"/>
        </w:rPr>
        <w:t xml:space="preserve">. </w:t>
      </w:r>
      <w:r w:rsidRPr="002B136D">
        <w:rPr>
          <w:rFonts w:cs="Times New Roman"/>
          <w:szCs w:val="28"/>
        </w:rPr>
        <w:t>Однако эти данные предварительные, поскольку исследования в других этнических группах показали противоречивые результаты</w:t>
      </w:r>
      <w:r w:rsidR="00AC5AD3" w:rsidRPr="002B136D">
        <w:rPr>
          <w:rFonts w:cs="Times New Roman"/>
          <w:szCs w:val="28"/>
        </w:rPr>
        <w:t xml:space="preserve"> </w:t>
      </w:r>
      <w:r w:rsidR="00AC5AD3" w:rsidRPr="002B136D">
        <w:rPr>
          <w:rFonts w:cs="Times New Roman"/>
          <w:szCs w:val="28"/>
          <w:lang w:val="en-US"/>
        </w:rPr>
        <w:fldChar w:fldCharType="begin"/>
      </w:r>
      <w:r w:rsidR="00A6759A" w:rsidRPr="002B136D">
        <w:rPr>
          <w:rFonts w:cs="Times New Roman"/>
          <w:szCs w:val="28"/>
        </w:rPr>
        <w:instrText xml:space="preserve"> ADDIN ZOTERO_ITEM CSL_CITATION {"citationID":"CYfHz6tg","properties":{"formattedCitation":"[152]","plainCitation":"[152]","noteIndex":0},"citationItems":[{"id":627,"uris":["http://zotero.org/users/8237658/items/A6LC7QN9"],"itemData":{"id":627,"type":"book","title":"Petunina NA, Martirosian NS, Trukhina LV, Saakyan SV, Panteleeva OG, Burdennyy AM, Nosikov VV. Association between polymorphic markers in candidate genes and the risk of manifestationof endocrine ophthalmopathy in patients with Graves' disease. Ter Arkh. 2018 Nov 22;90(10):35-39. doi: 10.26442/terarkh2018901035-39. PMID: 30701793."}}],"schema":"https://github.com/citation-style-language/schema/raw/master/csl-citation.json"} </w:instrText>
      </w:r>
      <w:r w:rsidR="00AC5AD3" w:rsidRPr="002B136D">
        <w:rPr>
          <w:rFonts w:cs="Times New Roman"/>
          <w:szCs w:val="28"/>
          <w:lang w:val="en-US"/>
        </w:rPr>
        <w:fldChar w:fldCharType="separate"/>
      </w:r>
      <w:r w:rsidR="00A6759A" w:rsidRPr="002B136D">
        <w:rPr>
          <w:rFonts w:cs="Times New Roman"/>
        </w:rPr>
        <w:t>[152]</w:t>
      </w:r>
      <w:r w:rsidR="00AC5AD3" w:rsidRPr="002B136D">
        <w:rPr>
          <w:rFonts w:cs="Times New Roman"/>
          <w:szCs w:val="28"/>
          <w:lang w:val="en-US"/>
        </w:rPr>
        <w:fldChar w:fldCharType="end"/>
      </w:r>
      <w:r w:rsidRPr="002B136D">
        <w:rPr>
          <w:rFonts w:cs="Times New Roman"/>
          <w:szCs w:val="28"/>
        </w:rPr>
        <w:t>. Необходимы дальнейшие исследования для определения точных аллелей риска и их взаимодействий, что позволит разработать персонализированные подходы к профилактике и лечению с учетом генетической гетерогенности и эпигенетических факторов.</w:t>
      </w:r>
    </w:p>
    <w:p w14:paraId="429E017F" w14:textId="7DAC1D71" w:rsidR="0037553E" w:rsidRPr="002B136D" w:rsidRDefault="0037553E" w:rsidP="00EF13AB">
      <w:pPr>
        <w:spacing w:after="0" w:line="240" w:lineRule="auto"/>
        <w:ind w:firstLine="567"/>
        <w:contextualSpacing/>
        <w:jc w:val="both"/>
        <w:rPr>
          <w:szCs w:val="28"/>
        </w:rPr>
      </w:pPr>
      <w:r w:rsidRPr="002B136D">
        <w:rPr>
          <w:szCs w:val="28"/>
        </w:rPr>
        <w:t xml:space="preserve">Иммуносупрессивная терапия при ЭОП не влияла на экспрессию гена RARα, участвующего в адипогенезе </w:t>
      </w:r>
      <w:r w:rsidRPr="002B136D">
        <w:rPr>
          <w:szCs w:val="28"/>
        </w:rPr>
        <w:fldChar w:fldCharType="begin"/>
      </w:r>
      <w:r w:rsidR="00A6759A" w:rsidRPr="002B136D">
        <w:rPr>
          <w:szCs w:val="28"/>
        </w:rPr>
        <w:instrText xml:space="preserve"> ADDIN ZOTERO_ITEM CSL_CITATION {"citationID":"Q1zFbidA","properties":{"formattedCitation":"[153]","plainCitation":"[153]","noteIndex":0},"citationItems":[{"id":625,"uris":["http://zotero.org/users/8237658/items/9P3ASYMH"],"itemData":{"id":625,"type":"book","title":"Cury SS, Oliveira M, Síbio MT, Clara S, Luvizotto RAM, Conde S, Jorge EN, Nunes VDS, Nogueira CR, Mazeto GMFDS. Graves' ophthalmopathy: low-dose dexamethasone reduces retinoic acid receptor-alpha gene expression in orbital fibroblasts. Arch Endocrinol Metab. 2018 Jun;62(3):366-369. doi: 10.20945/2359-3997000000044. Epub 2018 May 17. PMID: 29791662; PMCID: PMC10118777."}}],"schema":"https://github.com/citation-style-language/schema/raw/master/csl-citation.json"} </w:instrText>
      </w:r>
      <w:r w:rsidRPr="002B136D">
        <w:rPr>
          <w:szCs w:val="28"/>
        </w:rPr>
        <w:fldChar w:fldCharType="separate"/>
      </w:r>
      <w:r w:rsidR="00A6759A" w:rsidRPr="002B136D">
        <w:rPr>
          <w:rFonts w:cs="Times New Roman"/>
        </w:rPr>
        <w:t>[153]</w:t>
      </w:r>
      <w:r w:rsidRPr="002B136D">
        <w:rPr>
          <w:szCs w:val="28"/>
        </w:rPr>
        <w:fldChar w:fldCharType="end"/>
      </w:r>
      <w:r w:rsidRPr="002B136D">
        <w:rPr>
          <w:szCs w:val="28"/>
        </w:rPr>
        <w:t xml:space="preserve">. </w:t>
      </w:r>
      <w:r w:rsidR="000E0289" w:rsidRPr="002B136D">
        <w:rPr>
          <w:szCs w:val="28"/>
        </w:rPr>
        <w:t xml:space="preserve">Исследование Miao Xuan et al. подтвердило связь полиморфизма тиреоглобулина с БГ, но не выявило его значимой корреляции </w:t>
      </w:r>
      <w:proofErr w:type="gramStart"/>
      <w:r w:rsidR="000E0289" w:rsidRPr="002B136D">
        <w:rPr>
          <w:szCs w:val="28"/>
        </w:rPr>
        <w:t>с</w:t>
      </w:r>
      <w:proofErr w:type="gramEnd"/>
      <w:r w:rsidR="000E0289" w:rsidRPr="002B136D">
        <w:rPr>
          <w:szCs w:val="28"/>
        </w:rPr>
        <w:t xml:space="preserve"> эндокринной офтальмопатией (ЭОП) </w:t>
      </w:r>
      <w:r w:rsidR="000E0289" w:rsidRPr="002B136D">
        <w:rPr>
          <w:szCs w:val="28"/>
        </w:rPr>
        <w:fldChar w:fldCharType="begin"/>
      </w:r>
      <w:r w:rsidR="00A6759A" w:rsidRPr="002B136D">
        <w:rPr>
          <w:szCs w:val="28"/>
        </w:rPr>
        <w:instrText xml:space="preserve"> ADDIN ZOTERO_ITEM CSL_CITATION {"citationID":"IsTY6ssu","properties":{"formattedCitation":"[154]","plainCitation":"[154]","noteIndex":0},"citationItems":[{"id":626,"uris":["http://zotero.org/users/8237658/items/D38TDGF5"],"itemData":{"id":626,"type":"book","title":"Xuan M, Zhao SX, Yan CY, Yang J, Li Y, Song LG, Song HD, Zhang XZ. Fine mapping of thyroglobulin gene identifies two independent risk loci for Graves' disease in Chinese Han population. Ann Transl Med. 2019 Sep;7(18):434. doi: 10.21037/atm.2019.08.115. PMID: 31700870; PMCID: PMC6803187."}}],"schema":"https://github.com/citation-style-language/schema/raw/master/csl-citation.json"} </w:instrText>
      </w:r>
      <w:r w:rsidR="000E0289" w:rsidRPr="002B136D">
        <w:rPr>
          <w:szCs w:val="28"/>
        </w:rPr>
        <w:fldChar w:fldCharType="separate"/>
      </w:r>
      <w:r w:rsidR="00A6759A" w:rsidRPr="002B136D">
        <w:rPr>
          <w:rFonts w:cs="Times New Roman"/>
        </w:rPr>
        <w:t>[154]</w:t>
      </w:r>
      <w:r w:rsidR="000E0289" w:rsidRPr="002B136D">
        <w:rPr>
          <w:szCs w:val="28"/>
        </w:rPr>
        <w:fldChar w:fldCharType="end"/>
      </w:r>
      <w:r w:rsidR="000E0289" w:rsidRPr="002B136D">
        <w:rPr>
          <w:szCs w:val="28"/>
        </w:rPr>
        <w:t>.</w:t>
      </w:r>
    </w:p>
    <w:p w14:paraId="3C7493A2" w14:textId="4DFE7F02" w:rsidR="00E25FA1" w:rsidRPr="002B136D" w:rsidRDefault="004912B6" w:rsidP="00EF13AB">
      <w:pPr>
        <w:spacing w:after="0" w:line="240" w:lineRule="auto"/>
        <w:ind w:firstLine="567"/>
        <w:contextualSpacing/>
        <w:jc w:val="both"/>
        <w:rPr>
          <w:rFonts w:cs="Times New Roman"/>
          <w:szCs w:val="28"/>
        </w:rPr>
      </w:pPr>
      <w:proofErr w:type="gramStart"/>
      <w:r w:rsidRPr="002B136D">
        <w:rPr>
          <w:rFonts w:cs="Times New Roman"/>
          <w:szCs w:val="28"/>
        </w:rPr>
        <w:lastRenderedPageBreak/>
        <w:t xml:space="preserve">Кроме </w:t>
      </w:r>
      <w:r w:rsidR="00E25FA1" w:rsidRPr="002B136D">
        <w:rPr>
          <w:rFonts w:cs="Times New Roman"/>
          <w:szCs w:val="28"/>
        </w:rPr>
        <w:t>этого</w:t>
      </w:r>
      <w:r w:rsidRPr="002B136D">
        <w:rPr>
          <w:rFonts w:cs="Times New Roman"/>
          <w:szCs w:val="28"/>
        </w:rPr>
        <w:t>, к</w:t>
      </w:r>
      <w:r w:rsidR="005F0E57" w:rsidRPr="002B136D">
        <w:rPr>
          <w:rFonts w:cs="Times New Roman"/>
          <w:szCs w:val="28"/>
        </w:rPr>
        <w:t>итайскими учеными были изучены связь с вариациями гена</w:t>
      </w:r>
      <w:r w:rsidR="00D77B6D" w:rsidRPr="002B136D">
        <w:rPr>
          <w:rFonts w:cs="Times New Roman"/>
          <w:szCs w:val="28"/>
        </w:rPr>
        <w:t xml:space="preserve"> </w:t>
      </w:r>
      <w:r w:rsidR="005F0E57" w:rsidRPr="002B136D">
        <w:rPr>
          <w:rFonts w:cs="Times New Roman"/>
          <w:szCs w:val="28"/>
        </w:rPr>
        <w:t xml:space="preserve">регулятора фактора интерферона (IFN) (IRF), а именно регуляторы транскрипции IFN I типа и развитием АИД, </w:t>
      </w:r>
      <w:r w:rsidR="00B4177E" w:rsidRPr="002B136D">
        <w:rPr>
          <w:rFonts w:cs="Times New Roman"/>
          <w:szCs w:val="28"/>
        </w:rPr>
        <w:t>БГ</w:t>
      </w:r>
      <w:r w:rsidR="00D77B6D" w:rsidRPr="002B136D">
        <w:rPr>
          <w:rFonts w:cs="Times New Roman"/>
          <w:szCs w:val="28"/>
        </w:rPr>
        <w:t xml:space="preserve"> </w:t>
      </w:r>
      <w:r w:rsidR="005F0E57" w:rsidRPr="002B136D">
        <w:rPr>
          <w:rFonts w:cs="Times New Roman"/>
          <w:szCs w:val="28"/>
        </w:rPr>
        <w:t>и ЭОП</w:t>
      </w:r>
      <w:r w:rsidR="00E25FA1" w:rsidRPr="002B136D">
        <w:rPr>
          <w:rFonts w:cs="Times New Roman"/>
          <w:szCs w:val="28"/>
        </w:rPr>
        <w:t xml:space="preserve"> </w:t>
      </w:r>
      <w:proofErr w:type="gramEnd"/>
      <w:r w:rsidR="00D517AD" w:rsidRPr="002B136D">
        <w:rPr>
          <w:rFonts w:cs="Times New Roman"/>
          <w:szCs w:val="28"/>
        </w:rPr>
        <w:fldChar w:fldCharType="begin"/>
      </w:r>
      <w:r w:rsidR="00A6759A" w:rsidRPr="002B136D">
        <w:rPr>
          <w:rFonts w:cs="Times New Roman"/>
          <w:szCs w:val="28"/>
        </w:rPr>
        <w:instrText xml:space="preserve"> ADDIN ZOTERO_ITEM CSL_CITATION {"citationID":"gMjYBqsS","properties":{"formattedCitation":"[155]","plainCitation":"[155]","noteIndex":0},"citationItems":[{"id":337,"uris":["http://zotero.org/users/8237658/items/IVLB5HEZ"],"itemData":{"id":337,"type":"book","title":"Yao Q, An X, Zhang J, Mu K, Li L, Song R, Sun P, Zhang JA. IRF7 Gene Variations Confer Susceptibility to Autoimmune Thyroid Diseases and Graves' Ophthalmopathy. Int J Endocrinol. 2019 Jan 15;2019:7429187. doi: 10.1155/2019/7429187. PMID: 30774658; PMCID: PMC6350596."}}],"schema":"https://github.com/citation-style-language/schema/raw/master/csl-citation.json"} </w:instrText>
      </w:r>
      <w:r w:rsidR="00D517AD" w:rsidRPr="002B136D">
        <w:rPr>
          <w:rFonts w:cs="Times New Roman"/>
          <w:szCs w:val="28"/>
        </w:rPr>
        <w:fldChar w:fldCharType="separate"/>
      </w:r>
      <w:r w:rsidR="00A6759A" w:rsidRPr="002B136D">
        <w:rPr>
          <w:rFonts w:cs="Times New Roman"/>
        </w:rPr>
        <w:t>[155]</w:t>
      </w:r>
      <w:r w:rsidR="00D517AD" w:rsidRPr="002B136D">
        <w:rPr>
          <w:rFonts w:cs="Times New Roman"/>
          <w:szCs w:val="28"/>
        </w:rPr>
        <w:fldChar w:fldCharType="end"/>
      </w:r>
      <w:proofErr w:type="gramStart"/>
      <w:r w:rsidR="005F2AF0" w:rsidRPr="002B136D">
        <w:rPr>
          <w:rFonts w:cs="Times New Roman"/>
          <w:szCs w:val="28"/>
        </w:rPr>
        <w:t>. В</w:t>
      </w:r>
      <w:r w:rsidR="005F0E57" w:rsidRPr="002B136D">
        <w:rPr>
          <w:rFonts w:cs="Times New Roman"/>
          <w:szCs w:val="28"/>
        </w:rPr>
        <w:t xml:space="preserve">виду того, что интерферон играет </w:t>
      </w:r>
      <w:r w:rsidR="009279FE" w:rsidRPr="002B136D">
        <w:rPr>
          <w:rFonts w:cs="Times New Roman"/>
          <w:szCs w:val="28"/>
        </w:rPr>
        <w:t>ключевую роль во врожденных и адаптивных иммунных реакциях, генетический анализ данного цитокина изучался при других иммунных патологиях</w:t>
      </w:r>
      <w:proofErr w:type="gramEnd"/>
      <w:r w:rsidR="00D517AD" w:rsidRPr="002B136D">
        <w:rPr>
          <w:rFonts w:cs="Times New Roman"/>
          <w:szCs w:val="28"/>
        </w:rPr>
        <w:t xml:space="preserve"> </w:t>
      </w:r>
      <w:r w:rsidR="00D517AD" w:rsidRPr="002B136D">
        <w:rPr>
          <w:rFonts w:cs="Times New Roman"/>
          <w:szCs w:val="28"/>
        </w:rPr>
        <w:fldChar w:fldCharType="begin"/>
      </w:r>
      <w:r w:rsidR="00A6759A" w:rsidRPr="002B136D">
        <w:rPr>
          <w:rFonts w:cs="Times New Roman"/>
          <w:szCs w:val="28"/>
        </w:rPr>
        <w:instrText xml:space="preserve"> ADDIN ZOTERO_ITEM CSL_CITATION {"citationID":"ZcOLpHyH","properties":{"formattedCitation":"[156,157]","plainCitation":"[156,157]","noteIndex":0},"citationItems":[{"id":339,"uris":["http://zotero.org/users/8237658/items/L3VZJJ7F"],"itemData":{"id":339,"type":"book","title":"Carmona F. D., Gutala R., Simeón C. P., et al. Novel identification of the IRF7 region as an anticentromere autoantibody propensity locus in systemic sclerosis. Annals of the Rheumatic Diseases. 2012;71(1):114–119. doi: 10.1136/annrheumdis-2011-200275. [PMC free article] [PubMed] [CrossRef] [Google Scholar]"},"label":"page"},{"id":338,"uris":["http://zotero.org/users/8237658/items/Z2ZJUENT"],"itemData":{"id":338,"type":"book","title":"Lin L. H., Ling P., Liu M. F. The potential role of interferon-regulatory factor 7 among Taiwanese patients with systemic lupus erythematosus. The Journal of Rheumatology. 2011;38(9):1914–1919. doi: 10.3899/jrheum.101004. [PubMed] [CrossRef] [Google Scholar]"},"label":"page"}],"schema":"https://github.com/citation-style-language/schema/raw/master/csl-citation.json"} </w:instrText>
      </w:r>
      <w:r w:rsidR="00D517AD" w:rsidRPr="002B136D">
        <w:rPr>
          <w:rFonts w:cs="Times New Roman"/>
          <w:szCs w:val="28"/>
        </w:rPr>
        <w:fldChar w:fldCharType="separate"/>
      </w:r>
      <w:r w:rsidR="00A6759A" w:rsidRPr="002B136D">
        <w:rPr>
          <w:rFonts w:cs="Times New Roman"/>
        </w:rPr>
        <w:t>[156,157]</w:t>
      </w:r>
      <w:r w:rsidR="00D517AD" w:rsidRPr="002B136D">
        <w:rPr>
          <w:rFonts w:cs="Times New Roman"/>
          <w:szCs w:val="28"/>
        </w:rPr>
        <w:fldChar w:fldCharType="end"/>
      </w:r>
      <w:r w:rsidR="009279FE" w:rsidRPr="002B136D">
        <w:rPr>
          <w:rFonts w:cs="Times New Roman"/>
          <w:szCs w:val="28"/>
        </w:rPr>
        <w:t>.</w:t>
      </w:r>
      <w:r w:rsidRPr="002B136D">
        <w:rPr>
          <w:rFonts w:cs="Times New Roman"/>
          <w:szCs w:val="28"/>
        </w:rPr>
        <w:t xml:space="preserve"> Результаты у данной по</w:t>
      </w:r>
      <w:r w:rsidR="004132E1" w:rsidRPr="002B136D">
        <w:rPr>
          <w:rFonts w:cs="Times New Roman"/>
          <w:szCs w:val="28"/>
        </w:rPr>
        <w:t>пуляционной группы с патологией ЩЖ</w:t>
      </w:r>
      <w:r w:rsidR="009279FE" w:rsidRPr="002B136D">
        <w:rPr>
          <w:rFonts w:cs="Times New Roman"/>
          <w:szCs w:val="28"/>
        </w:rPr>
        <w:t xml:space="preserve"> </w:t>
      </w:r>
      <w:r w:rsidR="004132E1" w:rsidRPr="002B136D">
        <w:rPr>
          <w:rFonts w:cs="Times New Roman"/>
          <w:szCs w:val="28"/>
        </w:rPr>
        <w:t xml:space="preserve">показали, что частота аллеля G rs1061501 у пациентов с </w:t>
      </w:r>
      <w:r w:rsidR="00B4177E" w:rsidRPr="002B136D">
        <w:rPr>
          <w:rFonts w:cs="Times New Roman"/>
          <w:szCs w:val="28"/>
        </w:rPr>
        <w:t>БГ</w:t>
      </w:r>
      <w:r w:rsidR="004132E1" w:rsidRPr="002B136D">
        <w:rPr>
          <w:rFonts w:cs="Times New Roman"/>
          <w:szCs w:val="28"/>
        </w:rPr>
        <w:t xml:space="preserve"> с ЭОП была значительно выше, чем у пациентов с </w:t>
      </w:r>
      <w:r w:rsidR="00B4177E" w:rsidRPr="002B136D">
        <w:rPr>
          <w:rFonts w:cs="Times New Roman"/>
          <w:szCs w:val="28"/>
        </w:rPr>
        <w:t>БГ</w:t>
      </w:r>
      <w:r w:rsidR="00D77B6D" w:rsidRPr="002B136D">
        <w:rPr>
          <w:rFonts w:cs="Times New Roman"/>
          <w:szCs w:val="28"/>
        </w:rPr>
        <w:t xml:space="preserve"> </w:t>
      </w:r>
      <w:r w:rsidR="004132E1" w:rsidRPr="002B136D">
        <w:rPr>
          <w:rFonts w:cs="Times New Roman"/>
          <w:szCs w:val="28"/>
        </w:rPr>
        <w:t>без офтальмопатии ( P = 0,035, OR = 1,396, 95% CI = 1,023-1,906).</w:t>
      </w:r>
      <w:r w:rsidR="006D65AF" w:rsidRPr="002B136D">
        <w:rPr>
          <w:rFonts w:cs="Times New Roman"/>
          <w:szCs w:val="28"/>
        </w:rPr>
        <w:t xml:space="preserve"> </w:t>
      </w:r>
    </w:p>
    <w:p w14:paraId="70DA1152" w14:textId="59FE4564" w:rsidR="00A31D94" w:rsidRPr="002B136D" w:rsidRDefault="006D65AF" w:rsidP="00EF13AB">
      <w:pPr>
        <w:spacing w:after="0" w:line="240" w:lineRule="auto"/>
        <w:ind w:firstLine="567"/>
        <w:contextualSpacing/>
        <w:jc w:val="both"/>
        <w:rPr>
          <w:rFonts w:cs="Times New Roman"/>
          <w:szCs w:val="28"/>
        </w:rPr>
      </w:pPr>
      <w:r w:rsidRPr="002B136D">
        <w:rPr>
          <w:rFonts w:cs="Times New Roman"/>
          <w:szCs w:val="28"/>
        </w:rPr>
        <w:t>Также, исследовался</w:t>
      </w:r>
      <w:r w:rsidR="00D77B6D" w:rsidRPr="002B136D">
        <w:rPr>
          <w:rFonts w:cs="Times New Roman"/>
          <w:szCs w:val="28"/>
        </w:rPr>
        <w:t xml:space="preserve"> </w:t>
      </w:r>
      <w:r w:rsidRPr="002B136D">
        <w:rPr>
          <w:rFonts w:cs="Times New Roman"/>
          <w:szCs w:val="28"/>
        </w:rPr>
        <w:t>фермент дейодиназа типа 2 (DIO2), который катализирует выработку активной формы гормона щитовидной железы трийодтиронина (Т3) из тироксина (Т</w:t>
      </w:r>
      <w:proofErr w:type="gramStart"/>
      <w:r w:rsidRPr="002B136D">
        <w:rPr>
          <w:rFonts w:cs="Times New Roman"/>
          <w:szCs w:val="28"/>
        </w:rPr>
        <w:t>4</w:t>
      </w:r>
      <w:proofErr w:type="gramEnd"/>
      <w:r w:rsidRPr="002B136D">
        <w:rPr>
          <w:rFonts w:cs="Times New Roman"/>
          <w:szCs w:val="28"/>
        </w:rPr>
        <w:t xml:space="preserve">) и </w:t>
      </w:r>
      <w:r w:rsidR="005F2AF0" w:rsidRPr="002B136D">
        <w:rPr>
          <w:rFonts w:cs="Times New Roman"/>
          <w:szCs w:val="28"/>
        </w:rPr>
        <w:t>поддерживает</w:t>
      </w:r>
      <w:r w:rsidRPr="002B136D">
        <w:rPr>
          <w:rFonts w:cs="Times New Roman"/>
          <w:szCs w:val="28"/>
        </w:rPr>
        <w:t xml:space="preserve"> внутриклеточн</w:t>
      </w:r>
      <w:r w:rsidR="005F2AF0" w:rsidRPr="002B136D">
        <w:rPr>
          <w:rFonts w:cs="Times New Roman"/>
          <w:szCs w:val="28"/>
        </w:rPr>
        <w:t>ый уровень гормона</w:t>
      </w:r>
      <w:r w:rsidRPr="002B136D">
        <w:rPr>
          <w:rFonts w:cs="Times New Roman"/>
          <w:szCs w:val="28"/>
        </w:rPr>
        <w:t xml:space="preserve"> Т3. Однонуклеотидные полиморфизмы (SNP) в DIO2 были связаны с несколькими заболеваниями.</w:t>
      </w:r>
      <w:r w:rsidR="00D77B6D" w:rsidRPr="002B136D">
        <w:rPr>
          <w:rFonts w:cs="Times New Roman"/>
          <w:szCs w:val="28"/>
        </w:rPr>
        <w:t xml:space="preserve"> </w:t>
      </w:r>
      <w:r w:rsidRPr="002B136D">
        <w:rPr>
          <w:rFonts w:cs="Times New Roman"/>
          <w:szCs w:val="28"/>
        </w:rPr>
        <w:t>Однако</w:t>
      </w:r>
      <w:proofErr w:type="gramStart"/>
      <w:r w:rsidRPr="002B136D">
        <w:rPr>
          <w:rFonts w:cs="Times New Roman"/>
          <w:szCs w:val="28"/>
        </w:rPr>
        <w:t>,</w:t>
      </w:r>
      <w:proofErr w:type="gramEnd"/>
      <w:r w:rsidRPr="002B136D">
        <w:rPr>
          <w:rFonts w:cs="Times New Roman"/>
          <w:szCs w:val="28"/>
        </w:rPr>
        <w:t xml:space="preserve"> данные точечные изменения</w:t>
      </w:r>
      <w:r w:rsidR="00EC1FA8" w:rsidRPr="002B136D">
        <w:rPr>
          <w:rFonts w:cs="Times New Roman"/>
          <w:szCs w:val="28"/>
        </w:rPr>
        <w:t xml:space="preserve"> показали</w:t>
      </w:r>
      <w:r w:rsidRPr="002B136D">
        <w:rPr>
          <w:rFonts w:cs="Times New Roman"/>
          <w:szCs w:val="28"/>
        </w:rPr>
        <w:t xml:space="preserve"> слабую статистическую связь с развитием ЭОП </w:t>
      </w:r>
      <w:r w:rsidRPr="002B136D">
        <w:rPr>
          <w:rFonts w:cs="Times New Roman"/>
          <w:szCs w:val="28"/>
        </w:rPr>
        <w:fldChar w:fldCharType="begin"/>
      </w:r>
      <w:r w:rsidR="00A6759A" w:rsidRPr="002B136D">
        <w:rPr>
          <w:rFonts w:cs="Times New Roman"/>
          <w:szCs w:val="28"/>
        </w:rPr>
        <w:instrText xml:space="preserve"> ADDIN ZOTERO_ITEM CSL_CITATION {"citationID":"X9qyy0vX","properties":{"formattedCitation":"[158]","plainCitation":"[158]","noteIndex":0},"citationItems":[{"id":340,"uris":["http://zotero.org/users/8237658/items/Q7AHYBLU"],"itemData":{"id":340,"type":"book","title":"Shahida B, Planck T, Åsman P, Lantz M. Study of Deiodinase Type 2 Polymorphisms in Graves' Disease and Ophthalmopathy in a Swedish Population. Eur Thyroid J. 2018 Nov;7(6):289-293. doi: 10.1159/000490892. Epub 2018 Jul 20. PMID: 30574458; PMCID: PMC6276746."}}],"schema":"https://github.com/citation-style-language/schema/raw/master/csl-citation.json"} </w:instrText>
      </w:r>
      <w:r w:rsidRPr="002B136D">
        <w:rPr>
          <w:rFonts w:cs="Times New Roman"/>
          <w:szCs w:val="28"/>
        </w:rPr>
        <w:fldChar w:fldCharType="separate"/>
      </w:r>
      <w:r w:rsidR="00A6759A" w:rsidRPr="002B136D">
        <w:rPr>
          <w:rFonts w:cs="Times New Roman"/>
        </w:rPr>
        <w:t>[158]</w:t>
      </w:r>
      <w:r w:rsidRPr="002B136D">
        <w:rPr>
          <w:rFonts w:cs="Times New Roman"/>
          <w:szCs w:val="28"/>
        </w:rPr>
        <w:fldChar w:fldCharType="end"/>
      </w:r>
      <w:r w:rsidRPr="002B136D">
        <w:rPr>
          <w:rFonts w:cs="Times New Roman"/>
          <w:szCs w:val="28"/>
        </w:rPr>
        <w:t>.</w:t>
      </w:r>
      <w:r w:rsidR="00853A64" w:rsidRPr="002B136D">
        <w:rPr>
          <w:rFonts w:cs="Times New Roman"/>
          <w:szCs w:val="28"/>
        </w:rPr>
        <w:t xml:space="preserve"> </w:t>
      </w:r>
    </w:p>
    <w:p w14:paraId="78D75D37" w14:textId="296948BF" w:rsidR="00A31D94" w:rsidRPr="002B136D" w:rsidRDefault="00853A64" w:rsidP="00EF13AB">
      <w:pPr>
        <w:spacing w:after="0" w:line="240" w:lineRule="auto"/>
        <w:ind w:firstLine="567"/>
        <w:contextualSpacing/>
        <w:jc w:val="both"/>
        <w:rPr>
          <w:rFonts w:cs="Times New Roman"/>
          <w:szCs w:val="28"/>
        </w:rPr>
      </w:pPr>
      <w:r w:rsidRPr="002B136D">
        <w:rPr>
          <w:rFonts w:cs="Times New Roman"/>
          <w:szCs w:val="28"/>
        </w:rPr>
        <w:t xml:space="preserve">Кроме этого, так как пуском иммунного ответа при ЭОП является гиперэкспрессия р-ТТГ, ученые провели генетический анализ данного рецептора у </w:t>
      </w:r>
      <w:r w:rsidR="0038552C" w:rsidRPr="002B136D">
        <w:rPr>
          <w:rFonts w:cs="Times New Roman"/>
          <w:szCs w:val="28"/>
        </w:rPr>
        <w:t>пациентов</w:t>
      </w:r>
      <w:r w:rsidRPr="002B136D">
        <w:rPr>
          <w:rFonts w:cs="Times New Roman"/>
          <w:szCs w:val="28"/>
        </w:rPr>
        <w:t xml:space="preserve"> с </w:t>
      </w:r>
      <w:r w:rsidR="00B4177E" w:rsidRPr="002B136D">
        <w:rPr>
          <w:rFonts w:cs="Times New Roman"/>
          <w:szCs w:val="28"/>
        </w:rPr>
        <w:t>БГ</w:t>
      </w:r>
      <w:r w:rsidRPr="002B136D">
        <w:rPr>
          <w:rFonts w:cs="Times New Roman"/>
          <w:szCs w:val="28"/>
        </w:rPr>
        <w:t xml:space="preserve">. </w:t>
      </w:r>
      <w:proofErr w:type="gramStart"/>
      <w:r w:rsidRPr="002B136D">
        <w:rPr>
          <w:rFonts w:cs="Times New Roman"/>
          <w:szCs w:val="28"/>
        </w:rPr>
        <w:t xml:space="preserve">Были обнаружены, что носительство АА генотипа </w:t>
      </w:r>
      <w:r w:rsidR="00C03217" w:rsidRPr="002B136D">
        <w:rPr>
          <w:rFonts w:cs="Times New Roman"/>
          <w:szCs w:val="28"/>
        </w:rPr>
        <w:t>изменённого rs</w:t>
      </w:r>
      <w:r w:rsidRPr="002B136D">
        <w:rPr>
          <w:rFonts w:cs="Times New Roman"/>
          <w:szCs w:val="28"/>
        </w:rPr>
        <w:t xml:space="preserve">179247 гена рецептора ТТГ </w:t>
      </w:r>
      <w:r w:rsidR="0065262A" w:rsidRPr="002B136D">
        <w:rPr>
          <w:rFonts w:cs="Times New Roman"/>
          <w:szCs w:val="28"/>
        </w:rPr>
        <w:t xml:space="preserve">влияет на развитие </w:t>
      </w:r>
      <w:r w:rsidR="00B4177E" w:rsidRPr="002B136D">
        <w:rPr>
          <w:rFonts w:cs="Times New Roman"/>
          <w:szCs w:val="28"/>
        </w:rPr>
        <w:t>БГ</w:t>
      </w:r>
      <w:r w:rsidR="0065262A" w:rsidRPr="002B136D">
        <w:rPr>
          <w:rFonts w:cs="Times New Roman"/>
          <w:szCs w:val="28"/>
        </w:rPr>
        <w:t xml:space="preserve"> (ОШ = 2,821; 95 % ДИ 1,595-4,990; p = 0,0004), в то время как </w:t>
      </w:r>
      <w:r w:rsidR="0065262A" w:rsidRPr="002B136D">
        <w:rPr>
          <w:rFonts w:cs="Times New Roman"/>
          <w:szCs w:val="28"/>
          <w:lang w:val="en-US"/>
        </w:rPr>
        <w:t>GG</w:t>
      </w:r>
      <w:r w:rsidR="0065262A" w:rsidRPr="002B136D">
        <w:rPr>
          <w:rFonts w:cs="Times New Roman"/>
          <w:szCs w:val="28"/>
        </w:rPr>
        <w:t xml:space="preserve"> вариант rs12885526 повышал риск ЭОП у данный группы людей. </w:t>
      </w:r>
      <w:proofErr w:type="gramEnd"/>
    </w:p>
    <w:p w14:paraId="791FEC81" w14:textId="4EF26A2A" w:rsidR="00A31D94" w:rsidRPr="002B136D" w:rsidRDefault="0065262A" w:rsidP="00EF13AB">
      <w:pPr>
        <w:spacing w:after="0" w:line="240" w:lineRule="auto"/>
        <w:ind w:firstLine="567"/>
        <w:contextualSpacing/>
        <w:jc w:val="both"/>
        <w:rPr>
          <w:rFonts w:cs="Times New Roman"/>
          <w:szCs w:val="28"/>
        </w:rPr>
      </w:pPr>
      <w:r w:rsidRPr="002B136D">
        <w:rPr>
          <w:rFonts w:cs="Times New Roman"/>
          <w:szCs w:val="28"/>
        </w:rPr>
        <w:t>Тем не менее, эти результаты не показали какой-либо связи между исследованными полиморфизмами и клиническими особенностями пациентов или исходом</w:t>
      </w:r>
      <w:r w:rsidR="00283211">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{"citationID":"Gqp1qb0B","properties":{"formattedCitation":"[159]","plainCitation":"[159]","noteIndex":0},"citationItems":[{"id":342,"uris":["http://zotero.org/users/8237658/items/Z57I5Z95"],"itemData":{"id":342,"type":"book","title":"Bufalo NE, Dos Santos RB, Marcello MA, Piai RP, Secolin R, Romaldini JH, Ward LS. TSHR intronic polymorphisms (rs179247 and rs12885526) and their role in the susceptibility of the Brazilian population to Graves' disease and Graves' ophthalmopathy. J Endocrinol Invest. 2015 May;38(5):555-61. doi: 10.1007/s40618-014-0228-9. Epub 2014 Dec 28. PMID: 25543543."}}],"schema":"https://github.com/citation-style-language/schema/raw/master/csl-citation.json"} </w:instrText>
      </w:r>
      <w:r w:rsidRPr="002B136D">
        <w:rPr>
          <w:rFonts w:cs="Times New Roman"/>
          <w:szCs w:val="28"/>
        </w:rPr>
        <w:fldChar w:fldCharType="separate"/>
      </w:r>
      <w:r w:rsidR="00A6759A" w:rsidRPr="002B136D">
        <w:rPr>
          <w:rFonts w:cs="Times New Roman"/>
        </w:rPr>
        <w:t>[159]</w:t>
      </w:r>
      <w:r w:rsidRPr="002B136D">
        <w:rPr>
          <w:rFonts w:cs="Times New Roman"/>
          <w:szCs w:val="28"/>
        </w:rPr>
        <w:fldChar w:fldCharType="end"/>
      </w:r>
      <w:r w:rsidRPr="002B136D">
        <w:rPr>
          <w:rFonts w:cs="Times New Roman"/>
          <w:szCs w:val="28"/>
        </w:rPr>
        <w:t xml:space="preserve">. </w:t>
      </w:r>
    </w:p>
    <w:p w14:paraId="58C115DC" w14:textId="200FFAD9" w:rsidR="00A31D94" w:rsidRPr="002B136D" w:rsidRDefault="00EC1FA8" w:rsidP="00EF13AB">
      <w:pPr>
        <w:spacing w:after="0" w:line="240" w:lineRule="auto"/>
        <w:ind w:firstLine="567"/>
        <w:contextualSpacing/>
        <w:jc w:val="both"/>
        <w:rPr>
          <w:rFonts w:cs="Times New Roman"/>
          <w:szCs w:val="28"/>
        </w:rPr>
      </w:pPr>
      <w:r w:rsidRPr="002B136D">
        <w:rPr>
          <w:rFonts w:cs="Times New Roman"/>
          <w:szCs w:val="28"/>
        </w:rPr>
        <w:t xml:space="preserve">Помимо </w:t>
      </w:r>
      <w:r w:rsidR="002E323C" w:rsidRPr="002B136D">
        <w:rPr>
          <w:rFonts w:cs="Times New Roman"/>
          <w:szCs w:val="28"/>
        </w:rPr>
        <w:t xml:space="preserve">этого, теория о </w:t>
      </w:r>
      <w:r w:rsidR="003B4AEA" w:rsidRPr="002B136D">
        <w:rPr>
          <w:rFonts w:cs="Times New Roman"/>
          <w:szCs w:val="28"/>
        </w:rPr>
        <w:t>нехватки или неусвоения</w:t>
      </w:r>
      <w:r w:rsidRPr="002B136D">
        <w:rPr>
          <w:rFonts w:cs="Times New Roman"/>
          <w:szCs w:val="28"/>
        </w:rPr>
        <w:t xml:space="preserve"> клетками</w:t>
      </w:r>
      <w:r w:rsidR="00D77B6D" w:rsidRPr="002B136D">
        <w:rPr>
          <w:rFonts w:cs="Times New Roman"/>
          <w:szCs w:val="28"/>
        </w:rPr>
        <w:t xml:space="preserve"> </w:t>
      </w:r>
      <w:r w:rsidRPr="002B136D">
        <w:rPr>
          <w:rFonts w:cs="Times New Roman"/>
          <w:szCs w:val="28"/>
        </w:rPr>
        <w:t>витамина</w:t>
      </w:r>
      <w:proofErr w:type="gramStart"/>
      <w:r w:rsidRPr="002B136D">
        <w:rPr>
          <w:rFonts w:cs="Times New Roman"/>
          <w:szCs w:val="28"/>
        </w:rPr>
        <w:t xml:space="preserve"> Д</w:t>
      </w:r>
      <w:proofErr w:type="gramEnd"/>
      <w:r w:rsidRPr="002B136D">
        <w:rPr>
          <w:rFonts w:cs="Times New Roman"/>
          <w:szCs w:val="28"/>
        </w:rPr>
        <w:t xml:space="preserve"> при аутоагрессиявных состояниях привели к изучению </w:t>
      </w:r>
      <w:r w:rsidR="002E323C" w:rsidRPr="002B136D">
        <w:rPr>
          <w:rFonts w:cs="Times New Roman"/>
          <w:szCs w:val="28"/>
        </w:rPr>
        <w:t>генетических патологий</w:t>
      </w:r>
      <w:r w:rsidR="00D77B6D" w:rsidRPr="002B136D">
        <w:rPr>
          <w:rFonts w:cs="Times New Roman"/>
          <w:szCs w:val="28"/>
        </w:rPr>
        <w:t xml:space="preserve"> </w:t>
      </w:r>
      <w:r w:rsidRPr="002B136D">
        <w:rPr>
          <w:rFonts w:cs="Times New Roman"/>
          <w:szCs w:val="28"/>
        </w:rPr>
        <w:t>среди данных</w:t>
      </w:r>
      <w:r w:rsidR="002E323C" w:rsidRPr="002B136D">
        <w:rPr>
          <w:rFonts w:cs="Times New Roman"/>
          <w:szCs w:val="28"/>
        </w:rPr>
        <w:t xml:space="preserve"> заболеваний</w:t>
      </w:r>
      <w:r w:rsidRPr="002B136D">
        <w:rPr>
          <w:rFonts w:cs="Times New Roman"/>
          <w:szCs w:val="28"/>
        </w:rPr>
        <w:t>. Соответственно, Zhou F</w:t>
      </w:r>
      <w:r w:rsidR="001574F3" w:rsidRPr="002B136D">
        <w:rPr>
          <w:rFonts w:cs="Times New Roman"/>
          <w:szCs w:val="28"/>
        </w:rPr>
        <w:t xml:space="preserve"> и соавторы исследовали полиморфизм в гене рецептора витамина D (VDR) у </w:t>
      </w:r>
      <w:r w:rsidR="0038552C" w:rsidRPr="002B136D">
        <w:rPr>
          <w:rFonts w:cs="Times New Roman"/>
          <w:szCs w:val="28"/>
        </w:rPr>
        <w:t>пациентов</w:t>
      </w:r>
      <w:r w:rsidR="001574F3" w:rsidRPr="002B136D">
        <w:rPr>
          <w:rFonts w:cs="Times New Roman"/>
          <w:szCs w:val="28"/>
        </w:rPr>
        <w:t xml:space="preserve"> с патологией ЩЖ </w:t>
      </w:r>
      <w:r w:rsidR="001574F3" w:rsidRPr="002B136D">
        <w:rPr>
          <w:rFonts w:cs="Times New Roman"/>
          <w:szCs w:val="28"/>
        </w:rPr>
        <w:fldChar w:fldCharType="begin"/>
      </w:r>
      <w:r w:rsidR="00A6759A" w:rsidRPr="002B136D">
        <w:rPr>
          <w:rFonts w:cs="Times New Roman"/>
          <w:szCs w:val="28"/>
        </w:rPr>
        <w:instrText xml:space="preserve"> ADDIN ZOTERO_ITEM CSL_CITATION {"citationID":"8HIvgbQ0","properties":{"formattedCitation":"[160]","plainCitation":"[160]","noteIndex":0},"citationItems":[{"id":341,"uris":["http://zotero.org/users/8237658/items/W5A7Z9YY"],"itemData":{"id":341,"type":"book","title":"Zhou F, Liang Z, Wang X, Tan G, Wei W, Zheng G, Ma X, Tian D, Li H, Yu H. The VDR gene confers a genetic predisposition to Graves' disease and Graves' ophthalmopathy in the Southwest Chinese Han population. Gene. 2021 Aug 15;793:145750. doi: 10.1016/j.gene.2021.145750. Epub 2021 May 30. PMID: 34077777."}}],"schema":"https://github.com/citation-style-language/schema/raw/master/csl-citation.json"} </w:instrText>
      </w:r>
      <w:r w:rsidR="001574F3" w:rsidRPr="002B136D">
        <w:rPr>
          <w:rFonts w:cs="Times New Roman"/>
          <w:szCs w:val="28"/>
        </w:rPr>
        <w:fldChar w:fldCharType="separate"/>
      </w:r>
      <w:r w:rsidR="00A6759A" w:rsidRPr="002B136D">
        <w:rPr>
          <w:rFonts w:cs="Times New Roman"/>
        </w:rPr>
        <w:t>[160]</w:t>
      </w:r>
      <w:r w:rsidR="001574F3" w:rsidRPr="002B136D">
        <w:rPr>
          <w:rFonts w:cs="Times New Roman"/>
          <w:szCs w:val="28"/>
        </w:rPr>
        <w:fldChar w:fldCharType="end"/>
      </w:r>
      <w:r w:rsidR="001574F3" w:rsidRPr="002B136D">
        <w:rPr>
          <w:rFonts w:cs="Times New Roman"/>
          <w:szCs w:val="28"/>
        </w:rPr>
        <w:t>.</w:t>
      </w:r>
      <w:r w:rsidR="005F2AF0" w:rsidRPr="002B136D">
        <w:rPr>
          <w:rFonts w:cs="Times New Roman"/>
          <w:szCs w:val="28"/>
        </w:rPr>
        <w:t xml:space="preserve"> Результаты показали, что</w:t>
      </w:r>
      <w:r w:rsidR="00456B36" w:rsidRPr="002B136D">
        <w:rPr>
          <w:rFonts w:cs="Times New Roman"/>
          <w:szCs w:val="28"/>
        </w:rPr>
        <w:t xml:space="preserve"> полиморфизм VDR/Apa I</w:t>
      </w:r>
      <w:r w:rsidR="00D77B6D" w:rsidRPr="002B136D">
        <w:rPr>
          <w:rFonts w:cs="Times New Roman"/>
          <w:szCs w:val="28"/>
        </w:rPr>
        <w:t xml:space="preserve"> </w:t>
      </w:r>
      <w:r w:rsidR="00456B36" w:rsidRPr="002B136D">
        <w:rPr>
          <w:rFonts w:cs="Times New Roman"/>
          <w:szCs w:val="28"/>
        </w:rPr>
        <w:t xml:space="preserve">может повлиять на уровни секреции цитокинов путем экспрессии измененных мРНК VDR и развивать аутоиммунный ответ организма при ЭОП. </w:t>
      </w:r>
      <w:proofErr w:type="gramStart"/>
      <w:r w:rsidR="00B34816" w:rsidRPr="002B136D">
        <w:rPr>
          <w:rFonts w:cs="Times New Roman"/>
          <w:szCs w:val="28"/>
        </w:rPr>
        <w:t>На сегодняшний день несколько однонуклеотидных полиморфизмов (SNP) в IL12B были связаны с различными нарушениями иммунной регуляции, однако данные по заболеваниям ЩЖ и ЭОП были противоречивыми</w:t>
      </w:r>
      <w:proofErr w:type="gramEnd"/>
      <w:r w:rsidR="00B34816" w:rsidRPr="002B136D">
        <w:rPr>
          <w:rFonts w:cs="Times New Roman"/>
          <w:szCs w:val="28"/>
        </w:rPr>
        <w:t xml:space="preserve"> </w:t>
      </w:r>
      <w:r w:rsidR="00945E29" w:rsidRPr="002B136D">
        <w:rPr>
          <w:rFonts w:cs="Times New Roman"/>
          <w:szCs w:val="28"/>
        </w:rPr>
        <w:fldChar w:fldCharType="begin"/>
      </w:r>
      <w:r w:rsidR="00A6759A" w:rsidRPr="002B136D">
        <w:rPr>
          <w:rFonts w:cs="Times New Roman"/>
          <w:szCs w:val="28"/>
        </w:rPr>
        <w:instrText xml:space="preserve"> ADDIN ZOTERO_ITEM CSL_CITATION {"citationID":"h1Et6r2r","properties":{"formattedCitation":"[161\\uc0\\u8211{}163]","plainCitation":"[161–163]","noteIndex":0},"citationItems":[{"id":345,"uris":["http://zotero.org/users/8237658/items/S7ZZE8I2"],"itemData":{"id":345,"type":"book","title":"Anvari M, Khalilzadeh O, Esteghamati A, Esfahani SA, Rashidi A, Etemadi A, Mahmoudi M, Amirzargar AA. Genetic susceptibility to Graves' ophthalmopathy: the role of polymorphisms in proinflammatory cytokine genes. Eye (Lond) 2010;24:1058. doi: 10.1038/eye.2009.244. [PubMed] [CrossRef] [Google Scholar] [Ref list]"},"label":"page"},{"id":344,"uris":["http://zotero.org/users/8237658/items/U2ZZLYHK"],"itemData":{"id":344,"type":"book","title":"Hiromatsu Y, Fukutani T, Ichimura M, Mukai T, Kaku H, Miyake I, Yamada K. Interleukin-12B gene polymorphism does not confer susceptibility to Graves' ophthalmopathy in Japanese population. Endocr J. 2006;53:753. doi: 10.1507/endocrj.K06-040. [PubMed] [CrossRef] [Google Scholar] [Ref list]"},"label":"page"},{"id":346,"uris":["http://zotero.org/users/8237658/items/RERSR7BI"],"itemData":{"id":346,"type":"book","title":"Walsh JP, Berry J, Liu S, Panicker V, Dayan CM, Brix TH, Hegedus L, Hou P, Shi B, Morahan G. The clinical presentation of autoimmune thyroid disease in men is associated with IL12B genotype. Clin Endocrinol (Oxf) 2011;74:508. doi: 10.1111/j.1365-2265.2010.03970.x. [PubMed] [CrossRef] [Google Scholar] [Ref list]"},"label":"page"}],"schema":"https://github.com/citation-style-language/schema/raw/master/csl-citation.json"} </w:instrText>
      </w:r>
      <w:r w:rsidR="00945E29" w:rsidRPr="002B136D">
        <w:rPr>
          <w:rFonts w:cs="Times New Roman"/>
          <w:szCs w:val="28"/>
        </w:rPr>
        <w:fldChar w:fldCharType="separate"/>
      </w:r>
      <w:r w:rsidR="00A6759A" w:rsidRPr="002B136D">
        <w:rPr>
          <w:rFonts w:cs="Times New Roman"/>
          <w:szCs w:val="24"/>
        </w:rPr>
        <w:t>[161–163]</w:t>
      </w:r>
      <w:r w:rsidR="00945E29" w:rsidRPr="002B136D">
        <w:rPr>
          <w:rFonts w:cs="Times New Roman"/>
          <w:szCs w:val="28"/>
        </w:rPr>
        <w:fldChar w:fldCharType="end"/>
      </w:r>
      <w:r w:rsidR="00945E29" w:rsidRPr="002B136D">
        <w:rPr>
          <w:rFonts w:cs="Times New Roman"/>
          <w:szCs w:val="28"/>
        </w:rPr>
        <w:t>.</w:t>
      </w:r>
    </w:p>
    <w:p w14:paraId="027082A6" w14:textId="7D048BFC" w:rsidR="00A31D94" w:rsidRPr="002B136D" w:rsidRDefault="009342C5" w:rsidP="00EF13AB">
      <w:pPr>
        <w:spacing w:after="0" w:line="240" w:lineRule="auto"/>
        <w:ind w:firstLine="567"/>
        <w:contextualSpacing/>
        <w:jc w:val="both"/>
        <w:rPr>
          <w:rFonts w:cs="Times New Roman"/>
          <w:szCs w:val="28"/>
        </w:rPr>
      </w:pPr>
      <w:r w:rsidRPr="002B136D">
        <w:rPr>
          <w:rFonts w:cs="Times New Roman"/>
          <w:szCs w:val="28"/>
        </w:rPr>
        <w:t>ATG5</w:t>
      </w:r>
      <w:r w:rsidR="00EF13AB">
        <w:rPr>
          <w:rFonts w:cs="Times New Roman"/>
          <w:szCs w:val="28"/>
        </w:rPr>
        <w:t xml:space="preserve"> </w:t>
      </w:r>
      <w:r w:rsidRPr="002B136D">
        <w:rPr>
          <w:rFonts w:cs="Times New Roman"/>
          <w:szCs w:val="28"/>
        </w:rPr>
        <w:t>- это ген</w:t>
      </w:r>
      <w:r w:rsidR="00C9766C" w:rsidRPr="002B136D">
        <w:rPr>
          <w:rFonts w:cs="Times New Roman"/>
          <w:szCs w:val="28"/>
          <w:lang w:val="kk-KZ"/>
        </w:rPr>
        <w:t>,</w:t>
      </w:r>
      <w:r w:rsidRPr="002B136D">
        <w:rPr>
          <w:rFonts w:cs="Times New Roman"/>
          <w:szCs w:val="28"/>
        </w:rPr>
        <w:t xml:space="preserve"> отвечающий за реакцию аутофагию клетки и цитоплазматических органелл. Данный ген изучается в области онкологических заболеваний, также иммунноопосредственных</w:t>
      </w:r>
      <w:r w:rsidR="00D77B6D" w:rsidRPr="002B136D">
        <w:rPr>
          <w:rFonts w:cs="Times New Roman"/>
          <w:szCs w:val="28"/>
        </w:rPr>
        <w:t xml:space="preserve"> </w:t>
      </w:r>
      <w:r w:rsidRPr="002B136D">
        <w:rPr>
          <w:rFonts w:cs="Times New Roman"/>
          <w:szCs w:val="28"/>
        </w:rPr>
        <w:t xml:space="preserve">патологиях. Так по данным </w:t>
      </w:r>
      <w:r w:rsidRPr="002B136D">
        <w:rPr>
          <w:rFonts w:cs="Times New Roman"/>
          <w:szCs w:val="28"/>
          <w:lang w:val="en-US"/>
        </w:rPr>
        <w:t>Wang</w:t>
      </w:r>
      <w:r w:rsidRPr="002B136D">
        <w:rPr>
          <w:rFonts w:cs="Times New Roman"/>
          <w:szCs w:val="28"/>
        </w:rPr>
        <w:t xml:space="preserve"> и соавторов, мутации данного белка может повлиять </w:t>
      </w:r>
      <w:r w:rsidR="00055600" w:rsidRPr="002B136D">
        <w:rPr>
          <w:rFonts w:cs="Times New Roman"/>
          <w:szCs w:val="28"/>
        </w:rPr>
        <w:t>как</w:t>
      </w:r>
      <w:r w:rsidR="00D77B6D" w:rsidRPr="002B136D">
        <w:rPr>
          <w:rFonts w:cs="Times New Roman"/>
          <w:szCs w:val="28"/>
        </w:rPr>
        <w:t xml:space="preserve"> </w:t>
      </w:r>
      <w:r w:rsidR="00055600" w:rsidRPr="002B136D">
        <w:rPr>
          <w:rFonts w:cs="Times New Roman"/>
          <w:szCs w:val="28"/>
        </w:rPr>
        <w:t xml:space="preserve">внеклеточном, так и внутриклеточном процессинге антигена для презентации МНС класса II CD4 + Т-клеткам. </w:t>
      </w:r>
      <w:r w:rsidRPr="002B136D">
        <w:rPr>
          <w:rFonts w:cs="Times New Roman"/>
          <w:szCs w:val="28"/>
        </w:rPr>
        <w:t xml:space="preserve">Кроме того, исследование также показало, что пациенты с </w:t>
      </w:r>
      <w:r w:rsidR="00B4177E" w:rsidRPr="002B136D">
        <w:rPr>
          <w:rFonts w:cs="Times New Roman"/>
          <w:szCs w:val="28"/>
        </w:rPr>
        <w:t>БГ</w:t>
      </w:r>
      <w:r w:rsidRPr="002B136D">
        <w:rPr>
          <w:rFonts w:cs="Times New Roman"/>
          <w:szCs w:val="28"/>
        </w:rPr>
        <w:t xml:space="preserve"> с аллелем G rs6937876 имели повышенную предрасположенность к развитию офтальмопатии </w:t>
      </w:r>
      <w:r w:rsidRPr="002B136D">
        <w:rPr>
          <w:rFonts w:cs="Times New Roman"/>
          <w:szCs w:val="28"/>
        </w:rPr>
        <w:fldChar w:fldCharType="begin"/>
      </w:r>
      <w:r w:rsidR="00A6759A" w:rsidRPr="002B136D">
        <w:rPr>
          <w:rFonts w:cs="Times New Roman"/>
          <w:szCs w:val="28"/>
        </w:rPr>
        <w:instrText xml:space="preserve"> ADDIN ZOTERO_ITEM CSL_CITATION {"citationID":"Rrou02ms","properties":{"formattedCitation":"[164]","plainCitation":"[164]","noteIndex":0},"citationItems":[{"id":347,"uris":["http://zotero.org/users/8237658/items/3XLATXTH"],"itemData":{"id":347,"type":"book","title":"Wang W, Yu ZY, Song RH, He ST, Shi LF, Zhang JA. Polymorphisms of ATG5 Gene Are Associated with Autoimmune Thyroid Diseases, Especially Thyroid Eye Disease. J Immunol Res. 2022 Apr 26;2022:3881417. doi: 10.1155/2022/3881417. PMID: 35518570; PMCID: PMC9064513."}}],"schema":"https://github.com/citation-style-language/schema/raw/master/csl-citation.json"} </w:instrText>
      </w:r>
      <w:r w:rsidRPr="002B136D">
        <w:rPr>
          <w:rFonts w:cs="Times New Roman"/>
          <w:szCs w:val="28"/>
        </w:rPr>
        <w:fldChar w:fldCharType="separate"/>
      </w:r>
      <w:r w:rsidR="00A6759A" w:rsidRPr="002B136D">
        <w:rPr>
          <w:rFonts w:cs="Times New Roman"/>
        </w:rPr>
        <w:t>[164]</w:t>
      </w:r>
      <w:r w:rsidRPr="002B136D">
        <w:rPr>
          <w:rFonts w:cs="Times New Roman"/>
          <w:szCs w:val="28"/>
        </w:rPr>
        <w:fldChar w:fldCharType="end"/>
      </w:r>
      <w:r w:rsidRPr="002B136D">
        <w:rPr>
          <w:rFonts w:cs="Times New Roman"/>
          <w:szCs w:val="28"/>
        </w:rPr>
        <w:t>.</w:t>
      </w:r>
      <w:r w:rsidR="00055600" w:rsidRPr="002B136D">
        <w:rPr>
          <w:rFonts w:cs="Times New Roman"/>
          <w:szCs w:val="28"/>
        </w:rPr>
        <w:t xml:space="preserve"> </w:t>
      </w:r>
    </w:p>
    <w:p w14:paraId="3150D919" w14:textId="41844DA5" w:rsidR="00A31D94" w:rsidRPr="002B136D" w:rsidRDefault="00AF2C16" w:rsidP="00EF13AB">
      <w:pPr>
        <w:spacing w:after="0" w:line="240" w:lineRule="auto"/>
        <w:ind w:firstLine="567"/>
        <w:contextualSpacing/>
        <w:jc w:val="both"/>
        <w:rPr>
          <w:rFonts w:cs="Times New Roman"/>
          <w:szCs w:val="28"/>
        </w:rPr>
      </w:pPr>
      <w:r w:rsidRPr="002B136D">
        <w:rPr>
          <w:rFonts w:cs="Times New Roman"/>
          <w:szCs w:val="28"/>
        </w:rPr>
        <w:t xml:space="preserve">Тимический стромальный лимфопоэтин (TSLP) является членом семейства </w:t>
      </w:r>
      <w:proofErr w:type="gramStart"/>
      <w:r w:rsidRPr="002B136D">
        <w:rPr>
          <w:rFonts w:cs="Times New Roman"/>
          <w:szCs w:val="28"/>
        </w:rPr>
        <w:t>гемопоэтических</w:t>
      </w:r>
      <w:proofErr w:type="gramEnd"/>
      <w:r w:rsidRPr="002B136D">
        <w:rPr>
          <w:rFonts w:cs="Times New Roman"/>
          <w:szCs w:val="28"/>
        </w:rPr>
        <w:t xml:space="preserve"> цитокинов и продуцируется эпителиальными клетками, </w:t>
      </w:r>
      <w:r w:rsidRPr="002B136D">
        <w:rPr>
          <w:rFonts w:cs="Times New Roman"/>
          <w:szCs w:val="28"/>
        </w:rPr>
        <w:lastRenderedPageBreak/>
        <w:t xml:space="preserve">кератиноцитами и гранулоцитами. Было идентифицировано несколько клеточных мишеней TSLP, включая дендритные клетки, лимфоциты и гранулоциты. </w:t>
      </w:r>
      <w:proofErr w:type="gramStart"/>
      <w:r w:rsidR="001304A9" w:rsidRPr="002B136D">
        <w:rPr>
          <w:rFonts w:cs="Times New Roman"/>
          <w:szCs w:val="28"/>
        </w:rPr>
        <w:t xml:space="preserve">Полагают, что стимулированные TSLP дендритные клетки способны активировать CD4+ Т-клетки антиген-специфическим образом, в результате чего Т-клетки с фенотипом Th2 продуцируют проаллергические цитокины (IL-4, IL-5, IL-13 и TNF-α), подавляя при этом IL-10 и IFN-γ, а блокада пути сигнала этого белка приводит к улучшению аллергических реакций </w:t>
      </w:r>
      <w:proofErr w:type="gramEnd"/>
      <w:r w:rsidRPr="002B136D">
        <w:rPr>
          <w:rFonts w:cs="Times New Roman"/>
          <w:szCs w:val="28"/>
        </w:rPr>
        <w:fldChar w:fldCharType="begin"/>
      </w:r>
      <w:r w:rsidR="00A6759A" w:rsidRPr="002B136D">
        <w:rPr>
          <w:rFonts w:cs="Times New Roman"/>
          <w:szCs w:val="28"/>
        </w:rPr>
        <w:instrText xml:space="preserve"> ADDIN ZOTERO_ITEM CSL_CITATION {"citationID":"7ahKWJ9H","properties":{"formattedCitation":"[165]","plainCitation":"[165]","noteIndex":0},"citationItems":[{"id":617,"uris":["http://zotero.org/users/8237658/items/ILUXWF74"],"itemData":{"id":617,"type":"book","title":"Nakajima S, Kabata H, Kabashima K, Asano K. Anti-TSLP antibodies: Targeting a master regulator of type 2 immune responses. Allergol Int. 2020 Apr;69(2):197-203. doi: 10.1016/j.alit.2020.01.001. Epub 2020 Jan 21. PMID: 31974038."}}],"schema":"https://github.com/citation-style-language/schema/raw/master/csl-citation.json"} </w:instrText>
      </w:r>
      <w:r w:rsidRPr="002B136D">
        <w:rPr>
          <w:rFonts w:cs="Times New Roman"/>
          <w:szCs w:val="28"/>
        </w:rPr>
        <w:fldChar w:fldCharType="separate"/>
      </w:r>
      <w:r w:rsidR="00A6759A" w:rsidRPr="002B136D">
        <w:rPr>
          <w:rFonts w:cs="Times New Roman"/>
        </w:rPr>
        <w:t>[165]</w:t>
      </w:r>
      <w:r w:rsidRPr="002B136D">
        <w:rPr>
          <w:rFonts w:cs="Times New Roman"/>
          <w:szCs w:val="28"/>
        </w:rPr>
        <w:fldChar w:fldCharType="end"/>
      </w:r>
      <w:proofErr w:type="gramStart"/>
      <w:r w:rsidRPr="002B136D">
        <w:rPr>
          <w:rFonts w:cs="Times New Roman"/>
          <w:szCs w:val="28"/>
        </w:rPr>
        <w:t xml:space="preserve">. Исследования TSLP у людей показали его потенциальную роль в воспалительной реакции </w:t>
      </w:r>
      <w:r w:rsidR="00BA5AC8" w:rsidRPr="002B136D">
        <w:rPr>
          <w:rFonts w:cs="Times New Roman"/>
          <w:szCs w:val="28"/>
        </w:rPr>
        <w:t xml:space="preserve">связанными с </w:t>
      </w:r>
      <w:r w:rsidRPr="002B136D">
        <w:rPr>
          <w:rFonts w:cs="Times New Roman"/>
          <w:szCs w:val="28"/>
        </w:rPr>
        <w:t>Th2.</w:t>
      </w:r>
      <w:proofErr w:type="gramEnd"/>
    </w:p>
    <w:p w14:paraId="05A54FCE" w14:textId="496760D6" w:rsidR="00A31D94" w:rsidRPr="002B136D" w:rsidRDefault="00AF2C16" w:rsidP="00EF13AB">
      <w:pPr>
        <w:spacing w:after="0" w:line="240" w:lineRule="auto"/>
        <w:ind w:firstLine="567"/>
        <w:contextualSpacing/>
        <w:jc w:val="both"/>
        <w:rPr>
          <w:rFonts w:cs="Times New Roman"/>
          <w:szCs w:val="28"/>
        </w:rPr>
      </w:pPr>
      <w:r w:rsidRPr="002B136D">
        <w:rPr>
          <w:rFonts w:cs="Times New Roman"/>
          <w:szCs w:val="28"/>
        </w:rPr>
        <w:t xml:space="preserve"> </w:t>
      </w:r>
      <w:r w:rsidR="00BA5AC8" w:rsidRPr="002B136D">
        <w:rPr>
          <w:rFonts w:cs="Times New Roman"/>
          <w:szCs w:val="28"/>
        </w:rPr>
        <w:t>Кроме того, л</w:t>
      </w:r>
      <w:r w:rsidRPr="002B136D">
        <w:rPr>
          <w:rFonts w:cs="Times New Roman"/>
          <w:szCs w:val="28"/>
        </w:rPr>
        <w:t>иганды TSLP и толл-подобного рецептора (TLR) 3 активируют дендритные клетки CD11</w:t>
      </w:r>
      <w:r w:rsidRPr="002B136D">
        <w:rPr>
          <w:rFonts w:cs="Times New Roman"/>
          <w:szCs w:val="28"/>
          <w:vertAlign w:val="superscript"/>
        </w:rPr>
        <w:t>+</w:t>
      </w:r>
      <w:r w:rsidRPr="002B136D">
        <w:rPr>
          <w:rFonts w:cs="Times New Roman"/>
          <w:szCs w:val="28"/>
        </w:rPr>
        <w:t xml:space="preserve"> в крови человека с образованием IL-23 и программируют наивные Т-клетки CD4</w:t>
      </w:r>
      <w:r w:rsidRPr="002B136D">
        <w:rPr>
          <w:rFonts w:cs="Times New Roman"/>
          <w:szCs w:val="28"/>
          <w:vertAlign w:val="superscript"/>
        </w:rPr>
        <w:t>+</w:t>
      </w:r>
      <w:r w:rsidRPr="002B136D">
        <w:rPr>
          <w:rFonts w:cs="Times New Roman"/>
          <w:szCs w:val="28"/>
        </w:rPr>
        <w:t xml:space="preserve"> на дифференцировку в клетки Th17. </w:t>
      </w:r>
      <w:r w:rsidRPr="002B136D">
        <w:rPr>
          <w:rFonts w:cs="Times New Roman"/>
          <w:szCs w:val="28"/>
          <w:lang w:val="en-US"/>
        </w:rPr>
        <w:t>Tsai</w:t>
      </w:r>
      <w:r w:rsidRPr="002B136D">
        <w:rPr>
          <w:rFonts w:cs="Times New Roman"/>
          <w:szCs w:val="28"/>
        </w:rPr>
        <w:t xml:space="preserve"> и соавторами были </w:t>
      </w:r>
      <w:r w:rsidR="00C352A5" w:rsidRPr="002B136D">
        <w:rPr>
          <w:rFonts w:cs="Times New Roman"/>
          <w:szCs w:val="28"/>
        </w:rPr>
        <w:t>изучены</w:t>
      </w:r>
      <w:r w:rsidRPr="002B136D">
        <w:rPr>
          <w:rFonts w:cs="Times New Roman"/>
          <w:szCs w:val="28"/>
        </w:rPr>
        <w:t xml:space="preserve"> вариации в ген</w:t>
      </w:r>
      <w:r w:rsidR="00C352A5" w:rsidRPr="002B136D">
        <w:rPr>
          <w:rFonts w:cs="Times New Roman"/>
          <w:szCs w:val="28"/>
        </w:rPr>
        <w:t>е</w:t>
      </w:r>
      <w:r w:rsidRPr="002B136D">
        <w:rPr>
          <w:rFonts w:cs="Times New Roman"/>
          <w:szCs w:val="28"/>
        </w:rPr>
        <w:t xml:space="preserve"> </w:t>
      </w:r>
      <w:r w:rsidRPr="002B136D">
        <w:rPr>
          <w:rFonts w:cs="Times New Roman"/>
          <w:szCs w:val="28"/>
          <w:lang w:val="en-US"/>
        </w:rPr>
        <w:t>TSLP</w:t>
      </w:r>
      <w:r w:rsidR="00BA5AC8" w:rsidRPr="002B136D">
        <w:rPr>
          <w:rFonts w:cs="Times New Roman"/>
          <w:szCs w:val="28"/>
        </w:rPr>
        <w:t xml:space="preserve"> у </w:t>
      </w:r>
      <w:r w:rsidR="0038552C" w:rsidRPr="002B136D">
        <w:rPr>
          <w:rFonts w:cs="Times New Roman"/>
          <w:szCs w:val="28"/>
        </w:rPr>
        <w:t>пациентов</w:t>
      </w:r>
      <w:r w:rsidR="00BA5AC8" w:rsidRPr="002B136D">
        <w:rPr>
          <w:rFonts w:cs="Times New Roman"/>
          <w:szCs w:val="28"/>
        </w:rPr>
        <w:t xml:space="preserve"> с </w:t>
      </w:r>
      <w:r w:rsidR="00B4177E" w:rsidRPr="002B136D">
        <w:rPr>
          <w:rFonts w:cs="Times New Roman"/>
          <w:szCs w:val="28"/>
        </w:rPr>
        <w:t>БГ</w:t>
      </w:r>
      <w:r w:rsidRPr="002B136D">
        <w:rPr>
          <w:rFonts w:cs="Times New Roman"/>
          <w:szCs w:val="28"/>
        </w:rPr>
        <w:t>, однако статистических</w:t>
      </w:r>
      <w:r w:rsidR="00D77B6D" w:rsidRPr="002B136D">
        <w:rPr>
          <w:rFonts w:cs="Times New Roman"/>
          <w:szCs w:val="28"/>
        </w:rPr>
        <w:t xml:space="preserve"> </w:t>
      </w:r>
      <w:r w:rsidRPr="002B136D">
        <w:rPr>
          <w:rFonts w:cs="Times New Roman"/>
          <w:szCs w:val="28"/>
        </w:rPr>
        <w:t>значимых данных при ЭОП не были, хотя носительство некоторых аллелей в этом гене показали различия между контрольной и основной групп</w:t>
      </w:r>
      <w:r w:rsidR="002B5881" w:rsidRPr="002B136D">
        <w:rPr>
          <w:rFonts w:cs="Times New Roman"/>
          <w:szCs w:val="28"/>
        </w:rPr>
        <w:t>ами</w:t>
      </w:r>
      <w:r w:rsidRPr="002B136D">
        <w:rPr>
          <w:rFonts w:cs="Times New Roman"/>
          <w:szCs w:val="28"/>
        </w:rPr>
        <w:t xml:space="preserve"> [100</w:t>
      </w:r>
      <w:proofErr w:type="gramStart"/>
      <w:r w:rsidR="00283211">
        <w:rPr>
          <w:rFonts w:cs="Times New Roman"/>
          <w:szCs w:val="28"/>
        </w:rPr>
        <w:t>,р</w:t>
      </w:r>
      <w:proofErr w:type="gramEnd"/>
      <w:r w:rsidR="00283211">
        <w:rPr>
          <w:rFonts w:cs="Times New Roman"/>
          <w:szCs w:val="28"/>
        </w:rPr>
        <w:t>. 412</w:t>
      </w:r>
      <w:r w:rsidRPr="002B136D">
        <w:rPr>
          <w:rFonts w:cs="Times New Roman"/>
          <w:szCs w:val="28"/>
        </w:rPr>
        <w:t xml:space="preserve">]. </w:t>
      </w:r>
    </w:p>
    <w:p w14:paraId="5ED3476B" w14:textId="5338CEB3" w:rsidR="00A31D94" w:rsidRPr="002B136D" w:rsidRDefault="00BA5AC8" w:rsidP="00EF13AB">
      <w:pPr>
        <w:spacing w:after="0" w:line="240" w:lineRule="auto"/>
        <w:ind w:firstLine="567"/>
        <w:contextualSpacing/>
        <w:jc w:val="both"/>
        <w:rPr>
          <w:rFonts w:cs="Times New Roman"/>
          <w:szCs w:val="28"/>
        </w:rPr>
      </w:pPr>
      <w:r w:rsidRPr="002B136D">
        <w:rPr>
          <w:rFonts w:cs="Times New Roman"/>
          <w:szCs w:val="28"/>
        </w:rPr>
        <w:t xml:space="preserve">По данным </w:t>
      </w:r>
      <w:proofErr w:type="gramStart"/>
      <w:r w:rsidRPr="002B136D">
        <w:rPr>
          <w:rFonts w:cs="Times New Roman"/>
          <w:szCs w:val="28"/>
        </w:rPr>
        <w:t>мета-анализа</w:t>
      </w:r>
      <w:proofErr w:type="gramEnd"/>
      <w:r w:rsidRPr="002B136D">
        <w:rPr>
          <w:rFonts w:cs="Times New Roman"/>
          <w:szCs w:val="28"/>
        </w:rPr>
        <w:t xml:space="preserve"> из 8 интерлейкинов различных групп только </w:t>
      </w:r>
      <w:r w:rsidRPr="002B136D">
        <w:rPr>
          <w:rFonts w:cs="Times New Roman"/>
          <w:szCs w:val="28"/>
          <w:lang w:val="en-US"/>
        </w:rPr>
        <w:t>IL</w:t>
      </w:r>
      <w:r w:rsidRPr="002B136D">
        <w:rPr>
          <w:rFonts w:cs="Times New Roman"/>
          <w:szCs w:val="28"/>
        </w:rPr>
        <w:t>-1</w:t>
      </w:r>
      <w:r w:rsidRPr="002B136D">
        <w:rPr>
          <w:rFonts w:cs="Times New Roman"/>
          <w:szCs w:val="28"/>
          <w:lang w:val="en-US"/>
        </w:rPr>
        <w:t>A</w:t>
      </w:r>
      <w:r w:rsidRPr="002B136D">
        <w:rPr>
          <w:rFonts w:cs="Times New Roman"/>
          <w:szCs w:val="28"/>
        </w:rPr>
        <w:t xml:space="preserve"> показал, что носительство </w:t>
      </w:r>
      <w:r w:rsidR="00F206D6" w:rsidRPr="002B136D">
        <w:rPr>
          <w:rFonts w:cs="Times New Roman"/>
          <w:szCs w:val="28"/>
        </w:rPr>
        <w:t>мутации</w:t>
      </w:r>
      <w:r w:rsidRPr="002B136D">
        <w:rPr>
          <w:rFonts w:cs="Times New Roman"/>
          <w:szCs w:val="28"/>
        </w:rPr>
        <w:t xml:space="preserve"> в гене данного цитокина может привести к развитию ЭОП</w:t>
      </w:r>
      <w:r w:rsidR="00F206D6" w:rsidRPr="002B136D">
        <w:rPr>
          <w:rFonts w:cs="Times New Roman"/>
          <w:szCs w:val="28"/>
        </w:rPr>
        <w:t xml:space="preserve">, однако в основном, эти генетические изменения </w:t>
      </w:r>
      <w:r w:rsidR="006050AC" w:rsidRPr="002B136D">
        <w:rPr>
          <w:rFonts w:cs="Times New Roman"/>
          <w:szCs w:val="28"/>
        </w:rPr>
        <w:t>были найдены</w:t>
      </w:r>
      <w:r w:rsidR="00D77B6D" w:rsidRPr="002B136D">
        <w:rPr>
          <w:rFonts w:cs="Times New Roman"/>
          <w:szCs w:val="28"/>
        </w:rPr>
        <w:t xml:space="preserve"> </w:t>
      </w:r>
      <w:r w:rsidR="00F206D6" w:rsidRPr="002B136D">
        <w:rPr>
          <w:rFonts w:cs="Times New Roman"/>
          <w:szCs w:val="28"/>
        </w:rPr>
        <w:t>и у лиц с патологией ЩЖ без ЭОП. Остальн</w:t>
      </w:r>
      <w:r w:rsidR="002B5881" w:rsidRPr="002B136D">
        <w:rPr>
          <w:rFonts w:cs="Times New Roman"/>
          <w:szCs w:val="28"/>
        </w:rPr>
        <w:t>ые</w:t>
      </w:r>
      <w:r w:rsidR="00F206D6" w:rsidRPr="002B136D">
        <w:rPr>
          <w:rFonts w:cs="Times New Roman"/>
          <w:szCs w:val="28"/>
        </w:rPr>
        <w:t xml:space="preserve"> полиморфизм</w:t>
      </w:r>
      <w:r w:rsidR="002B5881" w:rsidRPr="002B136D">
        <w:rPr>
          <w:rFonts w:cs="Times New Roman"/>
          <w:szCs w:val="28"/>
        </w:rPr>
        <w:t>ы</w:t>
      </w:r>
      <w:r w:rsidR="00F206D6" w:rsidRPr="002B136D">
        <w:rPr>
          <w:rFonts w:cs="Times New Roman"/>
          <w:szCs w:val="28"/>
        </w:rPr>
        <w:t xml:space="preserve"> в генах интерлейкинов</w:t>
      </w:r>
      <w:r w:rsidR="00D77B6D" w:rsidRPr="002B136D">
        <w:rPr>
          <w:rFonts w:cs="Times New Roman"/>
          <w:szCs w:val="28"/>
        </w:rPr>
        <w:t xml:space="preserve"> </w:t>
      </w:r>
      <w:r w:rsidR="00F206D6" w:rsidRPr="002B136D">
        <w:rPr>
          <w:rFonts w:cs="Times New Roman"/>
          <w:szCs w:val="28"/>
        </w:rPr>
        <w:t xml:space="preserve">(IL1B, IL1RA, IL4, IL6, IL12B, IL13 и IL23R), по данным </w:t>
      </w:r>
      <w:proofErr w:type="gramStart"/>
      <w:r w:rsidR="00F206D6" w:rsidRPr="002B136D">
        <w:rPr>
          <w:rFonts w:cs="Times New Roman"/>
          <w:szCs w:val="28"/>
        </w:rPr>
        <w:t>мета-анализа</w:t>
      </w:r>
      <w:proofErr w:type="gramEnd"/>
      <w:r w:rsidR="00F206D6" w:rsidRPr="002B136D">
        <w:rPr>
          <w:rFonts w:cs="Times New Roman"/>
          <w:szCs w:val="28"/>
        </w:rPr>
        <w:t xml:space="preserve"> статистически не были связаны с</w:t>
      </w:r>
      <w:r w:rsidR="00D77B6D" w:rsidRPr="002B136D">
        <w:rPr>
          <w:rFonts w:cs="Times New Roman"/>
          <w:szCs w:val="28"/>
        </w:rPr>
        <w:t xml:space="preserve"> </w:t>
      </w:r>
      <w:r w:rsidR="00F206D6" w:rsidRPr="002B136D">
        <w:rPr>
          <w:rFonts w:cs="Times New Roman"/>
          <w:szCs w:val="28"/>
        </w:rPr>
        <w:t>этиологией ЭОП</w:t>
      </w:r>
      <w:r w:rsidR="00283211">
        <w:rPr>
          <w:rFonts w:cs="Times New Roman"/>
          <w:szCs w:val="28"/>
        </w:rPr>
        <w:t xml:space="preserve"> </w:t>
      </w:r>
      <w:r w:rsidR="00F206D6" w:rsidRPr="002B136D">
        <w:rPr>
          <w:rFonts w:cs="Times New Roman"/>
          <w:szCs w:val="28"/>
        </w:rPr>
        <w:fldChar w:fldCharType="begin"/>
      </w:r>
      <w:r w:rsidR="00A6759A" w:rsidRPr="002B136D">
        <w:rPr>
          <w:rFonts w:cs="Times New Roman"/>
          <w:szCs w:val="28"/>
        </w:rPr>
        <w:instrText xml:space="preserve"> ADDIN ZOTERO_ITEM CSL_CITATION {"citationID":"JlcRkCEH","properties":{"formattedCitation":"[151]","plainCitation":"[151]","noteIndex":0},"citationItems":[{"id":350,"uris":["http://zotero.org/users/8237658/items/Z2GW4C8C"],"itemData":{"id":350,"type":"book","title":"Wong KH, Rong SS, Chong KK, Young AL, Pang CP, Chen LJ. Genetic Associations of Interleukin-related Genes with Graves' Ophthalmopathy: a Systematic Review and Meta-analysis. Sci Rep. 2015 Nov 18;5:16672. doi: 10.1038/srep16672. PMID: 26578206; PMCID: PMC4649612."}}],"schema":"https://github.com/citation-style-language/schema/raw/master/csl-citation.json"} </w:instrText>
      </w:r>
      <w:r w:rsidR="00F206D6" w:rsidRPr="002B136D">
        <w:rPr>
          <w:rFonts w:cs="Times New Roman"/>
          <w:szCs w:val="28"/>
        </w:rPr>
        <w:fldChar w:fldCharType="separate"/>
      </w:r>
      <w:r w:rsidR="00A6759A" w:rsidRPr="002B136D">
        <w:rPr>
          <w:rFonts w:cs="Times New Roman"/>
        </w:rPr>
        <w:t>[151</w:t>
      </w:r>
      <w:r w:rsidR="00283211">
        <w:rPr>
          <w:rFonts w:cs="Times New Roman"/>
        </w:rPr>
        <w:t>,р. 166</w:t>
      </w:r>
      <w:r w:rsidR="00A6759A" w:rsidRPr="002B136D">
        <w:rPr>
          <w:rFonts w:cs="Times New Roman"/>
        </w:rPr>
        <w:t>]</w:t>
      </w:r>
      <w:r w:rsidR="00F206D6" w:rsidRPr="002B136D">
        <w:rPr>
          <w:rFonts w:cs="Times New Roman"/>
          <w:szCs w:val="28"/>
        </w:rPr>
        <w:fldChar w:fldCharType="end"/>
      </w:r>
      <w:r w:rsidR="00F206D6" w:rsidRPr="002B136D">
        <w:rPr>
          <w:rFonts w:cs="Times New Roman"/>
          <w:szCs w:val="28"/>
        </w:rPr>
        <w:t>.</w:t>
      </w:r>
      <w:r w:rsidR="00D77B6D" w:rsidRPr="002B136D">
        <w:rPr>
          <w:rFonts w:cs="Times New Roman"/>
          <w:szCs w:val="28"/>
          <w:lang w:val="kk-KZ"/>
        </w:rPr>
        <w:t xml:space="preserve"> </w:t>
      </w:r>
      <w:r w:rsidR="000A334D" w:rsidRPr="002B136D">
        <w:rPr>
          <w:rFonts w:cs="Times New Roman"/>
          <w:szCs w:val="28"/>
        </w:rPr>
        <w:t>Yicheng Qi</w:t>
      </w:r>
      <w:r w:rsidR="002B5881" w:rsidRPr="002B136D">
        <w:rPr>
          <w:rFonts w:cs="Times New Roman"/>
          <w:szCs w:val="28"/>
        </w:rPr>
        <w:t xml:space="preserve"> и соавторами был исследован</w:t>
      </w:r>
      <w:r w:rsidR="0021348C" w:rsidRPr="002B136D">
        <w:rPr>
          <w:rFonts w:cs="Times New Roman"/>
          <w:szCs w:val="28"/>
        </w:rPr>
        <w:t xml:space="preserve"> генетический полиморфизм </w:t>
      </w:r>
      <w:r w:rsidR="0021348C" w:rsidRPr="002B136D">
        <w:rPr>
          <w:rFonts w:cs="Times New Roman"/>
          <w:szCs w:val="28"/>
          <w:lang w:val="en-US"/>
        </w:rPr>
        <w:t>IL</w:t>
      </w:r>
      <w:r w:rsidR="0021348C" w:rsidRPr="002B136D">
        <w:rPr>
          <w:rFonts w:cs="Times New Roman"/>
          <w:szCs w:val="28"/>
        </w:rPr>
        <w:t>-17</w:t>
      </w:r>
      <w:r w:rsidR="0021348C" w:rsidRPr="002B136D">
        <w:rPr>
          <w:rFonts w:cs="Times New Roman"/>
          <w:szCs w:val="28"/>
          <w:lang w:val="en-US"/>
        </w:rPr>
        <w:t>A</w:t>
      </w:r>
      <w:r w:rsidR="0021348C" w:rsidRPr="002B136D">
        <w:rPr>
          <w:rFonts w:cs="Times New Roman"/>
          <w:szCs w:val="28"/>
        </w:rPr>
        <w:t xml:space="preserve"> у </w:t>
      </w:r>
      <w:r w:rsidR="0038552C" w:rsidRPr="002B136D">
        <w:rPr>
          <w:rFonts w:cs="Times New Roman"/>
          <w:szCs w:val="28"/>
        </w:rPr>
        <w:t>пациентов</w:t>
      </w:r>
      <w:r w:rsidR="0021348C" w:rsidRPr="002B136D">
        <w:rPr>
          <w:rFonts w:cs="Times New Roman"/>
          <w:szCs w:val="28"/>
        </w:rPr>
        <w:t xml:space="preserve"> с</w:t>
      </w:r>
      <w:r w:rsidR="00D77B6D" w:rsidRPr="002B136D">
        <w:rPr>
          <w:rFonts w:cs="Times New Roman"/>
          <w:szCs w:val="28"/>
        </w:rPr>
        <w:t xml:space="preserve"> </w:t>
      </w:r>
      <w:r w:rsidR="00B4177E" w:rsidRPr="002B136D">
        <w:rPr>
          <w:rFonts w:cs="Times New Roman"/>
          <w:szCs w:val="28"/>
        </w:rPr>
        <w:t>БГ</w:t>
      </w:r>
      <w:r w:rsidR="0021348C" w:rsidRPr="002B136D">
        <w:rPr>
          <w:rFonts w:cs="Times New Roman"/>
          <w:szCs w:val="28"/>
        </w:rPr>
        <w:t xml:space="preserve">. </w:t>
      </w:r>
    </w:p>
    <w:p w14:paraId="1AE7AC7D" w14:textId="356E6A4C" w:rsidR="00C926C5" w:rsidRPr="002B136D" w:rsidRDefault="0021348C" w:rsidP="00EF13AB">
      <w:pPr>
        <w:spacing w:after="0" w:line="240" w:lineRule="auto"/>
        <w:ind w:firstLine="567"/>
        <w:contextualSpacing/>
        <w:jc w:val="both"/>
        <w:rPr>
          <w:rFonts w:cs="Times New Roman"/>
          <w:szCs w:val="28"/>
        </w:rPr>
      </w:pPr>
      <w:r w:rsidRPr="002B136D">
        <w:rPr>
          <w:rFonts w:cs="Times New Roman"/>
          <w:szCs w:val="28"/>
        </w:rPr>
        <w:t>По их результатам, связи с ЭОП</w:t>
      </w:r>
      <w:r w:rsidR="00D77B6D" w:rsidRPr="002B136D">
        <w:rPr>
          <w:rFonts w:cs="Times New Roman"/>
          <w:szCs w:val="28"/>
        </w:rPr>
        <w:t xml:space="preserve"> </w:t>
      </w:r>
      <w:r w:rsidRPr="002B136D">
        <w:rPr>
          <w:rFonts w:cs="Times New Roman"/>
          <w:szCs w:val="28"/>
        </w:rPr>
        <w:t>и точечными мутациями этого цитокина</w:t>
      </w:r>
      <w:r w:rsidR="00D77B6D" w:rsidRPr="002B136D">
        <w:rPr>
          <w:rFonts w:cs="Times New Roman"/>
          <w:szCs w:val="28"/>
        </w:rPr>
        <w:t xml:space="preserve"> </w:t>
      </w:r>
      <w:r w:rsidRPr="002B136D">
        <w:rPr>
          <w:rFonts w:cs="Times New Roman"/>
          <w:szCs w:val="28"/>
        </w:rPr>
        <w:t>не были найдены. Однако</w:t>
      </w:r>
      <w:proofErr w:type="gramStart"/>
      <w:r w:rsidRPr="002B136D">
        <w:rPr>
          <w:rFonts w:cs="Times New Roman"/>
          <w:szCs w:val="28"/>
        </w:rPr>
        <w:t>,</w:t>
      </w:r>
      <w:proofErr w:type="gramEnd"/>
      <w:r w:rsidRPr="002B136D">
        <w:rPr>
          <w:rFonts w:cs="Times New Roman"/>
          <w:szCs w:val="28"/>
        </w:rPr>
        <w:t xml:space="preserve"> имелась статистическая значимая разница по носительству измененного гена</w:t>
      </w:r>
      <w:r w:rsidR="00D77B6D" w:rsidRPr="002B136D">
        <w:rPr>
          <w:rFonts w:cs="Times New Roman"/>
          <w:szCs w:val="28"/>
        </w:rPr>
        <w:t xml:space="preserve"> </w:t>
      </w:r>
      <w:r w:rsidRPr="002B136D">
        <w:rPr>
          <w:rFonts w:cs="Times New Roman"/>
          <w:szCs w:val="28"/>
        </w:rPr>
        <w:t xml:space="preserve">между </w:t>
      </w:r>
      <w:r w:rsidR="0038552C" w:rsidRPr="002B136D">
        <w:rPr>
          <w:rFonts w:cs="Times New Roman"/>
          <w:szCs w:val="28"/>
        </w:rPr>
        <w:t>пациентами</w:t>
      </w:r>
      <w:r w:rsidRPr="002B136D">
        <w:rPr>
          <w:rFonts w:cs="Times New Roman"/>
          <w:szCs w:val="28"/>
        </w:rPr>
        <w:t xml:space="preserve"> с </w:t>
      </w:r>
      <w:r w:rsidR="00B4177E" w:rsidRPr="002B136D">
        <w:rPr>
          <w:rFonts w:cs="Times New Roman"/>
          <w:szCs w:val="28"/>
        </w:rPr>
        <w:t>БГ</w:t>
      </w:r>
      <w:r w:rsidRPr="002B136D">
        <w:rPr>
          <w:rFonts w:cs="Times New Roman"/>
          <w:szCs w:val="28"/>
        </w:rPr>
        <w:t xml:space="preserve"> и здоровыми </w:t>
      </w:r>
      <w:r w:rsidRPr="002B136D">
        <w:rPr>
          <w:rFonts w:cs="Times New Roman"/>
          <w:szCs w:val="28"/>
        </w:rPr>
        <w:fldChar w:fldCharType="begin"/>
      </w:r>
      <w:r w:rsidR="00A6759A" w:rsidRPr="002B136D">
        <w:rPr>
          <w:rFonts w:cs="Times New Roman"/>
          <w:szCs w:val="28"/>
        </w:rPr>
        <w:instrText xml:space="preserve"> ADDIN ZOTERO_ITEM CSL_CITATION {"citationID":"KItmFcuJ","properties":{"formattedCitation":"[166]","plainCitation":"[166]","noteIndex":0},"citationItems":[{"id":363,"uris":["http://zotero.org/users/8237658/items/2PVRX8B3"],"itemData":{"id":363,"type":"book","title":"Qi Y, Zheng H, Liu N, Guo T, Zhu W, Wang S, Cui B, Ning G. Genetic association between Interleukin-17A gene polymorphisms and the pathogenesis of Graves' disease in the Han Chinese population. Clin Endocrinol (Oxf). 2016 Feb;84(2):265-270. doi: 10.1111/cen.12725. Epub 2015 Feb 24. PMID: 25597472."}}],"schema":"https://github.com/citation-style-language/schema/raw/master/csl-citation.json"} </w:instrText>
      </w:r>
      <w:r w:rsidRPr="002B136D">
        <w:rPr>
          <w:rFonts w:cs="Times New Roman"/>
          <w:szCs w:val="28"/>
        </w:rPr>
        <w:fldChar w:fldCharType="separate"/>
      </w:r>
      <w:r w:rsidR="00A6759A" w:rsidRPr="002B136D">
        <w:rPr>
          <w:rFonts w:cs="Times New Roman"/>
        </w:rPr>
        <w:t>[166]</w:t>
      </w:r>
      <w:r w:rsidRPr="002B136D">
        <w:rPr>
          <w:rFonts w:cs="Times New Roman"/>
          <w:szCs w:val="28"/>
        </w:rPr>
        <w:fldChar w:fldCharType="end"/>
      </w:r>
      <w:r w:rsidRPr="002B136D">
        <w:rPr>
          <w:rFonts w:cs="Times New Roman"/>
          <w:szCs w:val="28"/>
        </w:rPr>
        <w:t>.</w:t>
      </w:r>
      <w:r w:rsidR="00D77B6D" w:rsidRPr="002B136D">
        <w:rPr>
          <w:rFonts w:cs="Times New Roman"/>
          <w:szCs w:val="28"/>
        </w:rPr>
        <w:t xml:space="preserve"> </w:t>
      </w:r>
    </w:p>
    <w:p w14:paraId="6A67CC21" w14:textId="455E96DF" w:rsidR="00AF2C16" w:rsidRPr="002B136D" w:rsidRDefault="002B6D1D" w:rsidP="00EF13AB">
      <w:pPr>
        <w:spacing w:after="0" w:line="240" w:lineRule="auto"/>
        <w:ind w:firstLine="567"/>
        <w:contextualSpacing/>
        <w:jc w:val="both"/>
        <w:rPr>
          <w:rFonts w:cs="Times New Roman"/>
          <w:szCs w:val="28"/>
        </w:rPr>
      </w:pPr>
      <w:r w:rsidRPr="002B136D">
        <w:rPr>
          <w:rFonts w:cs="Times New Roman"/>
          <w:szCs w:val="28"/>
          <w:lang w:val="kk-KZ"/>
        </w:rPr>
        <w:t>Также, ученые Шанхайского инсти</w:t>
      </w:r>
      <w:r w:rsidR="002B5881" w:rsidRPr="002B136D">
        <w:rPr>
          <w:rFonts w:cs="Times New Roman"/>
          <w:szCs w:val="28"/>
          <w:lang w:val="kk-KZ"/>
        </w:rPr>
        <w:t>ту</w:t>
      </w:r>
      <w:r w:rsidRPr="002B136D">
        <w:rPr>
          <w:rFonts w:cs="Times New Roman"/>
          <w:szCs w:val="28"/>
          <w:lang w:val="kk-KZ"/>
        </w:rPr>
        <w:t>та провели генетический анализ по</w:t>
      </w:r>
      <w:r w:rsidR="000A334D" w:rsidRPr="002B136D">
        <w:rPr>
          <w:rFonts w:cs="Times New Roman"/>
          <w:szCs w:val="28"/>
        </w:rPr>
        <w:t xml:space="preserve"> </w:t>
      </w:r>
      <w:r w:rsidRPr="002B136D">
        <w:rPr>
          <w:rFonts w:cs="Times New Roman"/>
          <w:szCs w:val="28"/>
          <w:lang w:val="en-US"/>
        </w:rPr>
        <w:t>IL</w:t>
      </w:r>
      <w:r w:rsidRPr="002B136D">
        <w:rPr>
          <w:rFonts w:cs="Times New Roman"/>
          <w:szCs w:val="28"/>
        </w:rPr>
        <w:t>-17</w:t>
      </w:r>
      <w:r w:rsidRPr="002B136D">
        <w:rPr>
          <w:rFonts w:cs="Times New Roman"/>
          <w:szCs w:val="28"/>
          <w:lang w:val="en-US"/>
        </w:rPr>
        <w:t>F</w:t>
      </w:r>
      <w:r w:rsidRPr="002B136D">
        <w:rPr>
          <w:rFonts w:cs="Times New Roman"/>
          <w:szCs w:val="28"/>
        </w:rPr>
        <w:t>, где исследовались 4 вариации этого гена. По итогам этого исследования выявлен</w:t>
      </w:r>
      <w:r w:rsidR="002B5881" w:rsidRPr="002B136D">
        <w:rPr>
          <w:rFonts w:cs="Times New Roman"/>
          <w:szCs w:val="28"/>
        </w:rPr>
        <w:t>о</w:t>
      </w:r>
      <w:r w:rsidRPr="002B136D">
        <w:rPr>
          <w:rFonts w:cs="Times New Roman"/>
          <w:szCs w:val="28"/>
        </w:rPr>
        <w:t>, что полиморфизм rs9463772 с аллелью</w:t>
      </w:r>
      <w:proofErr w:type="gramStart"/>
      <w:r w:rsidRPr="002B136D">
        <w:rPr>
          <w:rFonts w:cs="Times New Roman"/>
          <w:szCs w:val="28"/>
        </w:rPr>
        <w:t xml:space="preserve"> Т</w:t>
      </w:r>
      <w:proofErr w:type="gramEnd"/>
      <w:r w:rsidRPr="002B136D">
        <w:rPr>
          <w:rFonts w:cs="Times New Roman"/>
          <w:szCs w:val="28"/>
        </w:rPr>
        <w:t xml:space="preserve"> на 53% повышал шансы развития ЭОП по сравнению с</w:t>
      </w:r>
      <w:r w:rsidR="002B5881" w:rsidRPr="002B136D">
        <w:rPr>
          <w:rFonts w:cs="Times New Roman"/>
          <w:szCs w:val="28"/>
        </w:rPr>
        <w:t>о</w:t>
      </w:r>
      <w:r w:rsidRPr="002B136D">
        <w:rPr>
          <w:rFonts w:cs="Times New Roman"/>
          <w:szCs w:val="28"/>
        </w:rPr>
        <w:t xml:space="preserve"> здоровыми. К сожалению, статистическая связь между группами с патологией ЩЖ </w:t>
      </w:r>
      <w:proofErr w:type="gramStart"/>
      <w:r w:rsidRPr="002B136D">
        <w:rPr>
          <w:rFonts w:cs="Times New Roman"/>
          <w:szCs w:val="28"/>
        </w:rPr>
        <w:t>с</w:t>
      </w:r>
      <w:proofErr w:type="gramEnd"/>
      <w:r w:rsidRPr="002B136D">
        <w:rPr>
          <w:rFonts w:cs="Times New Roman"/>
          <w:szCs w:val="28"/>
        </w:rPr>
        <w:t xml:space="preserve"> и без ЭОП не оценивалась</w:t>
      </w:r>
      <w:r w:rsidR="00283211">
        <w:rPr>
          <w:rFonts w:cs="Times New Roman"/>
          <w:szCs w:val="28"/>
        </w:rPr>
        <w:t xml:space="preserve"> </w:t>
      </w:r>
      <w:r w:rsidRPr="002B136D">
        <w:rPr>
          <w:rFonts w:cs="Times New Roman"/>
          <w:szCs w:val="28"/>
        </w:rPr>
        <w:fldChar w:fldCharType="begin"/>
      </w:r>
      <w:r w:rsidR="00A6759A" w:rsidRPr="002B136D">
        <w:rPr>
          <w:rFonts w:cs="Times New Roman"/>
          <w:szCs w:val="28"/>
        </w:rPr>
        <w:instrText xml:space="preserve"> ADDIN ZOTERO_ITEM CSL_CITATION {"citationID":"swX9JXno","properties":{"formattedCitation":"[167]","plainCitation":"[167]","noteIndex":0},"citationItems":[{"id":364,"uris":["http://zotero.org/users/8237658/items/IBF8EG9G"],"itemData":{"id":364,"type":"book","title":"Guo T, Huo Y, Zhu W, Xu F, Liu C, Liu N, Cao M, Cui B, Ning G. Genetic association between IL-17F gene polymorphisms and the pathogenesis of Graves' Disease in the Han Chinese population. Gene. 2013 Jan 10;512(2):300-4. doi: 10.1016/j.gene.2012.10.021. Epub 2012 Oct 27. PMID: 23111159."}}],"schema":"https://github.com/citation-style-language/schema/raw/master/csl-citation.json"} </w:instrText>
      </w:r>
      <w:r w:rsidRPr="002B136D">
        <w:rPr>
          <w:rFonts w:cs="Times New Roman"/>
          <w:szCs w:val="28"/>
        </w:rPr>
        <w:fldChar w:fldCharType="separate"/>
      </w:r>
      <w:r w:rsidR="00A6759A" w:rsidRPr="002B136D">
        <w:rPr>
          <w:rFonts w:cs="Times New Roman"/>
        </w:rPr>
        <w:t>[167]</w:t>
      </w:r>
      <w:r w:rsidRPr="002B136D">
        <w:rPr>
          <w:rFonts w:cs="Times New Roman"/>
          <w:szCs w:val="28"/>
        </w:rPr>
        <w:fldChar w:fldCharType="end"/>
      </w:r>
      <w:r w:rsidRPr="002B136D">
        <w:rPr>
          <w:rFonts w:cs="Times New Roman"/>
          <w:szCs w:val="28"/>
        </w:rPr>
        <w:t>.</w:t>
      </w:r>
      <w:r w:rsidR="00D77B6D" w:rsidRPr="002B136D">
        <w:rPr>
          <w:rFonts w:cs="Times New Roman"/>
          <w:szCs w:val="28"/>
        </w:rPr>
        <w:t xml:space="preserve"> </w:t>
      </w:r>
    </w:p>
    <w:p w14:paraId="2B0EFC49" w14:textId="77777777" w:rsidR="00A31D94" w:rsidRPr="002B136D" w:rsidRDefault="00A31D94" w:rsidP="006E7629">
      <w:pPr>
        <w:spacing w:after="0" w:line="240" w:lineRule="auto"/>
        <w:ind w:firstLine="708"/>
        <w:jc w:val="both"/>
        <w:rPr>
          <w:rFonts w:cs="Times New Roman"/>
          <w:szCs w:val="28"/>
        </w:rPr>
      </w:pPr>
    </w:p>
    <w:p w14:paraId="78F13E61" w14:textId="77777777" w:rsidR="00CA5574" w:rsidRPr="00EF13AB" w:rsidRDefault="00D46C4D" w:rsidP="00EF13AB">
      <w:pPr>
        <w:spacing w:after="0" w:line="240" w:lineRule="auto"/>
        <w:jc w:val="both"/>
        <w:rPr>
          <w:rFonts w:cs="Times New Roman"/>
          <w:bCs/>
          <w:szCs w:val="28"/>
        </w:rPr>
      </w:pPr>
      <w:r w:rsidRPr="00EF13AB">
        <w:rPr>
          <w:rFonts w:cs="Times New Roman"/>
          <w:bCs/>
          <w:szCs w:val="28"/>
        </w:rPr>
        <w:t xml:space="preserve">Таблица 2 - </w:t>
      </w:r>
      <w:r w:rsidR="00CA5574" w:rsidRPr="00EF13AB">
        <w:rPr>
          <w:rFonts w:cs="Times New Roman"/>
          <w:bCs/>
          <w:szCs w:val="28"/>
        </w:rPr>
        <w:t xml:space="preserve">Анализ вариации в гене rs3811058 </w:t>
      </w:r>
      <w:r w:rsidR="00CA5574" w:rsidRPr="00EF13AB">
        <w:rPr>
          <w:rFonts w:cs="Times New Roman"/>
          <w:bCs/>
          <w:szCs w:val="28"/>
          <w:lang w:val="en-US"/>
        </w:rPr>
        <w:t>IL</w:t>
      </w:r>
      <w:r w:rsidR="00F00A2C" w:rsidRPr="00EF13AB">
        <w:rPr>
          <w:rFonts w:cs="Times New Roman"/>
          <w:bCs/>
          <w:szCs w:val="28"/>
        </w:rPr>
        <w:t>-38</w:t>
      </w:r>
      <w:r w:rsidR="00CA5574" w:rsidRPr="00EF13AB">
        <w:rPr>
          <w:rFonts w:cs="Times New Roman"/>
          <w:bCs/>
          <w:szCs w:val="28"/>
        </w:rPr>
        <w:t xml:space="preserve"> при аутоиммунных заболеваниях</w:t>
      </w:r>
    </w:p>
    <w:p w14:paraId="56D904CE" w14:textId="77777777" w:rsidR="009327F2" w:rsidRPr="002B136D" w:rsidRDefault="009327F2" w:rsidP="009327F2">
      <w:pPr>
        <w:spacing w:after="0" w:line="240" w:lineRule="auto"/>
        <w:jc w:val="center"/>
        <w:rPr>
          <w:rFonts w:cs="Times New Roman"/>
          <w:b/>
          <w:szCs w:val="28"/>
        </w:rPr>
      </w:pPr>
    </w:p>
    <w:tbl>
      <w:tblPr>
        <w:tblStyle w:val="1-4"/>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701"/>
        <w:gridCol w:w="1275"/>
        <w:gridCol w:w="1560"/>
        <w:gridCol w:w="1842"/>
      </w:tblGrid>
      <w:tr w:rsidR="00D51D40" w:rsidRPr="002B136D" w14:paraId="6697055F" w14:textId="77777777" w:rsidTr="00EF1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shd w:val="clear" w:color="auto" w:fill="auto"/>
          </w:tcPr>
          <w:p w14:paraId="59F3027A" w14:textId="77777777" w:rsidR="00CA5574" w:rsidRPr="00EF13AB" w:rsidRDefault="00CA5574" w:rsidP="009327F2">
            <w:pPr>
              <w:contextualSpacing/>
              <w:jc w:val="both"/>
              <w:rPr>
                <w:rFonts w:cs="Times New Roman"/>
                <w:b w:val="0"/>
                <w:color w:val="auto"/>
                <w:sz w:val="24"/>
                <w:szCs w:val="28"/>
              </w:rPr>
            </w:pPr>
            <w:r w:rsidRPr="00EF13AB">
              <w:rPr>
                <w:rFonts w:cs="Times New Roman"/>
                <w:b w:val="0"/>
                <w:color w:val="auto"/>
                <w:sz w:val="24"/>
                <w:szCs w:val="28"/>
              </w:rPr>
              <w:t>Авторы</w:t>
            </w:r>
          </w:p>
        </w:tc>
        <w:tc>
          <w:tcPr>
            <w:tcW w:w="1843" w:type="dxa"/>
            <w:tcBorders>
              <w:top w:val="none" w:sz="0" w:space="0" w:color="auto"/>
              <w:bottom w:val="none" w:sz="0" w:space="0" w:color="auto"/>
            </w:tcBorders>
            <w:shd w:val="clear" w:color="auto" w:fill="auto"/>
          </w:tcPr>
          <w:p w14:paraId="5AB2EA3F" w14:textId="77777777" w:rsidR="00CA5574" w:rsidRPr="00EF13AB" w:rsidRDefault="00CA5574" w:rsidP="009327F2">
            <w:pPr>
              <w:contextualSpacing/>
              <w:jc w:val="both"/>
              <w:cnfStyle w:val="100000000000" w:firstRow="1"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Диагноз</w:t>
            </w:r>
          </w:p>
        </w:tc>
        <w:tc>
          <w:tcPr>
            <w:tcW w:w="1701" w:type="dxa"/>
            <w:tcBorders>
              <w:top w:val="none" w:sz="0" w:space="0" w:color="auto"/>
              <w:bottom w:val="none" w:sz="0" w:space="0" w:color="auto"/>
            </w:tcBorders>
            <w:shd w:val="clear" w:color="auto" w:fill="auto"/>
          </w:tcPr>
          <w:p w14:paraId="1CD14A41" w14:textId="1875701A" w:rsidR="00CA5574" w:rsidRPr="00EF13AB" w:rsidRDefault="00CA5574" w:rsidP="009327F2">
            <w:pPr>
              <w:contextualSpacing/>
              <w:jc w:val="both"/>
              <w:cnfStyle w:val="100000000000" w:firstRow="1"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Этнические особенно</w:t>
            </w:r>
            <w:r w:rsidR="00DA484D" w:rsidRPr="00EF13AB">
              <w:rPr>
                <w:rFonts w:cs="Times New Roman"/>
                <w:bCs/>
                <w:color w:val="auto"/>
                <w:sz w:val="24"/>
                <w:szCs w:val="28"/>
              </w:rPr>
              <w:t>с</w:t>
            </w:r>
            <w:r w:rsidRPr="00EF13AB">
              <w:rPr>
                <w:rFonts w:cs="Times New Roman"/>
                <w:bCs/>
                <w:color w:val="auto"/>
                <w:sz w:val="24"/>
                <w:szCs w:val="28"/>
              </w:rPr>
              <w:t>ти</w:t>
            </w:r>
          </w:p>
        </w:tc>
        <w:tc>
          <w:tcPr>
            <w:tcW w:w="1275" w:type="dxa"/>
            <w:tcBorders>
              <w:top w:val="none" w:sz="0" w:space="0" w:color="auto"/>
              <w:bottom w:val="none" w:sz="0" w:space="0" w:color="auto"/>
            </w:tcBorders>
            <w:shd w:val="clear" w:color="auto" w:fill="auto"/>
          </w:tcPr>
          <w:p w14:paraId="241A7183" w14:textId="77777777" w:rsidR="00CA5574" w:rsidRPr="00EF13AB" w:rsidRDefault="00CA5574" w:rsidP="009327F2">
            <w:pPr>
              <w:contextualSpacing/>
              <w:jc w:val="both"/>
              <w:cnfStyle w:val="100000000000" w:firstRow="1" w:lastRow="0" w:firstColumn="0" w:lastColumn="0" w:oddVBand="0" w:evenVBand="0" w:oddHBand="0" w:evenHBand="0" w:firstRowFirstColumn="0" w:firstRowLastColumn="0" w:lastRowFirstColumn="0" w:lastRowLastColumn="0"/>
              <w:rPr>
                <w:rFonts w:cs="Times New Roman"/>
                <w:bCs/>
                <w:color w:val="auto"/>
                <w:sz w:val="24"/>
                <w:szCs w:val="28"/>
                <w:lang w:val="en-US"/>
              </w:rPr>
            </w:pPr>
            <w:r w:rsidRPr="00EF13AB">
              <w:rPr>
                <w:rFonts w:cs="Times New Roman"/>
                <w:bCs/>
                <w:color w:val="auto"/>
                <w:sz w:val="24"/>
                <w:szCs w:val="28"/>
              </w:rPr>
              <w:t>Основная группа</w:t>
            </w:r>
            <w:r w:rsidRPr="00EF13AB">
              <w:rPr>
                <w:rFonts w:cs="Times New Roman"/>
                <w:bCs/>
                <w:color w:val="auto"/>
                <w:sz w:val="24"/>
                <w:szCs w:val="28"/>
                <w:lang w:val="en-US"/>
              </w:rPr>
              <w:t>(n)</w:t>
            </w:r>
          </w:p>
        </w:tc>
        <w:tc>
          <w:tcPr>
            <w:tcW w:w="1560" w:type="dxa"/>
            <w:tcBorders>
              <w:top w:val="none" w:sz="0" w:space="0" w:color="auto"/>
              <w:bottom w:val="none" w:sz="0" w:space="0" w:color="auto"/>
            </w:tcBorders>
            <w:shd w:val="clear" w:color="auto" w:fill="auto"/>
          </w:tcPr>
          <w:p w14:paraId="25817686" w14:textId="77777777" w:rsidR="00CA5574" w:rsidRPr="00EF13AB" w:rsidRDefault="00CA5574" w:rsidP="009327F2">
            <w:pPr>
              <w:contextualSpacing/>
              <w:jc w:val="both"/>
              <w:cnfStyle w:val="100000000000" w:firstRow="1" w:lastRow="0" w:firstColumn="0" w:lastColumn="0" w:oddVBand="0" w:evenVBand="0" w:oddHBand="0" w:evenHBand="0" w:firstRowFirstColumn="0" w:firstRowLastColumn="0" w:lastRowFirstColumn="0" w:lastRowLastColumn="0"/>
              <w:rPr>
                <w:rFonts w:cs="Times New Roman"/>
                <w:bCs/>
                <w:color w:val="auto"/>
                <w:sz w:val="24"/>
                <w:szCs w:val="28"/>
                <w:lang w:val="en-US"/>
              </w:rPr>
            </w:pPr>
            <w:r w:rsidRPr="00EF13AB">
              <w:rPr>
                <w:rFonts w:cs="Times New Roman"/>
                <w:bCs/>
                <w:color w:val="auto"/>
                <w:sz w:val="24"/>
                <w:szCs w:val="28"/>
              </w:rPr>
              <w:t xml:space="preserve">Контрольная группа </w:t>
            </w:r>
            <w:r w:rsidRPr="00EF13AB">
              <w:rPr>
                <w:rFonts w:cs="Times New Roman"/>
                <w:bCs/>
                <w:color w:val="auto"/>
                <w:sz w:val="24"/>
                <w:szCs w:val="28"/>
                <w:lang w:val="en-US"/>
              </w:rPr>
              <w:t>(n)</w:t>
            </w:r>
          </w:p>
        </w:tc>
        <w:tc>
          <w:tcPr>
            <w:tcW w:w="1842" w:type="dxa"/>
            <w:tcBorders>
              <w:top w:val="none" w:sz="0" w:space="0" w:color="auto"/>
              <w:bottom w:val="none" w:sz="0" w:space="0" w:color="auto"/>
            </w:tcBorders>
            <w:shd w:val="clear" w:color="auto" w:fill="auto"/>
          </w:tcPr>
          <w:p w14:paraId="72ACB48A" w14:textId="77777777" w:rsidR="00CA5574" w:rsidRPr="00EF13AB" w:rsidRDefault="00CA5574" w:rsidP="009327F2">
            <w:pPr>
              <w:contextualSpacing/>
              <w:jc w:val="both"/>
              <w:cnfStyle w:val="100000000000" w:firstRow="1" w:lastRow="0" w:firstColumn="0" w:lastColumn="0" w:oddVBand="0" w:evenVBand="0" w:oddHBand="0" w:evenHBand="0" w:firstRowFirstColumn="0" w:firstRowLastColumn="0" w:lastRowFirstColumn="0" w:lastRowLastColumn="0"/>
              <w:rPr>
                <w:rFonts w:cs="Times New Roman"/>
                <w:bCs/>
                <w:color w:val="auto"/>
                <w:sz w:val="24"/>
                <w:szCs w:val="28"/>
                <w:lang w:val="en-US"/>
              </w:rPr>
            </w:pPr>
            <w:r w:rsidRPr="00EF13AB">
              <w:rPr>
                <w:rFonts w:cs="Times New Roman"/>
                <w:bCs/>
                <w:color w:val="auto"/>
                <w:sz w:val="24"/>
                <w:szCs w:val="28"/>
                <w:lang w:val="kk-KZ"/>
              </w:rPr>
              <w:t>р</w:t>
            </w:r>
            <w:r w:rsidRPr="00EF13AB">
              <w:rPr>
                <w:rFonts w:cs="Times New Roman"/>
                <w:bCs/>
                <w:color w:val="auto"/>
                <w:sz w:val="24"/>
                <w:szCs w:val="28"/>
                <w:lang w:val="en-US"/>
              </w:rPr>
              <w:t xml:space="preserve"> (OR; CI 95%)</w:t>
            </w:r>
          </w:p>
        </w:tc>
      </w:tr>
      <w:tr w:rsidR="00EF13AB" w:rsidRPr="002B136D" w14:paraId="430DFC42" w14:textId="77777777" w:rsidTr="00EF1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827973E" w14:textId="0A9343C0" w:rsidR="00EF13AB" w:rsidRPr="00EF13AB" w:rsidRDefault="00EF13AB" w:rsidP="00EF13AB">
            <w:pPr>
              <w:contextualSpacing/>
              <w:jc w:val="center"/>
              <w:rPr>
                <w:rFonts w:cs="Times New Roman"/>
                <w:b w:val="0"/>
                <w:sz w:val="24"/>
                <w:szCs w:val="28"/>
              </w:rPr>
            </w:pPr>
            <w:r w:rsidRPr="00EF13AB">
              <w:rPr>
                <w:rFonts w:cs="Times New Roman"/>
                <w:b w:val="0"/>
                <w:sz w:val="24"/>
                <w:szCs w:val="28"/>
              </w:rPr>
              <w:t>1</w:t>
            </w:r>
          </w:p>
        </w:tc>
        <w:tc>
          <w:tcPr>
            <w:tcW w:w="1843" w:type="dxa"/>
            <w:shd w:val="clear" w:color="auto" w:fill="auto"/>
          </w:tcPr>
          <w:p w14:paraId="41E1EDAE" w14:textId="34D69442" w:rsidR="00EF13AB" w:rsidRPr="00EF13AB" w:rsidRDefault="00EF13AB" w:rsidP="00EF13AB">
            <w:pPr>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8"/>
              </w:rPr>
            </w:pPr>
            <w:r w:rsidRPr="00EF13AB">
              <w:rPr>
                <w:rFonts w:cs="Times New Roman"/>
                <w:bCs/>
                <w:sz w:val="24"/>
                <w:szCs w:val="28"/>
              </w:rPr>
              <w:t>2</w:t>
            </w:r>
          </w:p>
        </w:tc>
        <w:tc>
          <w:tcPr>
            <w:tcW w:w="1701" w:type="dxa"/>
            <w:shd w:val="clear" w:color="auto" w:fill="auto"/>
          </w:tcPr>
          <w:p w14:paraId="136802FB" w14:textId="27028471" w:rsidR="00EF13AB" w:rsidRPr="00EF13AB" w:rsidRDefault="00EF13AB" w:rsidP="00EF13AB">
            <w:pPr>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8"/>
              </w:rPr>
            </w:pPr>
            <w:r w:rsidRPr="00EF13AB">
              <w:rPr>
                <w:rFonts w:cs="Times New Roman"/>
                <w:bCs/>
                <w:sz w:val="24"/>
                <w:szCs w:val="28"/>
              </w:rPr>
              <w:t>3</w:t>
            </w:r>
          </w:p>
        </w:tc>
        <w:tc>
          <w:tcPr>
            <w:tcW w:w="1275" w:type="dxa"/>
            <w:shd w:val="clear" w:color="auto" w:fill="auto"/>
          </w:tcPr>
          <w:p w14:paraId="184717B3" w14:textId="269F9C13" w:rsidR="00EF13AB" w:rsidRPr="00EF13AB" w:rsidRDefault="00EF13AB" w:rsidP="00EF13AB">
            <w:pPr>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8"/>
              </w:rPr>
            </w:pPr>
            <w:r w:rsidRPr="00EF13AB">
              <w:rPr>
                <w:rFonts w:cs="Times New Roman"/>
                <w:bCs/>
                <w:sz w:val="24"/>
                <w:szCs w:val="28"/>
              </w:rPr>
              <w:t>4</w:t>
            </w:r>
          </w:p>
        </w:tc>
        <w:tc>
          <w:tcPr>
            <w:tcW w:w="1560" w:type="dxa"/>
            <w:shd w:val="clear" w:color="auto" w:fill="auto"/>
          </w:tcPr>
          <w:p w14:paraId="7A64F08F" w14:textId="54334125" w:rsidR="00EF13AB" w:rsidRPr="00EF13AB" w:rsidRDefault="00EF13AB" w:rsidP="00EF13AB">
            <w:pPr>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8"/>
              </w:rPr>
            </w:pPr>
            <w:r w:rsidRPr="00EF13AB">
              <w:rPr>
                <w:rFonts w:cs="Times New Roman"/>
                <w:bCs/>
                <w:sz w:val="24"/>
                <w:szCs w:val="28"/>
              </w:rPr>
              <w:t>5</w:t>
            </w:r>
          </w:p>
        </w:tc>
        <w:tc>
          <w:tcPr>
            <w:tcW w:w="1842" w:type="dxa"/>
            <w:shd w:val="clear" w:color="auto" w:fill="auto"/>
          </w:tcPr>
          <w:p w14:paraId="0D6DA98B" w14:textId="4D5703C7" w:rsidR="00EF13AB" w:rsidRPr="00EF13AB" w:rsidRDefault="00EF13AB" w:rsidP="00EF13AB">
            <w:pPr>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8"/>
              </w:rPr>
            </w:pPr>
            <w:r w:rsidRPr="00EF13AB">
              <w:rPr>
                <w:rFonts w:cs="Times New Roman"/>
                <w:bCs/>
                <w:sz w:val="24"/>
                <w:szCs w:val="28"/>
              </w:rPr>
              <w:t>6</w:t>
            </w:r>
          </w:p>
        </w:tc>
      </w:tr>
      <w:tr w:rsidR="00D51D40" w:rsidRPr="002B136D" w14:paraId="53C3EB55" w14:textId="77777777" w:rsidTr="00EF13AB">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auto"/>
          </w:tcPr>
          <w:p w14:paraId="4AB5F570" w14:textId="2CAD340F" w:rsidR="00CA5574" w:rsidRPr="00EF13AB" w:rsidRDefault="00CA5574" w:rsidP="009327F2">
            <w:pPr>
              <w:contextualSpacing/>
              <w:jc w:val="both"/>
              <w:rPr>
                <w:rFonts w:cs="Times New Roman"/>
                <w:b w:val="0"/>
                <w:color w:val="auto"/>
                <w:sz w:val="24"/>
                <w:szCs w:val="28"/>
              </w:rPr>
            </w:pPr>
            <w:r w:rsidRPr="00EF13AB">
              <w:rPr>
                <w:rFonts w:cs="Times New Roman"/>
                <w:b w:val="0"/>
                <w:color w:val="auto"/>
                <w:sz w:val="24"/>
                <w:szCs w:val="28"/>
              </w:rPr>
              <w:t>Monnet D и др. (2012)</w:t>
            </w:r>
            <w:r w:rsidRPr="00EF13AB">
              <w:rPr>
                <w:rFonts w:cs="Times New Roman"/>
                <w:sz w:val="24"/>
                <w:szCs w:val="28"/>
              </w:rPr>
              <w:fldChar w:fldCharType="begin"/>
            </w:r>
            <w:r w:rsidR="00A6759A" w:rsidRPr="00EF13AB">
              <w:rPr>
                <w:rFonts w:cs="Times New Roman"/>
                <w:b w:val="0"/>
                <w:color w:val="auto"/>
                <w:sz w:val="24"/>
                <w:szCs w:val="28"/>
              </w:rPr>
              <w:instrText xml:space="preserve"> ADDIN ZOTERO_ITEM CSL_CITATION {"citationID":"LtNxh084","properties":{"formattedCitation":"[19]","plainCitation":"[19]","noteIndex":0},"citationItems":[{"id":309,"uris":["http://zotero.org/users/8237658/items/J5MZJVXG"],"itemData":{"id":309,"type":"book","title":"Monnet, D.; Kadi, A.; Izac, B.; Lebrun, N.; Letourneur, F.; Zinovieva, E.; Said-Nahal, R.; Chiocchia, G.; Breban, M. Association between the IL-1 family gene cluster and spondyloarthritis. Ann. Rheum. Dis. 2012, 71, 885–890. [CrossRef]"}}],"schema":"https://github.com/citation-style-language/schema/raw/master/csl-citation.json"} </w:instrText>
            </w:r>
            <w:r w:rsidRPr="00EF13AB">
              <w:rPr>
                <w:rFonts w:cs="Times New Roman"/>
                <w:sz w:val="24"/>
                <w:szCs w:val="28"/>
              </w:rPr>
              <w:fldChar w:fldCharType="separate"/>
            </w:r>
            <w:r w:rsidR="00A6759A" w:rsidRPr="00EF13AB">
              <w:rPr>
                <w:rFonts w:cs="Times New Roman"/>
                <w:b w:val="0"/>
                <w:color w:val="auto"/>
                <w:sz w:val="24"/>
              </w:rPr>
              <w:t>[19]</w:t>
            </w:r>
            <w:r w:rsidRPr="00EF13AB">
              <w:rPr>
                <w:rFonts w:cs="Times New Roman"/>
                <w:sz w:val="24"/>
                <w:szCs w:val="28"/>
              </w:rPr>
              <w:fldChar w:fldCharType="end"/>
            </w:r>
            <w:r w:rsidRPr="00EF13AB">
              <w:rPr>
                <w:rFonts w:cs="Times New Roman"/>
                <w:b w:val="0"/>
                <w:color w:val="auto"/>
                <w:sz w:val="24"/>
                <w:szCs w:val="28"/>
              </w:rPr>
              <w:t xml:space="preserve"> </w:t>
            </w:r>
          </w:p>
        </w:tc>
        <w:tc>
          <w:tcPr>
            <w:tcW w:w="1843" w:type="dxa"/>
            <w:tcBorders>
              <w:bottom w:val="single" w:sz="4" w:space="0" w:color="auto"/>
            </w:tcBorders>
            <w:shd w:val="clear" w:color="auto" w:fill="auto"/>
          </w:tcPr>
          <w:p w14:paraId="4195A10E" w14:textId="77777777" w:rsidR="00CA5574" w:rsidRPr="00EF13AB" w:rsidRDefault="00CA557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Спондилоартрит</w:t>
            </w:r>
          </w:p>
          <w:p w14:paraId="245067FC" w14:textId="77777777" w:rsidR="00CA5574" w:rsidRPr="00EF13AB" w:rsidRDefault="00CA557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p>
        </w:tc>
        <w:tc>
          <w:tcPr>
            <w:tcW w:w="1701" w:type="dxa"/>
            <w:tcBorders>
              <w:bottom w:val="single" w:sz="4" w:space="0" w:color="auto"/>
            </w:tcBorders>
            <w:shd w:val="clear" w:color="auto" w:fill="auto"/>
          </w:tcPr>
          <w:p w14:paraId="3BB1F67B" w14:textId="77777777" w:rsidR="00CA5574" w:rsidRPr="00EF13AB" w:rsidRDefault="00CA557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Франция</w:t>
            </w:r>
          </w:p>
        </w:tc>
        <w:tc>
          <w:tcPr>
            <w:tcW w:w="1275" w:type="dxa"/>
            <w:tcBorders>
              <w:bottom w:val="single" w:sz="4" w:space="0" w:color="auto"/>
            </w:tcBorders>
            <w:shd w:val="clear" w:color="auto" w:fill="auto"/>
          </w:tcPr>
          <w:p w14:paraId="35498E8C" w14:textId="77777777" w:rsidR="00CA5574" w:rsidRPr="00EF13AB" w:rsidRDefault="00CA557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414</w:t>
            </w:r>
          </w:p>
        </w:tc>
        <w:tc>
          <w:tcPr>
            <w:tcW w:w="1560" w:type="dxa"/>
            <w:tcBorders>
              <w:bottom w:val="single" w:sz="4" w:space="0" w:color="auto"/>
            </w:tcBorders>
            <w:shd w:val="clear" w:color="auto" w:fill="auto"/>
          </w:tcPr>
          <w:p w14:paraId="61EE5DBC" w14:textId="77777777" w:rsidR="00CA5574" w:rsidRPr="00EF13AB" w:rsidRDefault="00CA557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264</w:t>
            </w:r>
          </w:p>
        </w:tc>
        <w:tc>
          <w:tcPr>
            <w:tcW w:w="1842" w:type="dxa"/>
            <w:tcBorders>
              <w:bottom w:val="single" w:sz="4" w:space="0" w:color="auto"/>
            </w:tcBorders>
            <w:shd w:val="clear" w:color="auto" w:fill="auto"/>
          </w:tcPr>
          <w:p w14:paraId="108EDD13" w14:textId="77777777" w:rsidR="00CA5574" w:rsidRPr="00EF13AB" w:rsidRDefault="00CA557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proofErr w:type="gramStart"/>
            <w:r w:rsidRPr="00EF13AB">
              <w:rPr>
                <w:rFonts w:cs="Times New Roman"/>
                <w:bCs/>
                <w:color w:val="auto"/>
                <w:sz w:val="24"/>
                <w:szCs w:val="28"/>
              </w:rPr>
              <w:t>Р</w:t>
            </w:r>
            <w:proofErr w:type="gramEnd"/>
            <w:r w:rsidRPr="00EF13AB">
              <w:rPr>
                <w:rFonts w:cs="Times New Roman"/>
                <w:bCs/>
                <w:color w:val="auto"/>
                <w:sz w:val="24"/>
                <w:szCs w:val="28"/>
              </w:rPr>
              <w:t xml:space="preserve">=0,04; </w:t>
            </w:r>
            <w:r w:rsidRPr="00EF13AB">
              <w:rPr>
                <w:rFonts w:cs="Times New Roman"/>
                <w:bCs/>
                <w:color w:val="auto"/>
                <w:sz w:val="24"/>
                <w:szCs w:val="28"/>
                <w:lang w:val="en-US"/>
              </w:rPr>
              <w:t>OR</w:t>
            </w:r>
            <w:r w:rsidRPr="00EF13AB">
              <w:rPr>
                <w:rFonts w:cs="Times New Roman"/>
                <w:bCs/>
                <w:color w:val="auto"/>
                <w:sz w:val="24"/>
                <w:szCs w:val="28"/>
              </w:rPr>
              <w:t>=1.75</w:t>
            </w:r>
          </w:p>
        </w:tc>
      </w:tr>
      <w:tr w:rsidR="00D51D40" w:rsidRPr="002B136D" w14:paraId="2EEAA8B6" w14:textId="77777777" w:rsidTr="00EF1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il"/>
            </w:tcBorders>
            <w:shd w:val="clear" w:color="auto" w:fill="auto"/>
          </w:tcPr>
          <w:p w14:paraId="1E27F605" w14:textId="4D2E93F7" w:rsidR="00CA5574" w:rsidRPr="00EF13AB" w:rsidRDefault="00CA5574" w:rsidP="009327F2">
            <w:pPr>
              <w:contextualSpacing/>
              <w:jc w:val="both"/>
              <w:rPr>
                <w:rFonts w:cs="Times New Roman"/>
                <w:b w:val="0"/>
                <w:color w:val="auto"/>
                <w:sz w:val="24"/>
                <w:szCs w:val="28"/>
                <w:lang w:val="en-US"/>
              </w:rPr>
            </w:pPr>
            <w:r w:rsidRPr="00EF13AB">
              <w:rPr>
                <w:rFonts w:cs="Times New Roman"/>
                <w:b w:val="0"/>
                <w:color w:val="auto"/>
                <w:sz w:val="24"/>
                <w:szCs w:val="28"/>
                <w:lang w:val="en-US"/>
              </w:rPr>
              <w:t xml:space="preserve">Sims AM </w:t>
            </w:r>
            <w:r w:rsidRPr="00EF13AB">
              <w:rPr>
                <w:rFonts w:cs="Times New Roman"/>
                <w:b w:val="0"/>
                <w:color w:val="auto"/>
                <w:sz w:val="24"/>
                <w:szCs w:val="28"/>
              </w:rPr>
              <w:t>и</w:t>
            </w:r>
            <w:r w:rsidRPr="00EF13AB">
              <w:rPr>
                <w:rFonts w:cs="Times New Roman"/>
                <w:b w:val="0"/>
                <w:color w:val="auto"/>
                <w:sz w:val="24"/>
                <w:szCs w:val="28"/>
                <w:lang w:val="en-US"/>
              </w:rPr>
              <w:t xml:space="preserve"> </w:t>
            </w:r>
            <w:r w:rsidRPr="00EF13AB">
              <w:rPr>
                <w:rFonts w:cs="Times New Roman"/>
                <w:b w:val="0"/>
                <w:color w:val="auto"/>
                <w:sz w:val="24"/>
                <w:szCs w:val="28"/>
              </w:rPr>
              <w:t>др</w:t>
            </w:r>
            <w:r w:rsidRPr="00EF13AB">
              <w:rPr>
                <w:rFonts w:cs="Times New Roman"/>
                <w:b w:val="0"/>
                <w:color w:val="auto"/>
                <w:sz w:val="24"/>
                <w:szCs w:val="28"/>
                <w:lang w:val="en-US"/>
              </w:rPr>
              <w:t>. (2007)</w:t>
            </w:r>
            <w:r w:rsidRPr="00EF13AB">
              <w:rPr>
                <w:rFonts w:cs="Times New Roman"/>
                <w:sz w:val="24"/>
                <w:szCs w:val="28"/>
              </w:rPr>
              <w:fldChar w:fldCharType="begin"/>
            </w:r>
            <w:r w:rsidR="00A6759A" w:rsidRPr="00EF13AB">
              <w:rPr>
                <w:rFonts w:cs="Times New Roman"/>
                <w:b w:val="0"/>
                <w:color w:val="auto"/>
                <w:sz w:val="24"/>
                <w:szCs w:val="28"/>
                <w:lang w:val="en-US"/>
              </w:rPr>
              <w:instrText xml:space="preserve"> ADDIN ZOTERO_ITEM CSL_CITATION {"citationID":"dDADyHeq","properties":{"formattedCitation":"[21]","plainCitation":"[21]","noteIndex":0},"citationItems":[{"id":367,"uris":["http://zotero.org/users/8237658/items/RX87SC2V"],"itemData":{"id":367,"type":"book","title":"Sims AM, Timms AE, Bruges-Armas J, Burgos-Vargas R, Chou CT, Doan T, Dowling A, Fialho RN, Gergely P, Gladman DD, Inman R, Kauppi M, Kaarela K, Laiho K, Maksymowych W, Pointon JJ, Rahman P, Reveille JD, Sorrentino R, Tuomilehto J, Vargas-Alarcon G, Wordsworth BP, Xu H, Brown MA; International Genetics of Ankylosing Spondylitis. Prospective meta-analysis of interleukin 1 gene complex polymorphisms confirms associations with ankylosing spondylitis. Ann Rheum Dis. 2008 Sep;67(9):1305-9. doi: 10.1136/ard.2007.081364. Epub 2007 Dec 6. PMID: 18063673."}}],"schema":"https://github.com/citation-style-language/schema/raw/master/csl-citation.json"} </w:instrText>
            </w:r>
            <w:r w:rsidRPr="00EF13AB">
              <w:rPr>
                <w:rFonts w:cs="Times New Roman"/>
                <w:sz w:val="24"/>
                <w:szCs w:val="28"/>
              </w:rPr>
              <w:fldChar w:fldCharType="separate"/>
            </w:r>
            <w:r w:rsidR="00A6759A" w:rsidRPr="00EF13AB">
              <w:rPr>
                <w:rFonts w:cs="Times New Roman"/>
                <w:b w:val="0"/>
                <w:color w:val="auto"/>
                <w:sz w:val="24"/>
              </w:rPr>
              <w:t>[21]</w:t>
            </w:r>
            <w:r w:rsidRPr="00EF13AB">
              <w:rPr>
                <w:rFonts w:cs="Times New Roman"/>
                <w:sz w:val="24"/>
                <w:szCs w:val="28"/>
              </w:rPr>
              <w:fldChar w:fldCharType="end"/>
            </w:r>
          </w:p>
        </w:tc>
        <w:tc>
          <w:tcPr>
            <w:tcW w:w="1843" w:type="dxa"/>
            <w:tcBorders>
              <w:bottom w:val="nil"/>
            </w:tcBorders>
            <w:shd w:val="clear" w:color="auto" w:fill="auto"/>
          </w:tcPr>
          <w:p w14:paraId="7E15E4FF" w14:textId="77777777" w:rsidR="00CA5574" w:rsidRPr="00EF13AB" w:rsidRDefault="00CA557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Анкилозирующий спондилит</w:t>
            </w:r>
          </w:p>
          <w:p w14:paraId="28FEF9E8" w14:textId="77777777" w:rsidR="00CA5574" w:rsidRPr="00EF13AB" w:rsidRDefault="00CA557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lang w:val="kk-KZ"/>
              </w:rPr>
            </w:pPr>
          </w:p>
        </w:tc>
        <w:tc>
          <w:tcPr>
            <w:tcW w:w="1701" w:type="dxa"/>
            <w:tcBorders>
              <w:bottom w:val="nil"/>
            </w:tcBorders>
            <w:shd w:val="clear" w:color="auto" w:fill="auto"/>
          </w:tcPr>
          <w:p w14:paraId="58C60914" w14:textId="77777777" w:rsidR="00CA5574" w:rsidRPr="00EF13AB" w:rsidRDefault="00CA557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 xml:space="preserve">Мета-анализ </w:t>
            </w:r>
          </w:p>
        </w:tc>
        <w:tc>
          <w:tcPr>
            <w:tcW w:w="1275" w:type="dxa"/>
            <w:tcBorders>
              <w:bottom w:val="nil"/>
            </w:tcBorders>
            <w:shd w:val="clear" w:color="auto" w:fill="auto"/>
          </w:tcPr>
          <w:p w14:paraId="40572F43" w14:textId="77777777" w:rsidR="00CA5574" w:rsidRPr="00EF13AB" w:rsidRDefault="00CA557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2675</w:t>
            </w:r>
          </w:p>
        </w:tc>
        <w:tc>
          <w:tcPr>
            <w:tcW w:w="1560" w:type="dxa"/>
            <w:tcBorders>
              <w:bottom w:val="nil"/>
            </w:tcBorders>
            <w:shd w:val="clear" w:color="auto" w:fill="auto"/>
          </w:tcPr>
          <w:p w14:paraId="6BBD05DD" w14:textId="77777777" w:rsidR="00CA5574" w:rsidRPr="00EF13AB" w:rsidRDefault="00CA557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2592</w:t>
            </w:r>
          </w:p>
        </w:tc>
        <w:tc>
          <w:tcPr>
            <w:tcW w:w="1842" w:type="dxa"/>
            <w:tcBorders>
              <w:bottom w:val="nil"/>
            </w:tcBorders>
            <w:shd w:val="clear" w:color="auto" w:fill="auto"/>
          </w:tcPr>
          <w:p w14:paraId="4D96D809" w14:textId="2374D15C" w:rsidR="00CA5574" w:rsidRPr="00EF13AB" w:rsidRDefault="00CA557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lang w:val="en-US"/>
              </w:rPr>
              <w:t>P</w:t>
            </w:r>
            <w:r w:rsidRPr="00EF13AB">
              <w:rPr>
                <w:rFonts w:cs="Times New Roman"/>
                <w:bCs/>
                <w:color w:val="auto"/>
                <w:sz w:val="24"/>
                <w:szCs w:val="28"/>
              </w:rPr>
              <w:t>=0.08;</w:t>
            </w:r>
            <w:r w:rsidR="00D77B6D" w:rsidRPr="00EF13AB">
              <w:rPr>
                <w:rFonts w:cs="Times New Roman"/>
                <w:bCs/>
                <w:color w:val="auto"/>
                <w:sz w:val="24"/>
                <w:szCs w:val="28"/>
              </w:rPr>
              <w:t xml:space="preserve"> </w:t>
            </w:r>
            <w:r w:rsidRPr="00EF13AB">
              <w:rPr>
                <w:rFonts w:cs="Times New Roman"/>
                <w:bCs/>
                <w:color w:val="auto"/>
                <w:sz w:val="24"/>
                <w:szCs w:val="28"/>
                <w:lang w:val="en-US"/>
              </w:rPr>
              <w:t>OR</w:t>
            </w:r>
            <w:r w:rsidRPr="00EF13AB">
              <w:rPr>
                <w:rFonts w:cs="Times New Roman"/>
                <w:bCs/>
                <w:color w:val="auto"/>
                <w:sz w:val="24"/>
                <w:szCs w:val="28"/>
              </w:rPr>
              <w:t xml:space="preserve">=1.14 (0.99;1.32) </w:t>
            </w:r>
          </w:p>
        </w:tc>
      </w:tr>
    </w:tbl>
    <w:p w14:paraId="4A40DFEA" w14:textId="28003BE5" w:rsidR="00EF13AB" w:rsidRDefault="00D7006C" w:rsidP="00EF13AB">
      <w:pPr>
        <w:spacing w:after="0" w:line="240" w:lineRule="auto"/>
      </w:pPr>
      <w:r>
        <w:lastRenderedPageBreak/>
        <w:t xml:space="preserve">Продолжение </w:t>
      </w:r>
      <w:r w:rsidR="00EF13AB">
        <w:t>таблицы 2</w:t>
      </w:r>
    </w:p>
    <w:p w14:paraId="101BE87B" w14:textId="77777777" w:rsidR="00EF13AB" w:rsidRDefault="00EF13AB" w:rsidP="00EF13AB">
      <w:pPr>
        <w:spacing w:after="0" w:line="240" w:lineRule="auto"/>
      </w:pPr>
    </w:p>
    <w:tbl>
      <w:tblPr>
        <w:tblStyle w:val="1-4"/>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701"/>
        <w:gridCol w:w="1275"/>
        <w:gridCol w:w="1560"/>
        <w:gridCol w:w="1842"/>
      </w:tblGrid>
      <w:tr w:rsidR="00EF13AB" w:rsidRPr="002B136D" w14:paraId="721127EA" w14:textId="77777777" w:rsidTr="00EF1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tcPr>
          <w:p w14:paraId="50BC45FB" w14:textId="2A615535" w:rsidR="00EF13AB" w:rsidRPr="00EF13AB" w:rsidRDefault="00EF13AB" w:rsidP="00EF13AB">
            <w:pPr>
              <w:contextualSpacing/>
              <w:jc w:val="center"/>
              <w:rPr>
                <w:rFonts w:cs="Times New Roman"/>
                <w:bCs w:val="0"/>
                <w:sz w:val="24"/>
                <w:szCs w:val="28"/>
                <w:lang w:val="en-US"/>
              </w:rPr>
            </w:pPr>
            <w:r w:rsidRPr="00EF13AB">
              <w:rPr>
                <w:rFonts w:cs="Times New Roman"/>
                <w:b w:val="0"/>
                <w:sz w:val="24"/>
                <w:szCs w:val="28"/>
              </w:rPr>
              <w:t>1</w:t>
            </w:r>
          </w:p>
        </w:tc>
        <w:tc>
          <w:tcPr>
            <w:tcW w:w="1843" w:type="dxa"/>
            <w:tcBorders>
              <w:top w:val="single" w:sz="4" w:space="0" w:color="auto"/>
              <w:bottom w:val="single" w:sz="4" w:space="0" w:color="auto"/>
            </w:tcBorders>
            <w:shd w:val="clear" w:color="auto" w:fill="auto"/>
          </w:tcPr>
          <w:p w14:paraId="61D58087" w14:textId="730E9563" w:rsidR="00EF13AB" w:rsidRPr="00EF13AB" w:rsidRDefault="00EF13AB" w:rsidP="00EF13AB">
            <w:pPr>
              <w:contextualSpacing/>
              <w:jc w:val="center"/>
              <w:cnfStyle w:val="100000000000" w:firstRow="1" w:lastRow="0" w:firstColumn="0" w:lastColumn="0" w:oddVBand="0" w:evenVBand="0" w:oddHBand="0" w:evenHBand="0" w:firstRowFirstColumn="0" w:firstRowLastColumn="0" w:lastRowFirstColumn="0" w:lastRowLastColumn="0"/>
              <w:rPr>
                <w:rFonts w:cs="Times New Roman"/>
                <w:bCs/>
                <w:sz w:val="24"/>
                <w:szCs w:val="28"/>
              </w:rPr>
            </w:pPr>
            <w:r w:rsidRPr="00EF13AB">
              <w:rPr>
                <w:rFonts w:cs="Times New Roman"/>
                <w:bCs/>
                <w:sz w:val="24"/>
                <w:szCs w:val="28"/>
              </w:rPr>
              <w:t>2</w:t>
            </w:r>
          </w:p>
        </w:tc>
        <w:tc>
          <w:tcPr>
            <w:tcW w:w="1701" w:type="dxa"/>
            <w:tcBorders>
              <w:top w:val="single" w:sz="4" w:space="0" w:color="auto"/>
              <w:bottom w:val="single" w:sz="4" w:space="0" w:color="auto"/>
            </w:tcBorders>
            <w:shd w:val="clear" w:color="auto" w:fill="auto"/>
          </w:tcPr>
          <w:p w14:paraId="56B0ACC8" w14:textId="1185ED94" w:rsidR="00EF13AB" w:rsidRPr="00EF13AB" w:rsidRDefault="00EF13AB" w:rsidP="00EF13AB">
            <w:pPr>
              <w:contextualSpacing/>
              <w:jc w:val="center"/>
              <w:cnfStyle w:val="100000000000" w:firstRow="1" w:lastRow="0" w:firstColumn="0" w:lastColumn="0" w:oddVBand="0" w:evenVBand="0" w:oddHBand="0" w:evenHBand="0" w:firstRowFirstColumn="0" w:firstRowLastColumn="0" w:lastRowFirstColumn="0" w:lastRowLastColumn="0"/>
              <w:rPr>
                <w:rFonts w:cs="Times New Roman"/>
                <w:bCs/>
                <w:sz w:val="24"/>
                <w:szCs w:val="28"/>
              </w:rPr>
            </w:pPr>
            <w:r w:rsidRPr="00EF13AB">
              <w:rPr>
                <w:rFonts w:cs="Times New Roman"/>
                <w:bCs/>
                <w:sz w:val="24"/>
                <w:szCs w:val="28"/>
              </w:rPr>
              <w:t>3</w:t>
            </w:r>
          </w:p>
        </w:tc>
        <w:tc>
          <w:tcPr>
            <w:tcW w:w="1275" w:type="dxa"/>
            <w:tcBorders>
              <w:top w:val="single" w:sz="4" w:space="0" w:color="auto"/>
              <w:bottom w:val="single" w:sz="4" w:space="0" w:color="auto"/>
            </w:tcBorders>
            <w:shd w:val="clear" w:color="auto" w:fill="auto"/>
          </w:tcPr>
          <w:p w14:paraId="52E16A85" w14:textId="59F80EEC" w:rsidR="00EF13AB" w:rsidRPr="00EF13AB" w:rsidRDefault="00EF13AB" w:rsidP="00EF13AB">
            <w:pPr>
              <w:contextualSpacing/>
              <w:jc w:val="center"/>
              <w:cnfStyle w:val="100000000000" w:firstRow="1" w:lastRow="0" w:firstColumn="0" w:lastColumn="0" w:oddVBand="0" w:evenVBand="0" w:oddHBand="0" w:evenHBand="0" w:firstRowFirstColumn="0" w:firstRowLastColumn="0" w:lastRowFirstColumn="0" w:lastRowLastColumn="0"/>
              <w:rPr>
                <w:rFonts w:cs="Times New Roman"/>
                <w:bCs/>
                <w:sz w:val="24"/>
                <w:szCs w:val="28"/>
              </w:rPr>
            </w:pPr>
            <w:r w:rsidRPr="00EF13AB">
              <w:rPr>
                <w:rFonts w:cs="Times New Roman"/>
                <w:bCs/>
                <w:sz w:val="24"/>
                <w:szCs w:val="28"/>
              </w:rPr>
              <w:t>4</w:t>
            </w:r>
          </w:p>
        </w:tc>
        <w:tc>
          <w:tcPr>
            <w:tcW w:w="1560" w:type="dxa"/>
            <w:tcBorders>
              <w:top w:val="single" w:sz="4" w:space="0" w:color="auto"/>
              <w:bottom w:val="single" w:sz="4" w:space="0" w:color="auto"/>
            </w:tcBorders>
            <w:shd w:val="clear" w:color="auto" w:fill="auto"/>
          </w:tcPr>
          <w:p w14:paraId="2CC03F71" w14:textId="1C614A81" w:rsidR="00EF13AB" w:rsidRPr="00EF13AB" w:rsidRDefault="00EF13AB" w:rsidP="00EF13AB">
            <w:pPr>
              <w:contextualSpacing/>
              <w:jc w:val="center"/>
              <w:cnfStyle w:val="100000000000" w:firstRow="1" w:lastRow="0" w:firstColumn="0" w:lastColumn="0" w:oddVBand="0" w:evenVBand="0" w:oddHBand="0" w:evenHBand="0" w:firstRowFirstColumn="0" w:firstRowLastColumn="0" w:lastRowFirstColumn="0" w:lastRowLastColumn="0"/>
              <w:rPr>
                <w:rFonts w:cs="Times New Roman"/>
                <w:bCs/>
                <w:sz w:val="24"/>
                <w:szCs w:val="28"/>
              </w:rPr>
            </w:pPr>
            <w:r w:rsidRPr="00EF13AB">
              <w:rPr>
                <w:rFonts w:cs="Times New Roman"/>
                <w:bCs/>
                <w:sz w:val="24"/>
                <w:szCs w:val="28"/>
              </w:rPr>
              <w:t>5</w:t>
            </w:r>
          </w:p>
        </w:tc>
        <w:tc>
          <w:tcPr>
            <w:tcW w:w="1842" w:type="dxa"/>
            <w:tcBorders>
              <w:top w:val="single" w:sz="4" w:space="0" w:color="auto"/>
              <w:bottom w:val="single" w:sz="4" w:space="0" w:color="auto"/>
            </w:tcBorders>
            <w:shd w:val="clear" w:color="auto" w:fill="auto"/>
          </w:tcPr>
          <w:p w14:paraId="664EA4B2" w14:textId="5B73F760" w:rsidR="00EF13AB" w:rsidRPr="00EF13AB" w:rsidRDefault="00EF13AB" w:rsidP="00EF13AB">
            <w:pPr>
              <w:contextualSpacing/>
              <w:jc w:val="center"/>
              <w:cnfStyle w:val="100000000000" w:firstRow="1" w:lastRow="0" w:firstColumn="0" w:lastColumn="0" w:oddVBand="0" w:evenVBand="0" w:oddHBand="0" w:evenHBand="0" w:firstRowFirstColumn="0" w:firstRowLastColumn="0" w:lastRowFirstColumn="0" w:lastRowLastColumn="0"/>
              <w:rPr>
                <w:rFonts w:cs="Times New Roman"/>
                <w:bCs/>
                <w:sz w:val="24"/>
                <w:szCs w:val="28"/>
              </w:rPr>
            </w:pPr>
            <w:r w:rsidRPr="00EF13AB">
              <w:rPr>
                <w:rFonts w:cs="Times New Roman"/>
                <w:bCs/>
                <w:sz w:val="24"/>
                <w:szCs w:val="28"/>
              </w:rPr>
              <w:t>6</w:t>
            </w:r>
          </w:p>
        </w:tc>
      </w:tr>
      <w:tr w:rsidR="00EF13AB" w:rsidRPr="002B136D" w14:paraId="4CA914AF" w14:textId="77777777" w:rsidTr="00EF1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tcPr>
          <w:p w14:paraId="7B5726FB" w14:textId="1C82353B" w:rsidR="00EF13AB" w:rsidRPr="00EF13AB" w:rsidRDefault="00EF13AB" w:rsidP="00EF13AB">
            <w:pPr>
              <w:contextualSpacing/>
              <w:jc w:val="both"/>
              <w:rPr>
                <w:rFonts w:cs="Times New Roman"/>
                <w:b w:val="0"/>
                <w:color w:val="auto"/>
                <w:sz w:val="24"/>
                <w:szCs w:val="28"/>
                <w:lang w:val="en-US"/>
              </w:rPr>
            </w:pPr>
            <w:r w:rsidRPr="00EF13AB">
              <w:rPr>
                <w:rFonts w:cs="Times New Roman"/>
                <w:b w:val="0"/>
                <w:color w:val="auto"/>
                <w:sz w:val="24"/>
                <w:szCs w:val="28"/>
                <w:lang w:val="en-US"/>
              </w:rPr>
              <w:t xml:space="preserve">Yamamoto-Furusho JK </w:t>
            </w:r>
            <w:r w:rsidRPr="00EF13AB">
              <w:rPr>
                <w:rFonts w:cs="Times New Roman"/>
                <w:b w:val="0"/>
                <w:color w:val="auto"/>
                <w:sz w:val="24"/>
                <w:szCs w:val="28"/>
              </w:rPr>
              <w:t>и</w:t>
            </w:r>
            <w:r w:rsidRPr="00EF13AB">
              <w:rPr>
                <w:rFonts w:cs="Times New Roman"/>
                <w:b w:val="0"/>
                <w:color w:val="auto"/>
                <w:sz w:val="24"/>
                <w:szCs w:val="28"/>
                <w:lang w:val="en-US"/>
              </w:rPr>
              <w:t xml:space="preserve"> </w:t>
            </w:r>
            <w:r w:rsidRPr="00EF13AB">
              <w:rPr>
                <w:rFonts w:cs="Times New Roman"/>
                <w:b w:val="0"/>
                <w:color w:val="auto"/>
                <w:sz w:val="24"/>
                <w:szCs w:val="28"/>
              </w:rPr>
              <w:t>др</w:t>
            </w:r>
            <w:r w:rsidRPr="00EF13AB">
              <w:rPr>
                <w:rFonts w:cs="Times New Roman"/>
                <w:b w:val="0"/>
                <w:color w:val="auto"/>
                <w:sz w:val="24"/>
                <w:szCs w:val="28"/>
                <w:lang w:val="en-US"/>
              </w:rPr>
              <w:t>. (2011)</w:t>
            </w:r>
            <w:r w:rsidRPr="00EF13AB">
              <w:rPr>
                <w:rFonts w:cs="Times New Roman"/>
                <w:sz w:val="24"/>
                <w:szCs w:val="28"/>
              </w:rPr>
              <w:fldChar w:fldCharType="begin"/>
            </w:r>
            <w:r w:rsidRPr="00EF13AB">
              <w:rPr>
                <w:rFonts w:cs="Times New Roman"/>
                <w:b w:val="0"/>
                <w:color w:val="auto"/>
                <w:sz w:val="24"/>
                <w:szCs w:val="28"/>
                <w:lang w:val="en-US"/>
              </w:rPr>
              <w:instrText xml:space="preserve"> ADDIN ZOTERO_ITEM CSL_CITATION {"citationID":"hZpkKDmI","properties":{"formattedCitation":"[23]","plainCitation":"[23]","noteIndex":0},"citationItems":[{"id":366,"uris":["http://zotero.org/users/8237658/items/8G4ZCEV7"],"itemData":{"id":366,"type":"book","title":"Yamamoto-Furusho JK, Santiago-Hernández JJ, Pérez-Hernández N, Ramírez-Fuentes S, Fragoso JM, Vargas-Alarcón G. Interleukin 1 β (IL-1B) and IL-1 antagonist receptor (IL-1RN) gene polymorphisms are associated with the genetic susceptibility and steroid dependence in patients with ulcerative colitis. J Clin Gastroenterol. 2011 Jul;45(6):531-5. doi: 10.1097/MCG.0b013e3181faec51. PMID: 20975573."}}],"schema":"https://github.com/citation-style-language/schema/raw/master/csl-citation.json"} </w:instrText>
            </w:r>
            <w:r w:rsidRPr="00EF13AB">
              <w:rPr>
                <w:rFonts w:cs="Times New Roman"/>
                <w:sz w:val="24"/>
                <w:szCs w:val="28"/>
              </w:rPr>
              <w:fldChar w:fldCharType="separate"/>
            </w:r>
            <w:r w:rsidRPr="00EF13AB">
              <w:rPr>
                <w:rFonts w:cs="Times New Roman"/>
                <w:b w:val="0"/>
                <w:color w:val="auto"/>
                <w:sz w:val="24"/>
                <w:lang w:val="en-US"/>
              </w:rPr>
              <w:t>[23]</w:t>
            </w:r>
            <w:r w:rsidRPr="00EF13AB">
              <w:rPr>
                <w:rFonts w:cs="Times New Roman"/>
                <w:sz w:val="24"/>
                <w:szCs w:val="28"/>
              </w:rPr>
              <w:fldChar w:fldCharType="end"/>
            </w:r>
          </w:p>
        </w:tc>
        <w:tc>
          <w:tcPr>
            <w:tcW w:w="1843" w:type="dxa"/>
            <w:tcBorders>
              <w:top w:val="single" w:sz="4" w:space="0" w:color="auto"/>
            </w:tcBorders>
            <w:shd w:val="clear" w:color="auto" w:fill="auto"/>
          </w:tcPr>
          <w:p w14:paraId="597F555B" w14:textId="77777777" w:rsidR="00EF13AB" w:rsidRPr="00EF13AB" w:rsidRDefault="00EF13AB" w:rsidP="00EF13AB">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Язвенный колит</w:t>
            </w:r>
          </w:p>
        </w:tc>
        <w:tc>
          <w:tcPr>
            <w:tcW w:w="1701" w:type="dxa"/>
            <w:tcBorders>
              <w:top w:val="single" w:sz="4" w:space="0" w:color="auto"/>
            </w:tcBorders>
            <w:shd w:val="clear" w:color="auto" w:fill="auto"/>
          </w:tcPr>
          <w:p w14:paraId="04FA6CBD" w14:textId="77777777" w:rsidR="00EF13AB" w:rsidRPr="00EF13AB" w:rsidRDefault="00EF13AB" w:rsidP="00EF13AB">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 xml:space="preserve">Мексиканская </w:t>
            </w:r>
          </w:p>
        </w:tc>
        <w:tc>
          <w:tcPr>
            <w:tcW w:w="1275" w:type="dxa"/>
            <w:tcBorders>
              <w:top w:val="single" w:sz="4" w:space="0" w:color="auto"/>
            </w:tcBorders>
            <w:shd w:val="clear" w:color="auto" w:fill="auto"/>
          </w:tcPr>
          <w:p w14:paraId="162A389F" w14:textId="77777777" w:rsidR="00EF13AB" w:rsidRPr="00EF13AB" w:rsidRDefault="00EF13AB" w:rsidP="00EF13AB">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199</w:t>
            </w:r>
          </w:p>
        </w:tc>
        <w:tc>
          <w:tcPr>
            <w:tcW w:w="1560" w:type="dxa"/>
            <w:tcBorders>
              <w:top w:val="single" w:sz="4" w:space="0" w:color="auto"/>
            </w:tcBorders>
            <w:shd w:val="clear" w:color="auto" w:fill="auto"/>
          </w:tcPr>
          <w:p w14:paraId="6CCAFACF" w14:textId="77777777" w:rsidR="00EF13AB" w:rsidRPr="00EF13AB" w:rsidRDefault="00EF13AB" w:rsidP="00EF13AB">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248</w:t>
            </w:r>
          </w:p>
        </w:tc>
        <w:tc>
          <w:tcPr>
            <w:tcW w:w="1842" w:type="dxa"/>
            <w:tcBorders>
              <w:top w:val="single" w:sz="4" w:space="0" w:color="auto"/>
            </w:tcBorders>
            <w:shd w:val="clear" w:color="auto" w:fill="auto"/>
          </w:tcPr>
          <w:p w14:paraId="4204C93E" w14:textId="77777777" w:rsidR="00EF13AB" w:rsidRPr="00EF13AB" w:rsidRDefault="00EF13AB" w:rsidP="00EF13AB">
            <w:pPr>
              <w:contextualSpacing/>
              <w:jc w:val="both"/>
              <w:cnfStyle w:val="000000100000" w:firstRow="0" w:lastRow="0" w:firstColumn="0" w:lastColumn="0" w:oddVBand="0" w:evenVBand="0" w:oddHBand="1"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Нет статистической связи</w:t>
            </w:r>
          </w:p>
        </w:tc>
      </w:tr>
      <w:tr w:rsidR="00EF13AB" w:rsidRPr="002B136D" w14:paraId="7E2DD641" w14:textId="77777777" w:rsidTr="00EF13AB">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D8B4A28" w14:textId="207B87FD" w:rsidR="00EF13AB" w:rsidRPr="00EF13AB" w:rsidRDefault="00EF13AB" w:rsidP="00EF13AB">
            <w:pPr>
              <w:contextualSpacing/>
              <w:jc w:val="both"/>
              <w:rPr>
                <w:rFonts w:cs="Times New Roman"/>
                <w:b w:val="0"/>
                <w:color w:val="auto"/>
                <w:sz w:val="24"/>
                <w:szCs w:val="28"/>
                <w:lang w:val="en-US"/>
              </w:rPr>
            </w:pPr>
            <w:r w:rsidRPr="00EF13AB">
              <w:rPr>
                <w:rFonts w:cs="Times New Roman"/>
                <w:b w:val="0"/>
                <w:color w:val="auto"/>
                <w:sz w:val="24"/>
                <w:szCs w:val="28"/>
                <w:lang w:val="en-US"/>
              </w:rPr>
              <w:t xml:space="preserve">Rahman P </w:t>
            </w:r>
            <w:r w:rsidRPr="00EF13AB">
              <w:rPr>
                <w:rFonts w:cs="Times New Roman"/>
                <w:b w:val="0"/>
                <w:color w:val="auto"/>
                <w:sz w:val="24"/>
                <w:szCs w:val="28"/>
              </w:rPr>
              <w:t>и</w:t>
            </w:r>
            <w:r w:rsidRPr="00EF13AB">
              <w:rPr>
                <w:rFonts w:cs="Times New Roman"/>
                <w:b w:val="0"/>
                <w:color w:val="auto"/>
                <w:sz w:val="24"/>
                <w:szCs w:val="28"/>
                <w:lang w:val="en-US"/>
              </w:rPr>
              <w:t xml:space="preserve"> </w:t>
            </w:r>
            <w:r w:rsidRPr="00EF13AB">
              <w:rPr>
                <w:rFonts w:cs="Times New Roman"/>
                <w:b w:val="0"/>
                <w:color w:val="auto"/>
                <w:sz w:val="24"/>
                <w:szCs w:val="28"/>
              </w:rPr>
              <w:t>др</w:t>
            </w:r>
            <w:r w:rsidRPr="00EF13AB">
              <w:rPr>
                <w:rFonts w:cs="Times New Roman"/>
                <w:b w:val="0"/>
                <w:color w:val="auto"/>
                <w:sz w:val="24"/>
                <w:szCs w:val="28"/>
                <w:lang w:val="en-US"/>
              </w:rPr>
              <w:t>. (2006)</w:t>
            </w:r>
            <w:r w:rsidRPr="00EF13AB">
              <w:rPr>
                <w:rFonts w:cs="Times New Roman"/>
                <w:sz w:val="24"/>
                <w:szCs w:val="28"/>
              </w:rPr>
              <w:fldChar w:fldCharType="begin"/>
            </w:r>
            <w:r w:rsidRPr="00EF13AB">
              <w:rPr>
                <w:rFonts w:cs="Times New Roman"/>
                <w:b w:val="0"/>
                <w:color w:val="auto"/>
                <w:sz w:val="24"/>
                <w:szCs w:val="28"/>
                <w:lang w:val="en-US"/>
              </w:rPr>
              <w:instrText xml:space="preserve"> ADDIN ZOTERO_ITEM CSL_CITATION {"citationID":"W97YOmwR","properties":{"formattedCitation":"[20]","plainCitation":"[20]","noteIndex":0},"citationItems":[{"id":310,"uris":["http://zotero.org/users/8237658/items/AW8K3G8V"],"itemData":{"id":310,"type":"book","title":"Rahman, P.; Sun, S.; Peddle, L.; Snelgrove, T.; Melay, W.; Greenwood, C.; Gladman, D. Association between the interleukin-1 family gene cluster and psoriatic arthritis. Arthritis Rheum. 2006, 54, 2321–2325. [CrossRef]"}}],"schema":"https://github.com/citation-style-language/schema/raw/master/csl-citation.json"} </w:instrText>
            </w:r>
            <w:r w:rsidRPr="00EF13AB">
              <w:rPr>
                <w:rFonts w:cs="Times New Roman"/>
                <w:sz w:val="24"/>
                <w:szCs w:val="28"/>
              </w:rPr>
              <w:fldChar w:fldCharType="separate"/>
            </w:r>
            <w:r w:rsidRPr="00EF13AB">
              <w:rPr>
                <w:rFonts w:cs="Times New Roman"/>
                <w:b w:val="0"/>
                <w:color w:val="auto"/>
                <w:sz w:val="24"/>
              </w:rPr>
              <w:t>[20]</w:t>
            </w:r>
            <w:r w:rsidRPr="00EF13AB">
              <w:rPr>
                <w:rFonts w:cs="Times New Roman"/>
                <w:sz w:val="24"/>
                <w:szCs w:val="28"/>
              </w:rPr>
              <w:fldChar w:fldCharType="end"/>
            </w:r>
          </w:p>
        </w:tc>
        <w:tc>
          <w:tcPr>
            <w:tcW w:w="1843" w:type="dxa"/>
            <w:shd w:val="clear" w:color="auto" w:fill="auto"/>
          </w:tcPr>
          <w:p w14:paraId="33A88612" w14:textId="77777777" w:rsidR="00EF13AB" w:rsidRPr="00EF13AB" w:rsidRDefault="00EF13AB" w:rsidP="00EF13AB">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 xml:space="preserve">Псориатический артрит </w:t>
            </w:r>
          </w:p>
        </w:tc>
        <w:tc>
          <w:tcPr>
            <w:tcW w:w="1701" w:type="dxa"/>
            <w:shd w:val="clear" w:color="auto" w:fill="auto"/>
          </w:tcPr>
          <w:p w14:paraId="632C3A74" w14:textId="77777777" w:rsidR="00EF13AB" w:rsidRPr="00EF13AB" w:rsidRDefault="00EF13AB" w:rsidP="00EF13AB">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Кавказцы</w:t>
            </w:r>
          </w:p>
        </w:tc>
        <w:tc>
          <w:tcPr>
            <w:tcW w:w="1275" w:type="dxa"/>
            <w:shd w:val="clear" w:color="auto" w:fill="auto"/>
          </w:tcPr>
          <w:p w14:paraId="32CB4CC8" w14:textId="77777777" w:rsidR="00EF13AB" w:rsidRPr="00EF13AB" w:rsidRDefault="00EF13AB" w:rsidP="00EF13AB">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212</w:t>
            </w:r>
          </w:p>
        </w:tc>
        <w:tc>
          <w:tcPr>
            <w:tcW w:w="1560" w:type="dxa"/>
            <w:shd w:val="clear" w:color="auto" w:fill="auto"/>
          </w:tcPr>
          <w:p w14:paraId="3C4D69ED" w14:textId="77777777" w:rsidR="00EF13AB" w:rsidRPr="00EF13AB" w:rsidRDefault="00EF13AB" w:rsidP="00EF13AB">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r w:rsidRPr="00EF13AB">
              <w:rPr>
                <w:rFonts w:cs="Times New Roman"/>
                <w:bCs/>
                <w:color w:val="auto"/>
                <w:sz w:val="24"/>
                <w:szCs w:val="28"/>
              </w:rPr>
              <w:t>150</w:t>
            </w:r>
          </w:p>
        </w:tc>
        <w:tc>
          <w:tcPr>
            <w:tcW w:w="1842" w:type="dxa"/>
            <w:shd w:val="clear" w:color="auto" w:fill="auto"/>
          </w:tcPr>
          <w:p w14:paraId="00E577B4" w14:textId="77777777" w:rsidR="00EF13AB" w:rsidRPr="00EF13AB" w:rsidRDefault="00EF13AB" w:rsidP="00EF13AB">
            <w:pPr>
              <w:contextualSpacing/>
              <w:jc w:val="both"/>
              <w:cnfStyle w:val="000000000000" w:firstRow="0" w:lastRow="0" w:firstColumn="0" w:lastColumn="0" w:oddVBand="0" w:evenVBand="0" w:oddHBand="0" w:evenHBand="0" w:firstRowFirstColumn="0" w:firstRowLastColumn="0" w:lastRowFirstColumn="0" w:lastRowLastColumn="0"/>
              <w:rPr>
                <w:rFonts w:cs="Times New Roman"/>
                <w:bCs/>
                <w:color w:val="auto"/>
                <w:sz w:val="24"/>
                <w:szCs w:val="28"/>
              </w:rPr>
            </w:pPr>
            <w:proofErr w:type="gramStart"/>
            <w:r w:rsidRPr="00EF13AB">
              <w:rPr>
                <w:rFonts w:cs="Times New Roman"/>
                <w:bCs/>
                <w:color w:val="auto"/>
                <w:sz w:val="24"/>
                <w:szCs w:val="28"/>
              </w:rPr>
              <w:t>Р</w:t>
            </w:r>
            <w:proofErr w:type="gramEnd"/>
            <w:r w:rsidRPr="00EF13AB">
              <w:rPr>
                <w:rFonts w:cs="Times New Roman"/>
                <w:bCs/>
                <w:color w:val="auto"/>
                <w:sz w:val="24"/>
                <w:szCs w:val="28"/>
              </w:rPr>
              <w:t>=0,05</w:t>
            </w:r>
          </w:p>
        </w:tc>
      </w:tr>
    </w:tbl>
    <w:p w14:paraId="6B5AA72E" w14:textId="77777777" w:rsidR="00EF13AB" w:rsidRDefault="00EF13AB" w:rsidP="00167A90">
      <w:pPr>
        <w:spacing w:after="0" w:line="240" w:lineRule="auto"/>
        <w:ind w:firstLine="708"/>
        <w:contextualSpacing/>
        <w:jc w:val="both"/>
        <w:rPr>
          <w:rFonts w:cs="Times New Roman"/>
          <w:szCs w:val="28"/>
        </w:rPr>
      </w:pPr>
    </w:p>
    <w:p w14:paraId="660D577C" w14:textId="19B261B2" w:rsidR="00A31D94" w:rsidRPr="002B136D" w:rsidRDefault="00F00A2C" w:rsidP="00EF13AB">
      <w:pPr>
        <w:spacing w:after="0" w:line="240" w:lineRule="auto"/>
        <w:ind w:firstLine="567"/>
        <w:contextualSpacing/>
        <w:jc w:val="both"/>
        <w:rPr>
          <w:rFonts w:cs="Times New Roman"/>
          <w:szCs w:val="28"/>
        </w:rPr>
      </w:pPr>
      <w:r w:rsidRPr="002B136D">
        <w:rPr>
          <w:rFonts w:cs="Times New Roman"/>
          <w:szCs w:val="28"/>
        </w:rPr>
        <w:t>В качестве генетического маркера при</w:t>
      </w:r>
      <w:r w:rsidR="00D77B6D" w:rsidRPr="002B136D">
        <w:rPr>
          <w:rFonts w:cs="Times New Roman"/>
          <w:szCs w:val="28"/>
        </w:rPr>
        <w:t xml:space="preserve"> </w:t>
      </w:r>
      <w:r w:rsidRPr="002B136D">
        <w:rPr>
          <w:rFonts w:cs="Times New Roman"/>
          <w:szCs w:val="28"/>
        </w:rPr>
        <w:t>различных а</w:t>
      </w:r>
      <w:r w:rsidR="00DA484D" w:rsidRPr="002B136D">
        <w:rPr>
          <w:rFonts w:cs="Times New Roman"/>
          <w:szCs w:val="28"/>
        </w:rPr>
        <w:t>утоиммунных патологиях изучался</w:t>
      </w:r>
      <w:r w:rsidRPr="002B136D">
        <w:rPr>
          <w:rFonts w:cs="Times New Roman"/>
          <w:szCs w:val="28"/>
        </w:rPr>
        <w:t xml:space="preserve"> полиморфизм </w:t>
      </w:r>
      <w:r w:rsidRPr="002B136D">
        <w:rPr>
          <w:rFonts w:cs="Times New Roman"/>
          <w:szCs w:val="28"/>
          <w:lang w:val="en-US"/>
        </w:rPr>
        <w:t>IL</w:t>
      </w:r>
      <w:r w:rsidRPr="002B136D">
        <w:rPr>
          <w:rFonts w:cs="Times New Roman"/>
          <w:szCs w:val="28"/>
        </w:rPr>
        <w:t>-38.</w:t>
      </w:r>
      <w:r w:rsidR="00D77B6D" w:rsidRPr="002B136D">
        <w:rPr>
          <w:rFonts w:cs="Times New Roman"/>
          <w:szCs w:val="28"/>
        </w:rPr>
        <w:t xml:space="preserve"> </w:t>
      </w:r>
      <w:r w:rsidR="00C11F79" w:rsidRPr="002B136D">
        <w:rPr>
          <w:rFonts w:cs="Times New Roman"/>
          <w:szCs w:val="28"/>
        </w:rPr>
        <w:t>Также, полиморфизм</w:t>
      </w:r>
      <w:r w:rsidR="00D77B6D" w:rsidRPr="002B136D">
        <w:rPr>
          <w:rFonts w:cs="Times New Roman"/>
          <w:szCs w:val="28"/>
        </w:rPr>
        <w:t xml:space="preserve"> </w:t>
      </w:r>
      <w:r w:rsidR="00C11F79" w:rsidRPr="002B136D">
        <w:rPr>
          <w:rFonts w:cs="Times New Roman"/>
          <w:szCs w:val="28"/>
          <w:lang w:val="en-US"/>
        </w:rPr>
        <w:t>rs</w:t>
      </w:r>
      <w:r w:rsidR="00C11F79" w:rsidRPr="002B136D">
        <w:rPr>
          <w:rFonts w:cs="Times New Roman"/>
          <w:szCs w:val="28"/>
        </w:rPr>
        <w:t xml:space="preserve">7570267 с гомозиготным </w:t>
      </w:r>
      <w:r w:rsidR="00C11F79" w:rsidRPr="002B136D">
        <w:rPr>
          <w:rFonts w:cs="Times New Roman"/>
          <w:szCs w:val="28"/>
          <w:lang w:val="en-US"/>
        </w:rPr>
        <w:t>AA</w:t>
      </w:r>
      <w:r w:rsidR="00C11F79" w:rsidRPr="002B136D">
        <w:rPr>
          <w:rFonts w:cs="Times New Roman"/>
          <w:szCs w:val="28"/>
        </w:rPr>
        <w:t xml:space="preserve"> генотипом</w:t>
      </w:r>
      <w:r w:rsidR="00D77B6D" w:rsidRPr="002B136D">
        <w:rPr>
          <w:rFonts w:cs="Times New Roman"/>
          <w:szCs w:val="28"/>
        </w:rPr>
        <w:t xml:space="preserve"> </w:t>
      </w:r>
      <w:r w:rsidR="00C11F79" w:rsidRPr="002B136D">
        <w:rPr>
          <w:rFonts w:cs="Times New Roman"/>
          <w:szCs w:val="28"/>
          <w:lang w:val="en-US"/>
        </w:rPr>
        <w:t>IL</w:t>
      </w:r>
      <w:r w:rsidR="00C11F79" w:rsidRPr="002B136D">
        <w:rPr>
          <w:rFonts w:cs="Times New Roman"/>
          <w:szCs w:val="28"/>
        </w:rPr>
        <w:t>-17</w:t>
      </w:r>
      <w:r w:rsidR="00C11F79" w:rsidRPr="002B136D">
        <w:rPr>
          <w:rFonts w:cs="Times New Roman"/>
          <w:szCs w:val="28"/>
          <w:lang w:val="en-US"/>
        </w:rPr>
        <w:t>F</w:t>
      </w:r>
      <w:r w:rsidR="00C11F79" w:rsidRPr="002B136D">
        <w:rPr>
          <w:rFonts w:cs="Times New Roman"/>
          <w:szCs w:val="28"/>
        </w:rPr>
        <w:t xml:space="preserve"> </w:t>
      </w:r>
      <w:r w:rsidR="00C11F79" w:rsidRPr="002B136D">
        <w:rPr>
          <w:rFonts w:cs="Times New Roman"/>
          <w:szCs w:val="28"/>
          <w:lang w:val="kk-KZ"/>
        </w:rPr>
        <w:t>при болезни Бехчета показал повшение</w:t>
      </w:r>
      <w:r w:rsidR="00D77B6D" w:rsidRPr="002B136D">
        <w:rPr>
          <w:rFonts w:cs="Times New Roman"/>
          <w:szCs w:val="28"/>
          <w:lang w:val="kk-KZ"/>
        </w:rPr>
        <w:t xml:space="preserve"> </w:t>
      </w:r>
      <w:r w:rsidR="00C11F79" w:rsidRPr="002B136D">
        <w:rPr>
          <w:rFonts w:cs="Times New Roman"/>
          <w:szCs w:val="28"/>
          <w:lang w:val="kk-KZ"/>
        </w:rPr>
        <w:t xml:space="preserve">на 30% шанса развития аутоиммунного процесса </w:t>
      </w:r>
      <w:r w:rsidR="00CA5574" w:rsidRPr="002B136D">
        <w:rPr>
          <w:rFonts w:cs="Times New Roman"/>
          <w:szCs w:val="28"/>
          <w:lang w:val="en-US"/>
        </w:rPr>
        <w:fldChar w:fldCharType="begin"/>
      </w:r>
      <w:r w:rsidR="00A6759A" w:rsidRPr="002B136D">
        <w:rPr>
          <w:rFonts w:cs="Times New Roman"/>
          <w:szCs w:val="28"/>
        </w:rPr>
        <w:instrText xml:space="preserve"> ADDIN ZOTERO_ITEM CSL_CITATION {"citationID":"qxmZDhYx","properties":{"formattedCitation":"[168]","plainCitation":"[168]","noteIndex":0},"citationItems":[{"id":368,"uris":["http://zotero.org/users/8237658/items/JBFJQMH8"],"itemData":{"id":368,"type":"book","title":"Tan H, Deng B, Yu H, Yang Y, Ding L, Zhang Q, Qin J, Kijlstra A, Chen R, Yang P. Genetic analysis of innate immunity in Behcet's disease identifies an association with IL-37 and IL-18RAP. Sci Rep. 2016 Oct 24;6:35802. doi: 10.1038/srep35802. PMID: 27775096; PMCID: PMC5075872."}}],"schema":"https://github.com/citation-style-language/schema/raw/master/csl-citation.json"} </w:instrText>
      </w:r>
      <w:r w:rsidR="00CA5574" w:rsidRPr="002B136D">
        <w:rPr>
          <w:rFonts w:cs="Times New Roman"/>
          <w:szCs w:val="28"/>
          <w:lang w:val="en-US"/>
        </w:rPr>
        <w:fldChar w:fldCharType="separate"/>
      </w:r>
      <w:r w:rsidR="00A6759A" w:rsidRPr="002B136D">
        <w:rPr>
          <w:rFonts w:cs="Times New Roman"/>
        </w:rPr>
        <w:t>[168]</w:t>
      </w:r>
      <w:r w:rsidR="00CA5574" w:rsidRPr="002B136D">
        <w:rPr>
          <w:rFonts w:cs="Times New Roman"/>
          <w:szCs w:val="28"/>
          <w:lang w:val="en-US"/>
        </w:rPr>
        <w:fldChar w:fldCharType="end"/>
      </w:r>
      <w:r w:rsidR="00C11F79" w:rsidRPr="002B136D">
        <w:rPr>
          <w:rFonts w:cs="Times New Roman"/>
          <w:szCs w:val="28"/>
        </w:rPr>
        <w:t>.</w:t>
      </w:r>
      <w:r w:rsidRPr="002B136D">
        <w:rPr>
          <w:rFonts w:cs="Times New Roman"/>
          <w:szCs w:val="28"/>
        </w:rPr>
        <w:t xml:space="preserve"> </w:t>
      </w:r>
    </w:p>
    <w:p w14:paraId="28E21F3E" w14:textId="1DAAD216" w:rsidR="00A31D94" w:rsidRPr="002B136D" w:rsidRDefault="00F00A2C" w:rsidP="00EF13AB">
      <w:pPr>
        <w:spacing w:after="0" w:line="240" w:lineRule="auto"/>
        <w:ind w:firstLine="567"/>
        <w:contextualSpacing/>
        <w:jc w:val="both"/>
        <w:rPr>
          <w:rFonts w:cs="Times New Roman"/>
          <w:szCs w:val="28"/>
        </w:rPr>
      </w:pPr>
      <w:r w:rsidRPr="002B136D">
        <w:rPr>
          <w:rFonts w:cs="Times New Roman"/>
          <w:szCs w:val="28"/>
        </w:rPr>
        <w:t>Однако нет данных по этим в</w:t>
      </w:r>
      <w:r w:rsidR="00DA484D" w:rsidRPr="002B136D">
        <w:rPr>
          <w:rFonts w:cs="Times New Roman"/>
          <w:szCs w:val="28"/>
        </w:rPr>
        <w:t>ариациям в генах</w:t>
      </w:r>
      <w:r w:rsidR="001D0703" w:rsidRPr="002B136D">
        <w:rPr>
          <w:rFonts w:cs="Times New Roman"/>
          <w:szCs w:val="28"/>
        </w:rPr>
        <w:t>,</w:t>
      </w:r>
      <w:r w:rsidR="00DA484D" w:rsidRPr="002B136D">
        <w:rPr>
          <w:rFonts w:cs="Times New Roman"/>
          <w:szCs w:val="28"/>
        </w:rPr>
        <w:t xml:space="preserve"> кодирующих эти интерлейкины</w:t>
      </w:r>
      <w:r w:rsidRPr="002B136D">
        <w:rPr>
          <w:rFonts w:cs="Times New Roman"/>
          <w:szCs w:val="28"/>
        </w:rPr>
        <w:t xml:space="preserve"> при патологиях ЩЖ и ЭОП.</w:t>
      </w:r>
      <w:r w:rsidR="00D77B6D" w:rsidRPr="002B136D">
        <w:rPr>
          <w:rFonts w:cs="Times New Roman"/>
          <w:szCs w:val="28"/>
        </w:rPr>
        <w:t xml:space="preserve"> </w:t>
      </w:r>
      <w:r w:rsidR="00945E29" w:rsidRPr="002B136D">
        <w:rPr>
          <w:rFonts w:cs="Times New Roman"/>
          <w:szCs w:val="28"/>
        </w:rPr>
        <w:t xml:space="preserve">Поскольку большинство аутоиммунных заболеваний имеют сходный патогенез и связаны с различными общими генетическими вариациями, мы предложили гипотезу о том, что некоторые полиморфизмы в генах кодирующих </w:t>
      </w:r>
      <w:r w:rsidR="00945E29" w:rsidRPr="002B136D">
        <w:rPr>
          <w:rFonts w:cs="Times New Roman"/>
          <w:szCs w:val="28"/>
          <w:lang w:val="en-US"/>
        </w:rPr>
        <w:t>IL</w:t>
      </w:r>
      <w:r w:rsidR="00945E29" w:rsidRPr="002B136D">
        <w:rPr>
          <w:rFonts w:cs="Times New Roman"/>
          <w:szCs w:val="28"/>
        </w:rPr>
        <w:t xml:space="preserve">-17 и </w:t>
      </w:r>
      <w:r w:rsidR="00945E29" w:rsidRPr="002B136D">
        <w:rPr>
          <w:rFonts w:cs="Times New Roman"/>
          <w:szCs w:val="28"/>
          <w:lang w:val="en-US"/>
        </w:rPr>
        <w:t>IL</w:t>
      </w:r>
      <w:r w:rsidR="00945E29" w:rsidRPr="002B136D">
        <w:rPr>
          <w:rFonts w:cs="Times New Roman"/>
          <w:szCs w:val="28"/>
        </w:rPr>
        <w:t>-38</w:t>
      </w:r>
      <w:r w:rsidR="001D0703" w:rsidRPr="002B136D">
        <w:rPr>
          <w:rFonts w:cs="Times New Roman"/>
          <w:szCs w:val="28"/>
        </w:rPr>
        <w:t>,</w:t>
      </w:r>
      <w:r w:rsidR="00945E29" w:rsidRPr="002B136D">
        <w:rPr>
          <w:rFonts w:cs="Times New Roman"/>
          <w:szCs w:val="28"/>
        </w:rPr>
        <w:t xml:space="preserve"> могут быть генетическими факторами, коррелирующими с развитием ЭОП среди </w:t>
      </w:r>
      <w:r w:rsidR="0038552C" w:rsidRPr="002B136D">
        <w:rPr>
          <w:rFonts w:cs="Times New Roman"/>
          <w:szCs w:val="28"/>
        </w:rPr>
        <w:t>пациентов</w:t>
      </w:r>
      <w:r w:rsidR="00945E29" w:rsidRPr="002B136D">
        <w:rPr>
          <w:rFonts w:cs="Times New Roman"/>
          <w:szCs w:val="28"/>
        </w:rPr>
        <w:t xml:space="preserve"> с патологией ЩЖ. </w:t>
      </w:r>
      <w:r w:rsidR="007C09CB" w:rsidRPr="002B136D">
        <w:rPr>
          <w:rFonts w:cs="Times New Roman"/>
          <w:szCs w:val="28"/>
        </w:rPr>
        <w:t xml:space="preserve">Тем самым, считаем перспективным изучение генетической предрасположенности пациентов к развитию ЭОП среди </w:t>
      </w:r>
      <w:r w:rsidR="0038552C" w:rsidRPr="002B136D">
        <w:rPr>
          <w:rFonts w:cs="Times New Roman"/>
          <w:szCs w:val="28"/>
        </w:rPr>
        <w:t>пациентов</w:t>
      </w:r>
      <w:r w:rsidR="007C09CB" w:rsidRPr="002B136D">
        <w:rPr>
          <w:rFonts w:cs="Times New Roman"/>
          <w:szCs w:val="28"/>
        </w:rPr>
        <w:t xml:space="preserve"> с патологией ЩЖ.</w:t>
      </w:r>
    </w:p>
    <w:p w14:paraId="7195C0A0" w14:textId="612C1113" w:rsidR="007A485C" w:rsidRPr="002B136D" w:rsidRDefault="00E25FA1" w:rsidP="00EF13AB">
      <w:pPr>
        <w:spacing w:after="0" w:line="240" w:lineRule="auto"/>
        <w:ind w:firstLine="567"/>
        <w:contextualSpacing/>
        <w:jc w:val="both"/>
        <w:rPr>
          <w:rFonts w:cs="Times New Roman"/>
          <w:szCs w:val="28"/>
          <w:lang w:val="kk-KZ"/>
        </w:rPr>
      </w:pPr>
      <w:r w:rsidRPr="002B136D">
        <w:rPr>
          <w:rFonts w:cs="Times New Roman"/>
          <w:szCs w:val="28"/>
          <w:lang w:val="kk-KZ"/>
        </w:rPr>
        <w:t xml:space="preserve">По данным ВОЗ, заболевания щитовидной железы занимают второе место среди эндокринных нарушений после сахарного диабета </w:t>
      </w:r>
      <w:r w:rsidRPr="002B136D">
        <w:rPr>
          <w:rFonts w:cs="Times New Roman"/>
          <w:szCs w:val="28"/>
        </w:rPr>
        <w:fldChar w:fldCharType="begin"/>
      </w:r>
      <w:r w:rsidR="00A6759A" w:rsidRPr="002B136D">
        <w:rPr>
          <w:rFonts w:cs="Times New Roman"/>
          <w:szCs w:val="28"/>
        </w:rPr>
        <w:instrText xml:space="preserve"> ADDIN ZOTERO_ITEM CSL_CITATION {"citationID":"ewZ41qfH","properties":{"formattedCitation":"[169]","plainCitation":"[169]","noteIndex":0},"citationItems":[{"id":529,"uris":["http://zotero.org/users/8237658/items/74JUNKWC"],"itemData":{"id":529,"type":"book","title":"Дедов И.И. Сахарный диабет – опаснейший вызов мировому сообществу // Вестник РАМН. - 2012. - № 1. - С. 7–13."}}],"schema":"https://github.com/citation-style-language/schema/raw/master/csl-citation.json"} </w:instrText>
      </w:r>
      <w:r w:rsidRPr="002B136D">
        <w:rPr>
          <w:rFonts w:cs="Times New Roman"/>
          <w:szCs w:val="28"/>
        </w:rPr>
        <w:fldChar w:fldCharType="separate"/>
      </w:r>
      <w:r w:rsidR="00A6759A" w:rsidRPr="002B136D">
        <w:rPr>
          <w:rFonts w:cs="Times New Roman"/>
        </w:rPr>
        <w:t>[169]</w:t>
      </w:r>
      <w:r w:rsidRPr="002B136D">
        <w:rPr>
          <w:rFonts w:cs="Times New Roman"/>
          <w:szCs w:val="28"/>
        </w:rPr>
        <w:fldChar w:fldCharType="end"/>
      </w:r>
      <w:r w:rsidRPr="002B136D">
        <w:rPr>
          <w:rFonts w:cs="Times New Roman"/>
          <w:szCs w:val="28"/>
        </w:rPr>
        <w:t xml:space="preserve">. Более 665 миллионов человек в мире страдают от эндемического зоба, который приводит к нарушению функций этой железы. Кроме того, 1,5 миллиарда людей находятся под риском развития йоддефицитных заболеваний </w:t>
      </w:r>
      <w:r w:rsidRPr="002B136D">
        <w:rPr>
          <w:rFonts w:cs="Times New Roman"/>
          <w:szCs w:val="28"/>
        </w:rPr>
        <w:fldChar w:fldCharType="begin"/>
      </w:r>
      <w:r w:rsidR="00A6759A" w:rsidRPr="002B136D">
        <w:rPr>
          <w:rFonts w:cs="Times New Roman"/>
          <w:szCs w:val="28"/>
        </w:rPr>
        <w:instrText xml:space="preserve"> ADDIN ZOTERO_ITEM CSL_CITATION {"citationID":"0Wg5TsBG","properties":{"formattedCitation":"[170]","plainCitation":"[170]","noteIndex":0},"citationItems":[{"id":530,"uris":["http://zotero.org/users/8237658/items/YPUJX72A"],"itemData":{"id":530,"type":"book","title":"Аблаев Э.Э., Безруков О.Ф., Зима Д.В. Заболевания щитовидно-паращитовидного комплекса как социальная проблема // ТМБВ. 2017. №3-1. URL: https://cyberleninka.ru/article/n/zabolevaniya-schitovidno-paraschitovidnogo-kompleksa-kak-sotsialnaya-problema (дата обращения: 21.09.2024)."}}],"schema":"https://github.com/citation-style-language/schema/raw/master/csl-citation.json"} </w:instrText>
      </w:r>
      <w:r w:rsidRPr="002B136D">
        <w:rPr>
          <w:rFonts w:cs="Times New Roman"/>
          <w:szCs w:val="28"/>
        </w:rPr>
        <w:fldChar w:fldCharType="separate"/>
      </w:r>
      <w:r w:rsidR="00A6759A" w:rsidRPr="002B136D">
        <w:rPr>
          <w:rFonts w:cs="Times New Roman"/>
        </w:rPr>
        <w:t>[170]</w:t>
      </w:r>
      <w:r w:rsidRPr="002B136D">
        <w:rPr>
          <w:rFonts w:cs="Times New Roman"/>
          <w:szCs w:val="28"/>
        </w:rPr>
        <w:fldChar w:fldCharType="end"/>
      </w:r>
      <w:r w:rsidRPr="002B136D">
        <w:rPr>
          <w:rFonts w:cs="Times New Roman"/>
          <w:szCs w:val="28"/>
        </w:rPr>
        <w:t xml:space="preserve">. А в специализированных офтальмологических центрах у 50% больных с дисфункцией ЩЖ можно диагностировать ЭОП </w:t>
      </w:r>
      <w:r w:rsidRPr="002B136D">
        <w:rPr>
          <w:rFonts w:cs="Times New Roman"/>
          <w:szCs w:val="28"/>
        </w:rPr>
        <w:fldChar w:fldCharType="begin"/>
      </w:r>
      <w:r w:rsidR="00A6759A" w:rsidRPr="002B136D">
        <w:rPr>
          <w:rFonts w:cs="Times New Roman"/>
          <w:szCs w:val="28"/>
        </w:rPr>
        <w:instrText xml:space="preserve"> ADDIN ZOTERO_ITEM CSL_CITATION {"citationID":"X6YMXbGF","properties":{"formattedCitation":"[171]","plainCitation":"[171]","noteIndex":0},"citationItems":[{"id":594,"uris":["http://zotero.org/users/8237658/items/3CIFT564"],"itemData":{"id":594,"type":"book","title":"Bartalena L, Kahaly GJ, Baldeschi L, Dayan CM, Eckstein A, Marcocci C, Marinò M, Vaidya B, Wiersinga WM; EUGOGO †. The 2021 European Group on Graves' orbitopathy (EUGOGO) clinical practice guidelines for the medical management of Graves' orbitopathy. Eur J Endocrinol. 2021 Aug 27;185(4):G43-G67. doi: 10.1530/EJE-21-0479. PMID: 34297684."}}],"schema":"https://github.com/citation-style-language/schema/raw/master/csl-citation.json"} </w:instrText>
      </w:r>
      <w:r w:rsidRPr="002B136D">
        <w:rPr>
          <w:rFonts w:cs="Times New Roman"/>
          <w:szCs w:val="28"/>
        </w:rPr>
        <w:fldChar w:fldCharType="separate"/>
      </w:r>
      <w:r w:rsidR="00A6759A" w:rsidRPr="002B136D">
        <w:rPr>
          <w:rFonts w:cs="Times New Roman"/>
        </w:rPr>
        <w:t>[171]</w:t>
      </w:r>
      <w:r w:rsidRPr="002B136D">
        <w:rPr>
          <w:rFonts w:cs="Times New Roman"/>
          <w:szCs w:val="28"/>
        </w:rPr>
        <w:fldChar w:fldCharType="end"/>
      </w:r>
      <w:r w:rsidRPr="002B136D">
        <w:rPr>
          <w:rFonts w:cs="Times New Roman"/>
          <w:szCs w:val="28"/>
        </w:rPr>
        <w:t xml:space="preserve">. Все эти лица имеют повышенный риск развития тяжелых форм ЭОП при неблагоприятных обстоятельствах окружающей среды и генетической предрасположенности. </w:t>
      </w:r>
      <w:proofErr w:type="gramStart"/>
      <w:r w:rsidRPr="002B136D">
        <w:rPr>
          <w:rFonts w:cs="Times New Roman"/>
          <w:szCs w:val="28"/>
        </w:rPr>
        <w:t>Поте</w:t>
      </w:r>
      <w:r w:rsidR="00777718" w:rsidRPr="002B136D">
        <w:rPr>
          <w:rFonts w:cs="Times New Roman"/>
          <w:szCs w:val="28"/>
        </w:rPr>
        <w:t>ря зрения, снижение функции</w:t>
      </w:r>
      <w:r w:rsidRPr="002B136D">
        <w:rPr>
          <w:rFonts w:cs="Times New Roman"/>
          <w:szCs w:val="28"/>
        </w:rPr>
        <w:t xml:space="preserve"> глазодвигательных мышц, периодическое или постоянное двоение (зачёт фиброза), включения дополнительных осложнений со стороны глазного яблоко (эрозия роговицы, вторичная глаукома), которые оказывают глубокое и драматическое влияние на качество жизни больных и остаются сложной терапевтической задачей, часто требующей длительной и многократной медикаментозной и хирургической терапии </w:t>
      </w:r>
      <w:proofErr w:type="gramEnd"/>
      <w:r w:rsidRPr="002B136D">
        <w:rPr>
          <w:rFonts w:cs="Times New Roman"/>
          <w:szCs w:val="28"/>
          <w:lang w:val="en-US"/>
        </w:rPr>
        <w:fldChar w:fldCharType="begin"/>
      </w:r>
      <w:r w:rsidR="00A6759A" w:rsidRPr="002B136D">
        <w:rPr>
          <w:rFonts w:cs="Times New Roman"/>
          <w:szCs w:val="28"/>
        </w:rPr>
        <w:instrText xml:space="preserve"> ADDIN ZOTERO_ITEM CSL_CITATION {"citationID":"x93v4fPK","properties":{"formattedCitation":"[172,173]","plainCitation":"[172,173]","noteIndex":0},"citationItems":[{"id":524,"uris":["http://zotero.org/users/8237658/items/BFRS2ZJD"],"itemData":{"id":524,"type":"book","title":"Smith TJ, Hegedüs L, Lesser I, Perros P, Dorris K, Kinrade M, Troy-Ott P, Wuerth L, Nori M. How patients experience thyroid eye disease. Front Endocrinol (Lausanne). 2023 Nov 9;14:1283374. doi: 10.3389/fendo.2023.1283374. PMID: 38027128; PMCID: PMC10665908."},"label":"page"},{"id":527,"uris":["http://zotero.org/users/8237658/items/2HKQXLMI"],"itemData":{"id":527,"type":"book","title":"Sharma A, Stan MN, Rootman DB. Measuring Health-Related Quality of Life in Thyroid Eye Disease. J Clin Endocrinol Metab. 2022 Aug 8;107(Suppl_1):S27-S35. doi: 10.1210/clinem/dgac230. PMID: 36346683; PMCID: PMC9359445."},"label":"page"}],"schema":"https://github.com/citation-style-language/schema/raw/master/csl-citation.json"} </w:instrText>
      </w:r>
      <w:r w:rsidRPr="002B136D">
        <w:rPr>
          <w:rFonts w:cs="Times New Roman"/>
          <w:szCs w:val="28"/>
          <w:lang w:val="en-US"/>
        </w:rPr>
        <w:fldChar w:fldCharType="separate"/>
      </w:r>
      <w:r w:rsidR="00A6759A" w:rsidRPr="002B136D">
        <w:rPr>
          <w:rFonts w:cs="Times New Roman"/>
        </w:rPr>
        <w:t>[172,173]</w:t>
      </w:r>
      <w:r w:rsidRPr="002B136D">
        <w:rPr>
          <w:rFonts w:cs="Times New Roman"/>
          <w:szCs w:val="28"/>
        </w:rPr>
        <w:fldChar w:fldCharType="end"/>
      </w:r>
      <w:proofErr w:type="gramStart"/>
      <w:r w:rsidRPr="002B136D">
        <w:rPr>
          <w:rFonts w:cs="Times New Roman"/>
          <w:szCs w:val="28"/>
        </w:rPr>
        <w:t xml:space="preserve">. </w:t>
      </w:r>
      <w:r w:rsidR="0029368A" w:rsidRPr="002B136D">
        <w:rPr>
          <w:rFonts w:cs="Times New Roman"/>
          <w:szCs w:val="28"/>
        </w:rPr>
        <w:t xml:space="preserve">Так как </w:t>
      </w:r>
      <w:r w:rsidR="0042222F" w:rsidRPr="002B136D">
        <w:rPr>
          <w:rFonts w:cs="Times New Roman"/>
          <w:szCs w:val="28"/>
        </w:rPr>
        <w:t xml:space="preserve">ЭОП является </w:t>
      </w:r>
      <w:r w:rsidR="0029368A" w:rsidRPr="002B136D">
        <w:rPr>
          <w:rFonts w:cs="Times New Roman"/>
          <w:szCs w:val="28"/>
        </w:rPr>
        <w:t>самой распространенной экстратиреоидной патологией</w:t>
      </w:r>
      <w:r w:rsidR="00D77B6D" w:rsidRPr="002B136D">
        <w:rPr>
          <w:rFonts w:cs="Times New Roman"/>
          <w:szCs w:val="28"/>
        </w:rPr>
        <w:t xml:space="preserve"> </w:t>
      </w:r>
      <w:r w:rsidR="0042222F" w:rsidRPr="002B136D">
        <w:rPr>
          <w:rFonts w:cs="Times New Roman"/>
          <w:szCs w:val="28"/>
        </w:rPr>
        <w:t xml:space="preserve">при </w:t>
      </w:r>
      <w:r w:rsidR="00F94669" w:rsidRPr="002B136D">
        <w:rPr>
          <w:rFonts w:cs="Times New Roman"/>
          <w:szCs w:val="28"/>
        </w:rPr>
        <w:t xml:space="preserve">дисфункциях </w:t>
      </w:r>
      <w:r w:rsidR="0042222F" w:rsidRPr="002B136D">
        <w:rPr>
          <w:rFonts w:cs="Times New Roman"/>
          <w:szCs w:val="28"/>
        </w:rPr>
        <w:t>ЩЖ,</w:t>
      </w:r>
      <w:r w:rsidR="00D77B6D" w:rsidRPr="002B136D">
        <w:rPr>
          <w:rFonts w:cs="Times New Roman"/>
          <w:szCs w:val="28"/>
        </w:rPr>
        <w:t xml:space="preserve"> </w:t>
      </w:r>
      <w:r w:rsidR="0042222F" w:rsidRPr="002B136D">
        <w:rPr>
          <w:rFonts w:cs="Times New Roman"/>
          <w:szCs w:val="28"/>
        </w:rPr>
        <w:t>сейчас</w:t>
      </w:r>
      <w:proofErr w:type="gramEnd"/>
      <w:r w:rsidR="00F94669" w:rsidRPr="002B136D">
        <w:rPr>
          <w:rFonts w:cs="Times New Roman"/>
          <w:szCs w:val="28"/>
        </w:rPr>
        <w:t xml:space="preserve"> во всем мире</w:t>
      </w:r>
      <w:r w:rsidR="00D77B6D" w:rsidRPr="002B136D">
        <w:rPr>
          <w:rFonts w:cs="Times New Roman"/>
          <w:szCs w:val="28"/>
        </w:rPr>
        <w:t xml:space="preserve"> </w:t>
      </w:r>
      <w:r w:rsidR="0042222F" w:rsidRPr="002B136D">
        <w:rPr>
          <w:rFonts w:cs="Times New Roman"/>
          <w:szCs w:val="28"/>
        </w:rPr>
        <w:t>хорошо изучается патогенез</w:t>
      </w:r>
      <w:r w:rsidR="00F94669" w:rsidRPr="002B136D">
        <w:rPr>
          <w:rFonts w:cs="Times New Roman"/>
          <w:szCs w:val="28"/>
        </w:rPr>
        <w:t xml:space="preserve"> этой</w:t>
      </w:r>
      <w:r w:rsidR="0042222F" w:rsidRPr="002B136D">
        <w:rPr>
          <w:rFonts w:cs="Times New Roman"/>
          <w:szCs w:val="28"/>
        </w:rPr>
        <w:t xml:space="preserve"> </w:t>
      </w:r>
      <w:r w:rsidR="00F94669" w:rsidRPr="002B136D">
        <w:rPr>
          <w:rFonts w:cs="Times New Roman"/>
          <w:szCs w:val="28"/>
        </w:rPr>
        <w:t xml:space="preserve">болезни. </w:t>
      </w:r>
      <w:r w:rsidR="007A485C" w:rsidRPr="002B136D">
        <w:rPr>
          <w:rFonts w:cs="Times New Roman"/>
          <w:szCs w:val="28"/>
        </w:rPr>
        <w:t xml:space="preserve">Клинически </w:t>
      </w:r>
      <w:proofErr w:type="gramStart"/>
      <w:r w:rsidR="007A485C" w:rsidRPr="002B136D">
        <w:rPr>
          <w:rFonts w:cs="Times New Roman"/>
          <w:szCs w:val="28"/>
        </w:rPr>
        <w:t>выраженная</w:t>
      </w:r>
      <w:proofErr w:type="gramEnd"/>
      <w:r w:rsidR="007A485C" w:rsidRPr="002B136D">
        <w:rPr>
          <w:rFonts w:cs="Times New Roman"/>
          <w:szCs w:val="28"/>
        </w:rPr>
        <w:t xml:space="preserve"> эндокринная офтальмопатия (ЭОП) встречается у 30-50% пациентов с болезнью Грейвса (БГ). Однако, с учетом субклинических форм, фактическая распространенность ЭОП при БГ </w:t>
      </w:r>
      <w:r w:rsidR="007A485C" w:rsidRPr="002B136D">
        <w:rPr>
          <w:rFonts w:cs="Times New Roman"/>
          <w:szCs w:val="28"/>
        </w:rPr>
        <w:lastRenderedPageBreak/>
        <w:t>значительно выше. ЭОП может развиться до манифестации тиреотоксикоза (26,3%), во время него (18,4%) или в период эутиреоза после лечения.</w:t>
      </w:r>
    </w:p>
    <w:p w14:paraId="4DC9EF4B" w14:textId="247F30EE" w:rsidR="008127D3" w:rsidRPr="002B136D" w:rsidRDefault="007A485C" w:rsidP="00EF13AB">
      <w:pPr>
        <w:spacing w:after="0" w:line="240" w:lineRule="auto"/>
        <w:ind w:firstLine="567"/>
        <w:contextualSpacing/>
        <w:jc w:val="both"/>
        <w:rPr>
          <w:rFonts w:cs="Times New Roman"/>
          <w:szCs w:val="28"/>
        </w:rPr>
      </w:pPr>
      <w:r w:rsidRPr="002B136D">
        <w:rPr>
          <w:rFonts w:cs="Times New Roman"/>
          <w:szCs w:val="28"/>
        </w:rPr>
        <w:t>ЭОП прогрессирует стадийно, от отека и инфильтрации тканей орбиты до фиброза, и характеризуется хроническим рецидивирующим течением с разнообразной клинической картиной.</w:t>
      </w:r>
      <w:r w:rsidRPr="002B136D">
        <w:rPr>
          <w:rFonts w:cs="Times New Roman"/>
          <w:szCs w:val="28"/>
          <w:lang w:val="kk-KZ"/>
        </w:rPr>
        <w:t xml:space="preserve"> </w:t>
      </w:r>
      <w:r w:rsidR="008127D3" w:rsidRPr="002B136D">
        <w:rPr>
          <w:rFonts w:cs="Times New Roman"/>
          <w:szCs w:val="28"/>
        </w:rPr>
        <w:t>На</w:t>
      </w:r>
      <w:r w:rsidR="00B0686C">
        <w:rPr>
          <w:rFonts w:cs="Times New Roman"/>
          <w:szCs w:val="28"/>
        </w:rPr>
        <w:t>иболее сложные для диагностики –</w:t>
      </w:r>
      <w:r w:rsidR="008127D3" w:rsidRPr="002B136D">
        <w:rPr>
          <w:rFonts w:cs="Times New Roman"/>
          <w:szCs w:val="28"/>
        </w:rPr>
        <w:t xml:space="preserve"> ранние стадии, когда симптомы могут быть нечеткими или слабо выраженными. Первые жалобы могут напоминать «синдром сухого глаза» (чувство дискомфорта, сухости, нерегулярная покраснение конъюнктивы и др.) или признаки других заболеваний переднего сегмента глаза (слезотечение, светобоязнь и др.), а также непостоянную диплопию (чаще всего по утрам после сна) и отеки век, особенно в утренние часы.</w:t>
      </w:r>
    </w:p>
    <w:p w14:paraId="2B044C7F" w14:textId="009E6487" w:rsidR="00A31D94" w:rsidRPr="002B136D" w:rsidRDefault="00120964" w:rsidP="00EF13AB">
      <w:pPr>
        <w:spacing w:after="0" w:line="240" w:lineRule="auto"/>
        <w:ind w:firstLine="567"/>
        <w:contextualSpacing/>
        <w:jc w:val="both"/>
        <w:rPr>
          <w:rFonts w:cs="Times New Roman"/>
          <w:szCs w:val="28"/>
        </w:rPr>
      </w:pPr>
      <w:r w:rsidRPr="002B136D">
        <w:rPr>
          <w:rFonts w:cs="Times New Roman"/>
          <w:szCs w:val="28"/>
        </w:rPr>
        <w:t>Т</w:t>
      </w:r>
      <w:r w:rsidR="00CB66CB" w:rsidRPr="002B136D">
        <w:rPr>
          <w:rFonts w:cs="Times New Roman"/>
          <w:szCs w:val="28"/>
        </w:rPr>
        <w:t>акже</w:t>
      </w:r>
      <w:r w:rsidRPr="002B136D">
        <w:rPr>
          <w:rFonts w:cs="Times New Roman"/>
          <w:szCs w:val="28"/>
        </w:rPr>
        <w:t>, к диагностическим трудностям могут привести</w:t>
      </w:r>
      <w:r w:rsidR="00CB66CB" w:rsidRPr="002B136D">
        <w:rPr>
          <w:rFonts w:cs="Times New Roman"/>
          <w:szCs w:val="28"/>
        </w:rPr>
        <w:t xml:space="preserve"> атипичные варианты без нарушения функции щитовидной железы или одностороннее поражение орбиты. </w:t>
      </w:r>
      <w:r w:rsidRPr="002B136D">
        <w:rPr>
          <w:rFonts w:cs="Times New Roman"/>
          <w:szCs w:val="28"/>
        </w:rPr>
        <w:t>С учётом стертости начальных симптомов ЭОП, в большинстве случаев упускается активная фаза заболевания,</w:t>
      </w:r>
      <w:r w:rsidR="00D77B6D" w:rsidRPr="002B136D">
        <w:rPr>
          <w:rFonts w:cs="Times New Roman"/>
          <w:szCs w:val="28"/>
        </w:rPr>
        <w:t xml:space="preserve"> </w:t>
      </w:r>
      <w:r w:rsidRPr="002B136D">
        <w:rPr>
          <w:rFonts w:cs="Times New Roman"/>
          <w:szCs w:val="28"/>
        </w:rPr>
        <w:t>когда еще не поз</w:t>
      </w:r>
      <w:r w:rsidR="00F94669" w:rsidRPr="002B136D">
        <w:rPr>
          <w:rFonts w:cs="Times New Roman"/>
          <w:szCs w:val="28"/>
        </w:rPr>
        <w:t>дно вылечить обратимые поражения</w:t>
      </w:r>
      <w:r w:rsidRPr="002B136D">
        <w:rPr>
          <w:rFonts w:cs="Times New Roman"/>
          <w:szCs w:val="28"/>
        </w:rPr>
        <w:t xml:space="preserve"> мягких тканей орбиты. Так как, </w:t>
      </w:r>
      <w:r w:rsidR="00F94669" w:rsidRPr="002B136D">
        <w:rPr>
          <w:rFonts w:cs="Times New Roman"/>
          <w:szCs w:val="28"/>
        </w:rPr>
        <w:t xml:space="preserve">уже известно, что </w:t>
      </w:r>
      <w:r w:rsidRPr="002B136D">
        <w:rPr>
          <w:rFonts w:cs="Times New Roman"/>
          <w:szCs w:val="28"/>
        </w:rPr>
        <w:t xml:space="preserve">в неактивной фазе ЭОП </w:t>
      </w:r>
      <w:r w:rsidR="00A971BC" w:rsidRPr="002B136D">
        <w:rPr>
          <w:rFonts w:cs="Times New Roman"/>
          <w:szCs w:val="28"/>
          <w:lang w:val="kk-KZ"/>
        </w:rPr>
        <w:t xml:space="preserve">уже </w:t>
      </w:r>
      <w:r w:rsidRPr="002B136D">
        <w:rPr>
          <w:rFonts w:cs="Times New Roman"/>
          <w:szCs w:val="28"/>
        </w:rPr>
        <w:t>нарушается подвижность глаз за</w:t>
      </w:r>
      <w:r w:rsidR="00E34BE5" w:rsidRPr="002B136D">
        <w:rPr>
          <w:rFonts w:cs="Times New Roman"/>
          <w:szCs w:val="28"/>
        </w:rPr>
        <w:t xml:space="preserve"> с</w:t>
      </w:r>
      <w:r w:rsidRPr="002B136D">
        <w:rPr>
          <w:rFonts w:cs="Times New Roman"/>
          <w:szCs w:val="28"/>
        </w:rPr>
        <w:t>чёт</w:t>
      </w:r>
      <w:r w:rsidR="00D77B6D" w:rsidRPr="002B136D">
        <w:rPr>
          <w:rFonts w:cs="Times New Roman"/>
          <w:szCs w:val="28"/>
        </w:rPr>
        <w:t xml:space="preserve"> </w:t>
      </w:r>
      <w:r w:rsidRPr="002B136D">
        <w:rPr>
          <w:rFonts w:cs="Times New Roman"/>
          <w:szCs w:val="28"/>
        </w:rPr>
        <w:t>фиброзировани</w:t>
      </w:r>
      <w:r w:rsidR="00E34BE5" w:rsidRPr="002B136D">
        <w:rPr>
          <w:rFonts w:cs="Times New Roman"/>
          <w:szCs w:val="28"/>
        </w:rPr>
        <w:t>я</w:t>
      </w:r>
      <w:r w:rsidRPr="002B136D">
        <w:rPr>
          <w:rFonts w:cs="Times New Roman"/>
          <w:szCs w:val="28"/>
        </w:rPr>
        <w:t xml:space="preserve"> мышечной ткани орбитальной полости. </w:t>
      </w:r>
    </w:p>
    <w:p w14:paraId="61CC2C11" w14:textId="77777777" w:rsidR="00092B89" w:rsidRPr="002B136D" w:rsidRDefault="00092B89" w:rsidP="00EF13AB">
      <w:pPr>
        <w:spacing w:after="0" w:line="240" w:lineRule="auto"/>
        <w:ind w:firstLine="567"/>
        <w:contextualSpacing/>
        <w:jc w:val="both"/>
        <w:rPr>
          <w:rFonts w:cs="Times New Roman"/>
          <w:szCs w:val="28"/>
        </w:rPr>
      </w:pPr>
      <w:r w:rsidRPr="002B136D">
        <w:rPr>
          <w:rFonts w:cs="Times New Roman"/>
          <w:szCs w:val="28"/>
        </w:rPr>
        <w:t>Вследствие указанных проблем, оперативная и точная диагностика затруднена, как и выбор оптимальной терапии в каждом клиническом случае. Сложность своевременной диагностики и лечения ухудшает прогноз. Недостаточно изученный патогенез препятствует разработке унифицированных диагностических и терапевтических протоколов, что осложняет работу клиницистов и снижает качество помощи пациентам.</w:t>
      </w:r>
    </w:p>
    <w:p w14:paraId="1F78EEBF" w14:textId="2DB37F8B" w:rsidR="007E5B74" w:rsidRPr="002B136D" w:rsidRDefault="00E93C1F" w:rsidP="00EF13AB">
      <w:pPr>
        <w:spacing w:after="0" w:line="240" w:lineRule="auto"/>
        <w:ind w:firstLine="567"/>
        <w:contextualSpacing/>
        <w:jc w:val="both"/>
        <w:rPr>
          <w:rFonts w:cs="Times New Roman"/>
          <w:szCs w:val="28"/>
          <w:lang w:val="kk-KZ"/>
        </w:rPr>
      </w:pPr>
      <w:r w:rsidRPr="002B136D">
        <w:rPr>
          <w:rFonts w:cs="Times New Roman"/>
          <w:szCs w:val="28"/>
        </w:rPr>
        <w:t>В</w:t>
      </w:r>
      <w:r w:rsidR="007E5B74" w:rsidRPr="002B136D">
        <w:rPr>
          <w:rFonts w:cs="Times New Roman"/>
          <w:szCs w:val="28"/>
        </w:rPr>
        <w:t xml:space="preserve"> мировой литературе отсутствуют научные исследования о полиморфизме </w:t>
      </w:r>
      <w:proofErr w:type="gramStart"/>
      <w:r w:rsidR="007E5B74" w:rsidRPr="002B136D">
        <w:rPr>
          <w:rFonts w:cs="Times New Roman"/>
          <w:szCs w:val="28"/>
        </w:rPr>
        <w:t>кодирующих</w:t>
      </w:r>
      <w:proofErr w:type="gramEnd"/>
      <w:r w:rsidR="007E5B74" w:rsidRPr="002B136D">
        <w:rPr>
          <w:rFonts w:cs="Times New Roman"/>
          <w:szCs w:val="28"/>
        </w:rPr>
        <w:t xml:space="preserve"> ИЛ-17 и ИЛ-38 в эндокринной патологии орбиты, и наша работа на сегодняшний день является первой в этой области.</w:t>
      </w:r>
    </w:p>
    <w:p w14:paraId="1A859026" w14:textId="77777777" w:rsidR="007A485C" w:rsidRPr="002B136D" w:rsidRDefault="007A485C" w:rsidP="00EF13AB">
      <w:pPr>
        <w:spacing w:after="0" w:line="240" w:lineRule="auto"/>
        <w:ind w:firstLine="567"/>
        <w:contextualSpacing/>
        <w:jc w:val="both"/>
        <w:rPr>
          <w:rFonts w:cs="Times New Roman"/>
          <w:szCs w:val="28"/>
        </w:rPr>
      </w:pPr>
      <w:r w:rsidRPr="002B136D">
        <w:rPr>
          <w:rFonts w:cs="Times New Roman"/>
          <w:szCs w:val="28"/>
        </w:rPr>
        <w:t>Таким образом, существующие методы диагностики эндокринной офтальмопатии (ЭОП) недостаточно информативны. Необходимы углубленное изучение патогенеза аутоиммунного воспаления и фиброза ретробульбарных тканей при ЭОП, а также разработка и исследование новых диагностических подходов. Внедрение таких методик позволит точнее прогнозировать развитие тяжелых форм ЭОП у пациентов с болезнью Грейвса и выявлять ЭОП на ранних стадиях, до развития необратимых осложнений.</w:t>
      </w:r>
    </w:p>
    <w:p w14:paraId="0A061B10" w14:textId="77777777" w:rsidR="00092B89" w:rsidRPr="002B136D" w:rsidRDefault="00092B89" w:rsidP="00EF13AB">
      <w:pPr>
        <w:spacing w:after="0" w:line="240" w:lineRule="auto"/>
        <w:ind w:firstLine="567"/>
        <w:contextualSpacing/>
        <w:jc w:val="both"/>
        <w:rPr>
          <w:rFonts w:cs="Times New Roman"/>
          <w:b/>
          <w:szCs w:val="28"/>
        </w:rPr>
      </w:pPr>
    </w:p>
    <w:p w14:paraId="2748FD1F" w14:textId="77777777" w:rsidR="00092B89" w:rsidRDefault="00092B89" w:rsidP="00EF13AB">
      <w:pPr>
        <w:spacing w:after="0" w:line="240" w:lineRule="auto"/>
        <w:ind w:firstLine="567"/>
        <w:contextualSpacing/>
        <w:jc w:val="both"/>
        <w:rPr>
          <w:rFonts w:cs="Times New Roman"/>
          <w:b/>
          <w:szCs w:val="28"/>
          <w:lang w:val="kk-KZ"/>
        </w:rPr>
      </w:pPr>
    </w:p>
    <w:p w14:paraId="2185FCD1" w14:textId="77777777" w:rsidR="00713B55" w:rsidRDefault="00713B55" w:rsidP="00EF13AB">
      <w:pPr>
        <w:spacing w:after="0" w:line="240" w:lineRule="auto"/>
        <w:ind w:firstLine="567"/>
        <w:contextualSpacing/>
        <w:jc w:val="both"/>
        <w:rPr>
          <w:rFonts w:cs="Times New Roman"/>
          <w:b/>
          <w:szCs w:val="28"/>
          <w:lang w:val="kk-KZ"/>
        </w:rPr>
      </w:pPr>
    </w:p>
    <w:p w14:paraId="2C409D9E" w14:textId="77777777" w:rsidR="00713B55" w:rsidRDefault="00713B55" w:rsidP="00EF13AB">
      <w:pPr>
        <w:spacing w:after="0" w:line="240" w:lineRule="auto"/>
        <w:ind w:firstLine="567"/>
        <w:contextualSpacing/>
        <w:jc w:val="both"/>
        <w:rPr>
          <w:rFonts w:cs="Times New Roman"/>
          <w:b/>
          <w:szCs w:val="28"/>
          <w:lang w:val="kk-KZ"/>
        </w:rPr>
      </w:pPr>
    </w:p>
    <w:p w14:paraId="45EB7902" w14:textId="77777777" w:rsidR="00713B55" w:rsidRDefault="00713B55" w:rsidP="00EF13AB">
      <w:pPr>
        <w:spacing w:after="0" w:line="240" w:lineRule="auto"/>
        <w:ind w:firstLine="567"/>
        <w:contextualSpacing/>
        <w:jc w:val="both"/>
        <w:rPr>
          <w:rFonts w:cs="Times New Roman"/>
          <w:b/>
          <w:szCs w:val="28"/>
          <w:lang w:val="kk-KZ"/>
        </w:rPr>
      </w:pPr>
    </w:p>
    <w:p w14:paraId="758E2DEC" w14:textId="77777777" w:rsidR="00713B55" w:rsidRDefault="00713B55" w:rsidP="00EF13AB">
      <w:pPr>
        <w:spacing w:after="0" w:line="240" w:lineRule="auto"/>
        <w:ind w:firstLine="567"/>
        <w:contextualSpacing/>
        <w:jc w:val="both"/>
        <w:rPr>
          <w:rFonts w:cs="Times New Roman"/>
          <w:b/>
          <w:szCs w:val="28"/>
          <w:lang w:val="kk-KZ"/>
        </w:rPr>
      </w:pPr>
    </w:p>
    <w:p w14:paraId="6A849BA9" w14:textId="77777777" w:rsidR="00713B55" w:rsidRPr="002B136D" w:rsidRDefault="00713B55" w:rsidP="00EF13AB">
      <w:pPr>
        <w:spacing w:after="0" w:line="240" w:lineRule="auto"/>
        <w:ind w:firstLine="567"/>
        <w:contextualSpacing/>
        <w:jc w:val="both"/>
        <w:rPr>
          <w:rFonts w:cs="Times New Roman"/>
          <w:b/>
          <w:szCs w:val="28"/>
          <w:lang w:val="kk-KZ"/>
        </w:rPr>
      </w:pPr>
    </w:p>
    <w:p w14:paraId="36234C9A" w14:textId="77777777" w:rsidR="00092B89" w:rsidRPr="002B136D" w:rsidRDefault="00092B89" w:rsidP="00EF13AB">
      <w:pPr>
        <w:spacing w:after="0" w:line="240" w:lineRule="auto"/>
        <w:ind w:firstLine="567"/>
        <w:contextualSpacing/>
        <w:jc w:val="both"/>
        <w:rPr>
          <w:rFonts w:cs="Times New Roman"/>
          <w:b/>
          <w:szCs w:val="28"/>
          <w:lang w:val="kk-KZ"/>
        </w:rPr>
      </w:pPr>
    </w:p>
    <w:p w14:paraId="033E8E95" w14:textId="77777777" w:rsidR="00092B89" w:rsidRPr="002B136D" w:rsidRDefault="00092B89" w:rsidP="00EF13AB">
      <w:pPr>
        <w:spacing w:after="0" w:line="240" w:lineRule="auto"/>
        <w:ind w:firstLine="567"/>
        <w:contextualSpacing/>
        <w:jc w:val="both"/>
        <w:rPr>
          <w:rFonts w:cs="Times New Roman"/>
          <w:b/>
          <w:szCs w:val="28"/>
          <w:lang w:val="kk-KZ"/>
        </w:rPr>
      </w:pPr>
    </w:p>
    <w:p w14:paraId="11F0AD6B" w14:textId="77777777" w:rsidR="00092B89" w:rsidRPr="002B136D" w:rsidRDefault="00092B89" w:rsidP="00EF13AB">
      <w:pPr>
        <w:spacing w:after="0" w:line="240" w:lineRule="auto"/>
        <w:ind w:firstLine="567"/>
        <w:contextualSpacing/>
        <w:jc w:val="both"/>
        <w:rPr>
          <w:rFonts w:cs="Times New Roman"/>
          <w:b/>
          <w:szCs w:val="28"/>
          <w:lang w:val="kk-KZ"/>
        </w:rPr>
      </w:pPr>
    </w:p>
    <w:p w14:paraId="78ADE8B0" w14:textId="2C067C96" w:rsidR="00E60213" w:rsidRDefault="00E60213" w:rsidP="00EF13AB">
      <w:pPr>
        <w:spacing w:after="0" w:line="240" w:lineRule="auto"/>
        <w:ind w:firstLine="567"/>
        <w:contextualSpacing/>
        <w:jc w:val="both"/>
        <w:rPr>
          <w:rFonts w:cs="Times New Roman"/>
          <w:b/>
          <w:szCs w:val="28"/>
        </w:rPr>
      </w:pPr>
      <w:r w:rsidRPr="002B136D">
        <w:rPr>
          <w:rFonts w:cs="Times New Roman"/>
          <w:b/>
          <w:szCs w:val="28"/>
        </w:rPr>
        <w:lastRenderedPageBreak/>
        <w:t>2</w:t>
      </w:r>
      <w:r w:rsidR="00EF13AB">
        <w:rPr>
          <w:rFonts w:cs="Times New Roman"/>
          <w:b/>
          <w:szCs w:val="28"/>
        </w:rPr>
        <w:t xml:space="preserve"> </w:t>
      </w:r>
      <w:r w:rsidRPr="002B136D">
        <w:rPr>
          <w:rFonts w:cs="Times New Roman"/>
          <w:b/>
          <w:szCs w:val="28"/>
        </w:rPr>
        <w:t>МАТЕРИАЛЫ И МЕТОДЫ ИССЛЕДОВАНИЯ</w:t>
      </w:r>
    </w:p>
    <w:p w14:paraId="692CFCC6" w14:textId="77777777" w:rsidR="00EF13AB" w:rsidRPr="00EF13AB" w:rsidRDefault="00EF13AB" w:rsidP="00EF13AB">
      <w:pPr>
        <w:spacing w:after="0" w:line="240" w:lineRule="auto"/>
        <w:ind w:firstLine="567"/>
        <w:contextualSpacing/>
        <w:jc w:val="both"/>
        <w:rPr>
          <w:rFonts w:cs="Times New Roman"/>
          <w:b/>
          <w:szCs w:val="28"/>
        </w:rPr>
      </w:pPr>
    </w:p>
    <w:p w14:paraId="0EDD6E88" w14:textId="77777777" w:rsidR="00D40904" w:rsidRPr="002B136D" w:rsidRDefault="00E60213" w:rsidP="00EF13AB">
      <w:pPr>
        <w:spacing w:after="0" w:line="240" w:lineRule="auto"/>
        <w:ind w:firstLine="567"/>
        <w:contextualSpacing/>
        <w:jc w:val="both"/>
        <w:rPr>
          <w:rFonts w:cs="Times New Roman"/>
          <w:b/>
          <w:szCs w:val="28"/>
        </w:rPr>
      </w:pPr>
      <w:r w:rsidRPr="002B136D">
        <w:rPr>
          <w:rFonts w:cs="Times New Roman"/>
          <w:b/>
          <w:szCs w:val="28"/>
        </w:rPr>
        <w:t xml:space="preserve">2.1 Общая характеристика исследования </w:t>
      </w:r>
    </w:p>
    <w:p w14:paraId="20289184" w14:textId="0314FA36" w:rsidR="0023446D" w:rsidRPr="002B136D" w:rsidRDefault="00C576AF" w:rsidP="00EF13AB">
      <w:pPr>
        <w:spacing w:after="0" w:line="240" w:lineRule="auto"/>
        <w:ind w:firstLine="567"/>
        <w:contextualSpacing/>
        <w:jc w:val="both"/>
        <w:rPr>
          <w:rFonts w:cs="Times New Roman"/>
          <w:szCs w:val="28"/>
        </w:rPr>
      </w:pPr>
      <w:r w:rsidRPr="002B136D">
        <w:rPr>
          <w:rFonts w:cs="Times New Roman"/>
          <w:szCs w:val="28"/>
        </w:rPr>
        <w:t>Исследование осуществлено</w:t>
      </w:r>
      <w:r w:rsidR="0023446D" w:rsidRPr="002B136D">
        <w:rPr>
          <w:rFonts w:cs="Times New Roman"/>
          <w:szCs w:val="28"/>
        </w:rPr>
        <w:t xml:space="preserve"> в период с 2020 по 2022 годы в научно-исследовательских и клинических центрах города Алматы, Казахстан. Исследование охватило четыре учреждения, каждое из которых внесло уникальный вклад в комплексное изучение </w:t>
      </w:r>
      <w:proofErr w:type="gramStart"/>
      <w:r w:rsidR="0023446D" w:rsidRPr="002B136D">
        <w:rPr>
          <w:rFonts w:cs="Times New Roman"/>
          <w:szCs w:val="28"/>
        </w:rPr>
        <w:t>эндокринной</w:t>
      </w:r>
      <w:proofErr w:type="gramEnd"/>
      <w:r w:rsidR="0023446D" w:rsidRPr="002B136D">
        <w:rPr>
          <w:rFonts w:cs="Times New Roman"/>
          <w:szCs w:val="28"/>
        </w:rPr>
        <w:t xml:space="preserve"> офтальмопатии:</w:t>
      </w:r>
    </w:p>
    <w:p w14:paraId="2CCA7656" w14:textId="77777777"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 xml:space="preserve">В Казахском Национальном Исследовательском Институте Глазных Болезней была проведена работа по сбору клинических данных, офтальмологический осмотр и оценка степени поражения орбиты </w:t>
      </w:r>
      <w:proofErr w:type="gramStart"/>
      <w:r w:rsidRPr="002B136D">
        <w:rPr>
          <w:rFonts w:cs="Times New Roman"/>
          <w:szCs w:val="28"/>
        </w:rPr>
        <w:t>при</w:t>
      </w:r>
      <w:proofErr w:type="gramEnd"/>
      <w:r w:rsidRPr="002B136D">
        <w:rPr>
          <w:rFonts w:cs="Times New Roman"/>
          <w:szCs w:val="28"/>
        </w:rPr>
        <w:t xml:space="preserve"> эндокринной офтальмопатии с использованием современных визуализирующих методов.</w:t>
      </w:r>
    </w:p>
    <w:p w14:paraId="7380C6D1" w14:textId="77777777"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В Институте Эндокринологии был осуществлен анализ гормонального статуса пациентов, а также оценка функционального состояния щитовидной железы, что позволило коррелировать эндокринные параметры с развитием и течением офтальмопатии.</w:t>
      </w:r>
    </w:p>
    <w:p w14:paraId="074E2A05" w14:textId="2A7386B1"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Казахский Национальный Медицинс</w:t>
      </w:r>
      <w:r w:rsidR="00C5623E" w:rsidRPr="002B136D">
        <w:rPr>
          <w:rFonts w:cs="Times New Roman"/>
          <w:szCs w:val="28"/>
        </w:rPr>
        <w:t>кий Университет имени С. Д. Асф</w:t>
      </w:r>
      <w:r w:rsidR="00C5623E" w:rsidRPr="002B136D">
        <w:rPr>
          <w:rFonts w:cs="Times New Roman"/>
          <w:szCs w:val="28"/>
          <w:lang w:val="kk-KZ"/>
        </w:rPr>
        <w:t>е</w:t>
      </w:r>
      <w:r w:rsidRPr="002B136D">
        <w:rPr>
          <w:rFonts w:cs="Times New Roman"/>
          <w:szCs w:val="28"/>
        </w:rPr>
        <w:t>нди</w:t>
      </w:r>
      <w:r w:rsidR="00C5623E" w:rsidRPr="002B136D">
        <w:rPr>
          <w:rFonts w:cs="Times New Roman"/>
          <w:szCs w:val="28"/>
          <w:lang w:val="kk-KZ"/>
        </w:rPr>
        <w:t>я</w:t>
      </w:r>
      <w:r w:rsidRPr="002B136D">
        <w:rPr>
          <w:rFonts w:cs="Times New Roman"/>
          <w:szCs w:val="28"/>
        </w:rPr>
        <w:t xml:space="preserve">рова предоставил платформу для проведения иммунологической части исследования, включая изучение уровней специфических цитокинов и других медиаторов воспаления, что имело </w:t>
      </w:r>
      <w:proofErr w:type="gramStart"/>
      <w:r w:rsidRPr="002B136D">
        <w:rPr>
          <w:rFonts w:cs="Times New Roman"/>
          <w:szCs w:val="28"/>
        </w:rPr>
        <w:t>важное значение</w:t>
      </w:r>
      <w:proofErr w:type="gramEnd"/>
      <w:r w:rsidRPr="002B136D">
        <w:rPr>
          <w:rFonts w:cs="Times New Roman"/>
          <w:szCs w:val="28"/>
        </w:rPr>
        <w:t xml:space="preserve"> для понимания патогенетических механизмов заболевания.</w:t>
      </w:r>
    </w:p>
    <w:p w14:paraId="353CF21E" w14:textId="0B69A07C"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 xml:space="preserve">В Научно-Исследовательском Институте </w:t>
      </w:r>
      <w:r w:rsidR="00CB6418" w:rsidRPr="002B136D">
        <w:rPr>
          <w:rFonts w:cs="Times New Roman"/>
          <w:szCs w:val="28"/>
        </w:rPr>
        <w:t>г</w:t>
      </w:r>
      <w:r w:rsidRPr="002B136D">
        <w:rPr>
          <w:rFonts w:cs="Times New Roman"/>
          <w:szCs w:val="28"/>
        </w:rPr>
        <w:t xml:space="preserve">енетики и </w:t>
      </w:r>
      <w:r w:rsidR="00CB6418" w:rsidRPr="002B136D">
        <w:rPr>
          <w:rFonts w:cs="Times New Roman"/>
          <w:szCs w:val="28"/>
        </w:rPr>
        <w:t>ф</w:t>
      </w:r>
      <w:r w:rsidRPr="002B136D">
        <w:rPr>
          <w:rFonts w:cs="Times New Roman"/>
          <w:szCs w:val="28"/>
        </w:rPr>
        <w:t>изиологии были выполнены генетические исследования, направл</w:t>
      </w:r>
      <w:r w:rsidR="00BB133C" w:rsidRPr="002B136D">
        <w:rPr>
          <w:rFonts w:cs="Times New Roman"/>
          <w:szCs w:val="28"/>
        </w:rPr>
        <w:t>енные на выявление полиморфизма</w:t>
      </w:r>
      <w:r w:rsidRPr="002B136D">
        <w:rPr>
          <w:rFonts w:cs="Times New Roman"/>
          <w:szCs w:val="28"/>
        </w:rPr>
        <w:t xml:space="preserve"> в генах, кодирующих интерлейкины вовлеченные в иммунный ответ, что позволило оценить генетическую предрасположенность к развитию эндокринной офтальмопатии и ее различных клинических форм.</w:t>
      </w:r>
    </w:p>
    <w:p w14:paraId="1C05691A" w14:textId="5BF90A9E"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 xml:space="preserve">Методологическая основа исследования включала комплексный анализ клинических, иммунологических и генетических параметров, что обеспечило мультидисциплинарный подход к изучению заболевания. </w:t>
      </w:r>
      <w:proofErr w:type="gramStart"/>
      <w:r w:rsidRPr="002B136D">
        <w:rPr>
          <w:rFonts w:cs="Times New Roman"/>
          <w:szCs w:val="28"/>
        </w:rPr>
        <w:t>Это позволило сформировать целостное представление о механизмах развития эндокринной офтальмопатии и выявить потенциальные терапевтические мишени.</w:t>
      </w:r>
      <w:proofErr w:type="gramEnd"/>
    </w:p>
    <w:p w14:paraId="612A1467" w14:textId="6BBB2E9D" w:rsidR="00A31D94" w:rsidRPr="002B136D" w:rsidRDefault="001A24D3" w:rsidP="00EF13AB">
      <w:pPr>
        <w:spacing w:after="0" w:line="240" w:lineRule="auto"/>
        <w:ind w:firstLine="567"/>
        <w:contextualSpacing/>
        <w:jc w:val="both"/>
        <w:rPr>
          <w:rFonts w:cs="Times New Roman"/>
          <w:szCs w:val="28"/>
        </w:rPr>
      </w:pPr>
      <w:r w:rsidRPr="002B136D">
        <w:rPr>
          <w:rFonts w:cs="Times New Roman"/>
          <w:szCs w:val="28"/>
        </w:rPr>
        <w:t>Исследование прошло этическую оценку</w:t>
      </w:r>
      <w:r w:rsidR="00770A22" w:rsidRPr="002B136D">
        <w:rPr>
          <w:rFonts w:cs="Times New Roman"/>
          <w:szCs w:val="28"/>
        </w:rPr>
        <w:t>,</w:t>
      </w:r>
      <w:r w:rsidRPr="002B136D">
        <w:rPr>
          <w:rFonts w:cs="Times New Roman"/>
          <w:szCs w:val="28"/>
        </w:rPr>
        <w:t xml:space="preserve"> и было одобрено Локальным Этическим Комитетом Казахского Национального Медицинского Университета имени С. Д. Асфендиярова. По протоколу заседания ЛЭК №3 (94) от 25 марта 2020 года, оно признано этичным и соответствующим всем требованиям медицинской этики и безопасности пациентов. </w:t>
      </w:r>
      <w:r w:rsidR="00A31D94" w:rsidRPr="002B136D">
        <w:rPr>
          <w:rFonts w:cs="Times New Roman"/>
          <w:szCs w:val="28"/>
        </w:rPr>
        <w:t>Осуществление данного исследования было проведено с соблюдением высших стандартов этики и безопасности, установленных международными нормами и стандартами. Исследование было проведено в соответствии с принципами "Good Clinical Practice" (Добрая Клиническая Практика), которые установлены национальным институтом по наркотическому злоупотреблению США (National Institute on Drug Abuse, 2017). Эти стандарты обеспечивают высший уровень качества и надежности медицинских исследований с участием человека.</w:t>
      </w:r>
    </w:p>
    <w:p w14:paraId="7208E038" w14:textId="1F02393A" w:rsidR="00A31D94" w:rsidRPr="002B136D" w:rsidRDefault="004A7DF0" w:rsidP="00EF13AB">
      <w:pPr>
        <w:spacing w:after="0" w:line="240" w:lineRule="auto"/>
        <w:ind w:firstLine="567"/>
        <w:contextualSpacing/>
        <w:jc w:val="both"/>
        <w:rPr>
          <w:rFonts w:cs="Times New Roman"/>
          <w:szCs w:val="28"/>
        </w:rPr>
      </w:pPr>
      <w:r w:rsidRPr="002B136D">
        <w:rPr>
          <w:rFonts w:cs="Times New Roman"/>
          <w:szCs w:val="28"/>
        </w:rPr>
        <w:lastRenderedPageBreak/>
        <w:t xml:space="preserve">Проведение исследования соответствует принципам Хельсинкской декларации, содержащей этические нормы для медицинских исследований с участием людей. Декларация была принята на 18-й Генеральной Ассамблее Всемирной Медицинской Ассоциации в Хельсинки в июне 1964 года и обновлена на 64-й Ассамблее в Форталезе в октябре 2013 года. Эти принципы акцентируют внимание на безопасности, достоинстве и правах участников исследования. </w:t>
      </w:r>
      <w:r w:rsidR="00A31D94" w:rsidRPr="002B136D">
        <w:rPr>
          <w:rFonts w:cs="Times New Roman"/>
          <w:szCs w:val="28"/>
        </w:rPr>
        <w:t>Таким образом, проведение исследования с соблюдением стандартов "Good Clinical Practice" и принципов Хельсинкской декларации подчеркивает высокий уровень этичности и ответственности в ходе исследования, а также обеспечивает надежность и достоверность полученных результатов.</w:t>
      </w:r>
    </w:p>
    <w:p w14:paraId="0BD103D8" w14:textId="2A7BB7D5" w:rsidR="0023446D" w:rsidRPr="002B136D" w:rsidRDefault="009722D8" w:rsidP="00EF13AB">
      <w:pPr>
        <w:spacing w:after="0" w:line="240" w:lineRule="auto"/>
        <w:ind w:firstLine="567"/>
        <w:contextualSpacing/>
        <w:jc w:val="both"/>
        <w:rPr>
          <w:rFonts w:cs="Times New Roman"/>
          <w:szCs w:val="28"/>
        </w:rPr>
      </w:pPr>
      <w:r w:rsidRPr="002B136D">
        <w:rPr>
          <w:rFonts w:cs="Times New Roman"/>
          <w:szCs w:val="28"/>
        </w:rPr>
        <w:t>В соответсвии с</w:t>
      </w:r>
      <w:r w:rsidR="00DB5659" w:rsidRPr="002B136D">
        <w:rPr>
          <w:rFonts w:cs="Times New Roman"/>
          <w:szCs w:val="28"/>
        </w:rPr>
        <w:t xml:space="preserve"> дизайн</w:t>
      </w:r>
      <w:r w:rsidRPr="002B136D">
        <w:rPr>
          <w:rFonts w:cs="Times New Roman"/>
          <w:szCs w:val="28"/>
        </w:rPr>
        <w:t>ом</w:t>
      </w:r>
      <w:r w:rsidR="00DB5659" w:rsidRPr="002B136D">
        <w:rPr>
          <w:rFonts w:cs="Times New Roman"/>
          <w:szCs w:val="28"/>
        </w:rPr>
        <w:t xml:space="preserve"> нашего исследовани</w:t>
      </w:r>
      <w:r w:rsidRPr="002B136D">
        <w:rPr>
          <w:rFonts w:cs="Times New Roman"/>
          <w:szCs w:val="28"/>
        </w:rPr>
        <w:t>я</w:t>
      </w:r>
      <w:r w:rsidR="00DB5659" w:rsidRPr="002B136D">
        <w:rPr>
          <w:rFonts w:cs="Times New Roman"/>
          <w:szCs w:val="28"/>
        </w:rPr>
        <w:t xml:space="preserve"> работа состо</w:t>
      </w:r>
      <w:r w:rsidR="006D78C7" w:rsidRPr="002B136D">
        <w:rPr>
          <w:rFonts w:cs="Times New Roman"/>
          <w:szCs w:val="28"/>
        </w:rPr>
        <w:t>яла</w:t>
      </w:r>
      <w:r w:rsidR="00DB5659" w:rsidRPr="002B136D">
        <w:rPr>
          <w:rFonts w:cs="Times New Roman"/>
          <w:szCs w:val="28"/>
        </w:rPr>
        <w:t xml:space="preserve"> из трех частей</w:t>
      </w:r>
      <w:r w:rsidR="00D17895" w:rsidRPr="002B136D">
        <w:rPr>
          <w:rFonts w:cs="Times New Roman"/>
          <w:szCs w:val="28"/>
        </w:rPr>
        <w:t>, каждая</w:t>
      </w:r>
      <w:r w:rsidR="0023446D" w:rsidRPr="002B136D">
        <w:rPr>
          <w:rFonts w:cs="Times New Roman"/>
          <w:szCs w:val="28"/>
        </w:rPr>
        <w:t xml:space="preserve"> из которых представлял</w:t>
      </w:r>
      <w:r w:rsidR="00D17895" w:rsidRPr="002B136D">
        <w:rPr>
          <w:rFonts w:cs="Times New Roman"/>
          <w:szCs w:val="28"/>
        </w:rPr>
        <w:t>а</w:t>
      </w:r>
      <w:r w:rsidR="0023446D" w:rsidRPr="002B136D">
        <w:rPr>
          <w:rFonts w:cs="Times New Roman"/>
          <w:szCs w:val="28"/>
        </w:rPr>
        <w:t xml:space="preserve"> собо</w:t>
      </w:r>
      <w:r w:rsidR="00B0686C">
        <w:rPr>
          <w:rFonts w:cs="Times New Roman"/>
          <w:szCs w:val="28"/>
        </w:rPr>
        <w:t>й отдельный вклад в общую цель –</w:t>
      </w:r>
      <w:r w:rsidR="0023446D" w:rsidRPr="002B136D">
        <w:rPr>
          <w:rFonts w:cs="Times New Roman"/>
          <w:szCs w:val="28"/>
        </w:rPr>
        <w:t xml:space="preserve"> всестороннее понимание</w:t>
      </w:r>
      <w:r w:rsidR="00696811" w:rsidRPr="002B136D">
        <w:rPr>
          <w:rFonts w:cs="Times New Roman"/>
          <w:szCs w:val="28"/>
        </w:rPr>
        <w:t xml:space="preserve"> патогенеза и диагностики</w:t>
      </w:r>
      <w:r w:rsidR="0023446D" w:rsidRPr="002B136D">
        <w:rPr>
          <w:rFonts w:cs="Times New Roman"/>
          <w:szCs w:val="28"/>
        </w:rPr>
        <w:t xml:space="preserve"> эндокринной офтальмопатии (ЭОП).</w:t>
      </w:r>
    </w:p>
    <w:p w14:paraId="7F20954E" w14:textId="4F3C75F4"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 xml:space="preserve">I: </w:t>
      </w:r>
      <w:r w:rsidR="00F96487" w:rsidRPr="002B136D">
        <w:rPr>
          <w:rFonts w:cs="Times New Roman"/>
          <w:szCs w:val="28"/>
        </w:rPr>
        <w:t>А</w:t>
      </w:r>
      <w:r w:rsidRPr="002B136D">
        <w:rPr>
          <w:rFonts w:cs="Times New Roman"/>
          <w:szCs w:val="28"/>
        </w:rPr>
        <w:t>нализ клинических данных</w:t>
      </w:r>
    </w:p>
    <w:p w14:paraId="200CD609" w14:textId="76FD0E4D"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 xml:space="preserve">На </w:t>
      </w:r>
      <w:r w:rsidR="004A1580" w:rsidRPr="002B136D">
        <w:rPr>
          <w:rFonts w:cs="Times New Roman"/>
          <w:szCs w:val="28"/>
        </w:rPr>
        <w:t xml:space="preserve">этом </w:t>
      </w:r>
      <w:r w:rsidR="00FA408D" w:rsidRPr="002B136D">
        <w:rPr>
          <w:rFonts w:cs="Times New Roman"/>
          <w:szCs w:val="28"/>
        </w:rPr>
        <w:t xml:space="preserve">этапе исследования </w:t>
      </w:r>
      <w:r w:rsidR="0020489F" w:rsidRPr="002B136D">
        <w:rPr>
          <w:rFonts w:cs="Times New Roman"/>
          <w:szCs w:val="28"/>
        </w:rPr>
        <w:t>был осуществлен ретроспективный</w:t>
      </w:r>
      <w:r w:rsidR="0020489F" w:rsidRPr="002B136D">
        <w:rPr>
          <w:rFonts w:cs="Times New Roman"/>
          <w:szCs w:val="28"/>
          <w:lang w:val="kk-KZ"/>
        </w:rPr>
        <w:t xml:space="preserve"> и проспективный </w:t>
      </w:r>
      <w:r w:rsidRPr="002B136D">
        <w:rPr>
          <w:rFonts w:cs="Times New Roman"/>
          <w:szCs w:val="28"/>
        </w:rPr>
        <w:t xml:space="preserve">анализ медицинских карт 193 пациентов, диагностированных с ЭОП, в возрастной категории от 18 до 74 лет. </w:t>
      </w:r>
      <w:r w:rsidR="00FC1A05" w:rsidRPr="002B136D">
        <w:rPr>
          <w:rFonts w:cs="Times New Roman"/>
          <w:szCs w:val="28"/>
        </w:rPr>
        <w:t>Нами были</w:t>
      </w:r>
      <w:r w:rsidR="00FA408D" w:rsidRPr="002B136D">
        <w:rPr>
          <w:rFonts w:cs="Times New Roman"/>
          <w:szCs w:val="28"/>
        </w:rPr>
        <w:t xml:space="preserve"> изучены клинические</w:t>
      </w:r>
      <w:r w:rsidRPr="002B136D">
        <w:rPr>
          <w:rFonts w:cs="Times New Roman"/>
          <w:szCs w:val="28"/>
        </w:rPr>
        <w:t xml:space="preserve"> характеристик</w:t>
      </w:r>
      <w:r w:rsidR="00FA408D" w:rsidRPr="002B136D">
        <w:rPr>
          <w:rFonts w:cs="Times New Roman"/>
          <w:szCs w:val="28"/>
        </w:rPr>
        <w:t>и и динамика</w:t>
      </w:r>
      <w:r w:rsidRPr="002B136D">
        <w:rPr>
          <w:rFonts w:cs="Times New Roman"/>
          <w:szCs w:val="28"/>
        </w:rPr>
        <w:t xml:space="preserve"> развития заболевания. Анализировались данные, отражающие курс и прогрессирование патологии, включа</w:t>
      </w:r>
      <w:r w:rsidR="0020489F" w:rsidRPr="002B136D">
        <w:rPr>
          <w:rFonts w:cs="Times New Roman"/>
          <w:szCs w:val="28"/>
        </w:rPr>
        <w:t>я симптомы, стадии заболевания</w:t>
      </w:r>
      <w:r w:rsidRPr="002B136D">
        <w:rPr>
          <w:rFonts w:cs="Times New Roman"/>
          <w:szCs w:val="28"/>
        </w:rPr>
        <w:t>. Эта информация была предназначена для выявления корреляций и закономерностей, которые могли бы оптимизировать как диагностические, так и терапевтические подходы к управлению ЭОП.</w:t>
      </w:r>
    </w:p>
    <w:p w14:paraId="5711A589" w14:textId="5D85EB54"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II: Иммунологический анализ</w:t>
      </w:r>
    </w:p>
    <w:p w14:paraId="5B08595A" w14:textId="73C83C5D" w:rsidR="0023446D" w:rsidRPr="002B136D" w:rsidRDefault="00FA408D" w:rsidP="00EF13AB">
      <w:pPr>
        <w:spacing w:after="0" w:line="240" w:lineRule="auto"/>
        <w:ind w:firstLine="567"/>
        <w:contextualSpacing/>
        <w:jc w:val="both"/>
        <w:rPr>
          <w:rFonts w:cs="Times New Roman"/>
          <w:szCs w:val="28"/>
        </w:rPr>
      </w:pPr>
      <w:r w:rsidRPr="002B136D">
        <w:rPr>
          <w:rFonts w:cs="Times New Roman"/>
          <w:szCs w:val="28"/>
        </w:rPr>
        <w:t xml:space="preserve">Второй этап </w:t>
      </w:r>
      <w:r w:rsidR="004A1580" w:rsidRPr="002B136D">
        <w:rPr>
          <w:rFonts w:cs="Times New Roman"/>
          <w:szCs w:val="28"/>
        </w:rPr>
        <w:t>исследовани</w:t>
      </w:r>
      <w:r w:rsidRPr="002B136D">
        <w:rPr>
          <w:rFonts w:cs="Times New Roman"/>
          <w:szCs w:val="28"/>
        </w:rPr>
        <w:t>я</w:t>
      </w:r>
      <w:r w:rsidR="004A1580" w:rsidRPr="002B136D">
        <w:rPr>
          <w:rFonts w:cs="Times New Roman"/>
          <w:szCs w:val="28"/>
        </w:rPr>
        <w:t xml:space="preserve"> </w:t>
      </w:r>
      <w:r w:rsidR="0023446D" w:rsidRPr="002B136D">
        <w:rPr>
          <w:rFonts w:cs="Times New Roman"/>
          <w:szCs w:val="28"/>
        </w:rPr>
        <w:t>охватил анализ иммунологических параметров у 70 пациентов с ЭОП. Производилась количественная оценка уровней интерлейкинов в сыворотке крови</w:t>
      </w:r>
      <w:r w:rsidR="00977F35" w:rsidRPr="002B136D">
        <w:rPr>
          <w:rFonts w:cs="Times New Roman"/>
          <w:szCs w:val="28"/>
        </w:rPr>
        <w:t>, слезе</w:t>
      </w:r>
      <w:r w:rsidR="0023446D" w:rsidRPr="002B136D">
        <w:rPr>
          <w:rFonts w:cs="Times New Roman"/>
          <w:szCs w:val="28"/>
        </w:rPr>
        <w:t xml:space="preserve"> и орбитальных тканях. Задачей этого этапа </w:t>
      </w:r>
      <w:r w:rsidRPr="002B136D">
        <w:rPr>
          <w:rFonts w:cs="Times New Roman"/>
          <w:szCs w:val="28"/>
        </w:rPr>
        <w:t>являлась</w:t>
      </w:r>
      <w:r w:rsidR="0023446D" w:rsidRPr="002B136D">
        <w:rPr>
          <w:rFonts w:cs="Times New Roman"/>
          <w:szCs w:val="28"/>
        </w:rPr>
        <w:t xml:space="preserve"> исследование иммунной реактивности с целью идентификации иммунопатологических процессов, способствующих развитию и прогрессированию ЭОП. Особое внимание уделялось определению профиля цитокинов, которые могут служить биомаркерами воспаления и аутоиммунного ответа.</w:t>
      </w:r>
    </w:p>
    <w:p w14:paraId="677FCF84" w14:textId="6895932D" w:rsidR="0023446D" w:rsidRPr="002B136D" w:rsidRDefault="0023446D" w:rsidP="00EF13AB">
      <w:pPr>
        <w:spacing w:after="0" w:line="240" w:lineRule="auto"/>
        <w:ind w:firstLine="567"/>
        <w:contextualSpacing/>
        <w:jc w:val="both"/>
        <w:rPr>
          <w:rFonts w:cs="Times New Roman"/>
          <w:szCs w:val="28"/>
        </w:rPr>
      </w:pPr>
      <w:r w:rsidRPr="002B136D">
        <w:rPr>
          <w:rFonts w:cs="Times New Roman"/>
          <w:szCs w:val="28"/>
        </w:rPr>
        <w:t>III: Генетическое профилирование</w:t>
      </w:r>
    </w:p>
    <w:p w14:paraId="1A0E8546" w14:textId="4E0B3F2A" w:rsidR="00C916DD" w:rsidRPr="002B136D" w:rsidRDefault="0023446D" w:rsidP="00EF13AB">
      <w:pPr>
        <w:spacing w:after="0" w:line="240" w:lineRule="auto"/>
        <w:ind w:firstLine="567"/>
        <w:contextualSpacing/>
        <w:jc w:val="both"/>
        <w:rPr>
          <w:rFonts w:cs="Times New Roman"/>
          <w:szCs w:val="28"/>
        </w:rPr>
      </w:pPr>
      <w:r w:rsidRPr="002B136D">
        <w:rPr>
          <w:rFonts w:cs="Times New Roman"/>
          <w:szCs w:val="28"/>
        </w:rPr>
        <w:t xml:space="preserve">На </w:t>
      </w:r>
      <w:r w:rsidR="00FA408D" w:rsidRPr="002B136D">
        <w:rPr>
          <w:rFonts w:cs="Times New Roman"/>
          <w:szCs w:val="28"/>
        </w:rPr>
        <w:t>третьем</w:t>
      </w:r>
      <w:r w:rsidRPr="002B136D">
        <w:rPr>
          <w:rFonts w:cs="Times New Roman"/>
          <w:szCs w:val="28"/>
        </w:rPr>
        <w:t xml:space="preserve"> этапе проводилось генетическое исследование среди 285 пациентов с заболеваниями щитовидной железы для выявления генетических маркеров, ассоциированных с ЭОП. Использовались методы генотипирования и анализа полиморфи</w:t>
      </w:r>
      <w:r w:rsidR="00583F25" w:rsidRPr="002B136D">
        <w:rPr>
          <w:rFonts w:cs="Times New Roman"/>
          <w:szCs w:val="28"/>
        </w:rPr>
        <w:t>змов одиночных нуклеотидов (</w:t>
      </w:r>
      <w:r w:rsidR="00583F25" w:rsidRPr="002B136D">
        <w:rPr>
          <w:rFonts w:cs="Times New Roman"/>
          <w:szCs w:val="28"/>
          <w:lang w:val="en-US"/>
        </w:rPr>
        <w:t>SNP</w:t>
      </w:r>
      <w:r w:rsidRPr="002B136D">
        <w:rPr>
          <w:rFonts w:cs="Times New Roman"/>
          <w:szCs w:val="28"/>
        </w:rPr>
        <w:t xml:space="preserve">-анализ), что позволило определить генетические варианты, связанные с повышенным риском развития </w:t>
      </w:r>
      <w:r w:rsidR="00977F35" w:rsidRPr="002B136D">
        <w:rPr>
          <w:rFonts w:cs="Times New Roman"/>
          <w:szCs w:val="28"/>
        </w:rPr>
        <w:t xml:space="preserve">тяжелых форм </w:t>
      </w:r>
      <w:r w:rsidRPr="002B136D">
        <w:rPr>
          <w:rFonts w:cs="Times New Roman"/>
          <w:szCs w:val="28"/>
        </w:rPr>
        <w:t xml:space="preserve">ЭОП. </w:t>
      </w:r>
    </w:p>
    <w:p w14:paraId="19246ABC" w14:textId="70161B0B" w:rsidR="00737D6A" w:rsidRPr="002B136D" w:rsidRDefault="00737D6A" w:rsidP="00EF13AB">
      <w:pPr>
        <w:spacing w:after="0" w:line="240" w:lineRule="auto"/>
        <w:ind w:firstLine="567"/>
        <w:contextualSpacing/>
        <w:jc w:val="both"/>
        <w:rPr>
          <w:rFonts w:cs="Times New Roman"/>
          <w:szCs w:val="28"/>
        </w:rPr>
      </w:pPr>
      <w:r w:rsidRPr="002B136D">
        <w:rPr>
          <w:rFonts w:cs="Times New Roman"/>
          <w:szCs w:val="28"/>
        </w:rPr>
        <w:t xml:space="preserve">После сбора данных на всех этапах исследования была разработана прогностическая модель для определения активности и тяжести эндокринной офтальмопатии (ЭОП) с использованием метода дерева решений. Этот метод включает алгоритм, который делит данные на подгруппы по различным </w:t>
      </w:r>
      <w:r w:rsidRPr="002B136D">
        <w:rPr>
          <w:rFonts w:cs="Times New Roman"/>
          <w:szCs w:val="28"/>
        </w:rPr>
        <w:lastRenderedPageBreak/>
        <w:t xml:space="preserve">признакам. Дерево строится на основе самых значимых характеристик, которые помогают разделять данные на классы. В каждом узле дерева указаны признаки, а ветви показывают результаты разделения, пока </w:t>
      </w:r>
      <w:proofErr w:type="gramStart"/>
      <w:r w:rsidRPr="002B136D">
        <w:rPr>
          <w:rFonts w:cs="Times New Roman"/>
          <w:szCs w:val="28"/>
        </w:rPr>
        <w:t>не достигнут</w:t>
      </w:r>
      <w:proofErr w:type="gramEnd"/>
      <w:r w:rsidRPr="002B136D">
        <w:rPr>
          <w:rFonts w:cs="Times New Roman"/>
          <w:szCs w:val="28"/>
        </w:rPr>
        <w:t xml:space="preserve"> конечные классы на листьях дерева, представляющие активную форму и тяжелую стадию ЭОП. Данный метод эффективен, когда на классификацию влияет множество факторов, и позволяет визуализировать процесс принятия решений.</w:t>
      </w:r>
    </w:p>
    <w:p w14:paraId="13F61B78" w14:textId="77777777" w:rsidR="00737D6A" w:rsidRPr="002B136D" w:rsidRDefault="00737D6A" w:rsidP="00EF13AB">
      <w:pPr>
        <w:spacing w:after="0" w:line="240" w:lineRule="auto"/>
        <w:ind w:firstLine="567"/>
        <w:contextualSpacing/>
        <w:jc w:val="both"/>
        <w:rPr>
          <w:rFonts w:cs="Times New Roman"/>
          <w:szCs w:val="28"/>
        </w:rPr>
      </w:pPr>
      <w:r w:rsidRPr="002B136D">
        <w:rPr>
          <w:rFonts w:cs="Times New Roman"/>
          <w:szCs w:val="28"/>
        </w:rPr>
        <w:t xml:space="preserve">В клинической части модели учитывались: оценка активности по критериям CAS; степень тяжести ЭОП по классификации EUGOGO; пол и возраст пациентов; тип заболеваний щитовидной железы; продолжительность дисфункции щитовидной железы; показатели зрительной функции, внутриглазного давления, экзофтальмометрии, а также внешние осмотры и жалобы. В иммунологической части анализировались сывороточные данные интерлейкинов ИЛ-17 и ИЛ-38, а также генетические аспекты: результаты полиморфизма в генах, кодирующих ИЛ-17 (rs9463772) и ИЛ-38 (rs3811058; rs7570267) у пациентов с ЭОП. </w:t>
      </w:r>
    </w:p>
    <w:p w14:paraId="031EEB25" w14:textId="63889286" w:rsidR="00A31D94" w:rsidRPr="002B136D" w:rsidRDefault="00FA408D" w:rsidP="00EF13AB">
      <w:pPr>
        <w:spacing w:after="0" w:line="240" w:lineRule="auto"/>
        <w:ind w:firstLine="567"/>
        <w:contextualSpacing/>
        <w:jc w:val="both"/>
        <w:rPr>
          <w:rFonts w:cs="Times New Roman"/>
          <w:szCs w:val="28"/>
        </w:rPr>
      </w:pPr>
      <w:r w:rsidRPr="002B136D">
        <w:rPr>
          <w:rFonts w:cs="Times New Roman"/>
          <w:szCs w:val="28"/>
        </w:rPr>
        <w:t>Таким образом</w:t>
      </w:r>
      <w:r w:rsidR="00A31D94" w:rsidRPr="002B136D">
        <w:rPr>
          <w:rFonts w:cs="Times New Roman"/>
          <w:szCs w:val="28"/>
        </w:rPr>
        <w:t>, данное исследование является многоаспектным и направлено на комплексное изучение эндокринной офтальмопатии. Полученные данные могут послужить основой для дальнейших научных работ и разработки новых методик в области диагностики и лечения данного заболевания.</w:t>
      </w:r>
    </w:p>
    <w:p w14:paraId="542FA137" w14:textId="1256E11A" w:rsidR="00A31D94" w:rsidRPr="002B136D" w:rsidRDefault="00FA408D" w:rsidP="00EF13AB">
      <w:pPr>
        <w:spacing w:after="0" w:line="240" w:lineRule="auto"/>
        <w:ind w:firstLine="567"/>
        <w:contextualSpacing/>
        <w:jc w:val="both"/>
        <w:rPr>
          <w:rFonts w:cs="Times New Roman"/>
          <w:szCs w:val="28"/>
        </w:rPr>
      </w:pPr>
      <w:r w:rsidRPr="002B136D">
        <w:rPr>
          <w:rFonts w:cs="Times New Roman"/>
          <w:szCs w:val="28"/>
        </w:rPr>
        <w:t>В рамках всего</w:t>
      </w:r>
      <w:r w:rsidR="00A31D94" w:rsidRPr="002B136D">
        <w:rPr>
          <w:rFonts w:cs="Times New Roman"/>
          <w:szCs w:val="28"/>
        </w:rPr>
        <w:t xml:space="preserve"> исследования проводилась строгая отборочная процедура с целью минимизации влияния конфаундеров и повышения статистической мощности. Пациенты, имеющие диагноз </w:t>
      </w:r>
      <w:proofErr w:type="gramStart"/>
      <w:r w:rsidR="00A31D94" w:rsidRPr="002B136D">
        <w:rPr>
          <w:rFonts w:cs="Times New Roman"/>
          <w:szCs w:val="28"/>
        </w:rPr>
        <w:t>эндокринная</w:t>
      </w:r>
      <w:proofErr w:type="gramEnd"/>
      <w:r w:rsidR="00A31D94" w:rsidRPr="002B136D">
        <w:rPr>
          <w:rFonts w:cs="Times New Roman"/>
          <w:szCs w:val="28"/>
        </w:rPr>
        <w:t xml:space="preserve"> офтальмопатия (ЭОП), были основной группой, подлежащей изучению. Однако, для исключения влияния дополнительных переменных на результаты исследования, были определены следующие критерии исключения.</w:t>
      </w:r>
    </w:p>
    <w:p w14:paraId="743D5393" w14:textId="77777777" w:rsidR="00A31D94" w:rsidRPr="002B136D" w:rsidRDefault="00A31D94" w:rsidP="00EF13AB">
      <w:pPr>
        <w:spacing w:after="0" w:line="240" w:lineRule="auto"/>
        <w:ind w:firstLine="567"/>
        <w:contextualSpacing/>
        <w:jc w:val="both"/>
        <w:rPr>
          <w:rFonts w:cs="Times New Roman"/>
          <w:szCs w:val="28"/>
        </w:rPr>
      </w:pPr>
      <w:r w:rsidRPr="002B136D">
        <w:rPr>
          <w:rFonts w:cs="Times New Roman"/>
          <w:szCs w:val="28"/>
        </w:rPr>
        <w:t>Возрастные ограничения также применялись: пациенты моложе 18 и старше 74 лет исключались из выборки для унификации демографических характеристик.</w:t>
      </w:r>
    </w:p>
    <w:p w14:paraId="6FBC2A68" w14:textId="77777777" w:rsidR="00A31D94" w:rsidRPr="002B136D" w:rsidRDefault="00A31D94" w:rsidP="00EF13AB">
      <w:pPr>
        <w:spacing w:after="0" w:line="240" w:lineRule="auto"/>
        <w:ind w:firstLine="567"/>
        <w:contextualSpacing/>
        <w:jc w:val="both"/>
        <w:rPr>
          <w:rFonts w:cs="Times New Roman"/>
          <w:szCs w:val="28"/>
        </w:rPr>
      </w:pPr>
      <w:r w:rsidRPr="002B136D">
        <w:rPr>
          <w:rFonts w:cs="Times New Roman"/>
          <w:szCs w:val="28"/>
        </w:rPr>
        <w:t>Беременные женщины и кормящие матери не участвовали в исследовании, чтобы исключить возможные физиологические изменения, которые могут повлиять на показатели интересующих переменных.</w:t>
      </w:r>
    </w:p>
    <w:p w14:paraId="2C3E49A5" w14:textId="27BF4F53" w:rsidR="00A31D94" w:rsidRDefault="00A31D94" w:rsidP="00EF13AB">
      <w:pPr>
        <w:spacing w:after="0" w:line="240" w:lineRule="auto"/>
        <w:ind w:firstLine="567"/>
        <w:contextualSpacing/>
        <w:jc w:val="both"/>
        <w:rPr>
          <w:rFonts w:cs="Times New Roman"/>
          <w:szCs w:val="28"/>
        </w:rPr>
      </w:pPr>
      <w:r w:rsidRPr="002B136D">
        <w:rPr>
          <w:rFonts w:cs="Times New Roman"/>
          <w:szCs w:val="28"/>
        </w:rPr>
        <w:t>Все участники предварительно подписывали информированное согласие на участие в исследовании. Те, кто отказался от участия, исключались из выборки, что обеспечивало волонтаристский характер участия и соотв</w:t>
      </w:r>
      <w:r w:rsidR="00EA2FA7" w:rsidRPr="002B136D">
        <w:rPr>
          <w:rFonts w:cs="Times New Roman"/>
          <w:szCs w:val="28"/>
        </w:rPr>
        <w:t xml:space="preserve">етствие этнографическим нормам. </w:t>
      </w:r>
      <w:r w:rsidRPr="002B136D">
        <w:rPr>
          <w:rFonts w:cs="Times New Roman"/>
          <w:szCs w:val="28"/>
        </w:rPr>
        <w:t xml:space="preserve">Такая селективная методология позволяла не только уменьшить влияние </w:t>
      </w:r>
      <w:proofErr w:type="gramStart"/>
      <w:r w:rsidRPr="002B136D">
        <w:rPr>
          <w:rFonts w:cs="Times New Roman"/>
          <w:szCs w:val="28"/>
        </w:rPr>
        <w:t>потенциальных</w:t>
      </w:r>
      <w:proofErr w:type="gramEnd"/>
      <w:r w:rsidRPr="002B136D">
        <w:rPr>
          <w:rFonts w:cs="Times New Roman"/>
          <w:szCs w:val="28"/>
        </w:rPr>
        <w:t xml:space="preserve"> конфаундеров, но и повысить внутреннюю валидность исследования. Полученные таким образом данные предоставляют более точную и надежную базу для последующего анализа, а также для разработки диагностических и терапевтических стратегий для пациентов </w:t>
      </w:r>
      <w:proofErr w:type="gramStart"/>
      <w:r w:rsidRPr="002B136D">
        <w:rPr>
          <w:rFonts w:cs="Times New Roman"/>
          <w:szCs w:val="28"/>
        </w:rPr>
        <w:t>с</w:t>
      </w:r>
      <w:proofErr w:type="gramEnd"/>
      <w:r w:rsidRPr="002B136D">
        <w:rPr>
          <w:rFonts w:cs="Times New Roman"/>
          <w:szCs w:val="28"/>
        </w:rPr>
        <w:t xml:space="preserve"> эндокринной офтальмопатией.</w:t>
      </w:r>
    </w:p>
    <w:p w14:paraId="5E0C6BAA" w14:textId="77777777" w:rsidR="00365A59" w:rsidRDefault="00365A59" w:rsidP="00EF13AB">
      <w:pPr>
        <w:spacing w:after="0" w:line="240" w:lineRule="auto"/>
        <w:ind w:firstLine="567"/>
        <w:contextualSpacing/>
        <w:jc w:val="both"/>
        <w:rPr>
          <w:rFonts w:cs="Times New Roman"/>
          <w:szCs w:val="28"/>
        </w:rPr>
      </w:pPr>
    </w:p>
    <w:p w14:paraId="04093C41" w14:textId="77777777" w:rsidR="00365A59" w:rsidRPr="002B136D" w:rsidRDefault="00365A59" w:rsidP="00EF13AB">
      <w:pPr>
        <w:spacing w:after="0" w:line="240" w:lineRule="auto"/>
        <w:ind w:firstLine="567"/>
        <w:contextualSpacing/>
        <w:jc w:val="both"/>
        <w:rPr>
          <w:rFonts w:cs="Times New Roman"/>
          <w:szCs w:val="28"/>
        </w:rPr>
      </w:pPr>
    </w:p>
    <w:p w14:paraId="6BE5B734" w14:textId="3F59D268" w:rsidR="005B3D8C" w:rsidRPr="002B136D" w:rsidRDefault="0023446D" w:rsidP="00EF13AB">
      <w:pPr>
        <w:spacing w:after="0" w:line="240" w:lineRule="auto"/>
        <w:ind w:firstLine="567"/>
        <w:contextualSpacing/>
        <w:jc w:val="both"/>
        <w:rPr>
          <w:rFonts w:cs="Times New Roman"/>
          <w:b/>
          <w:szCs w:val="28"/>
        </w:rPr>
      </w:pPr>
      <w:r w:rsidRPr="002B136D">
        <w:rPr>
          <w:rFonts w:cs="Times New Roman"/>
          <w:b/>
          <w:szCs w:val="28"/>
        </w:rPr>
        <w:lastRenderedPageBreak/>
        <w:t>2.</w:t>
      </w:r>
      <w:r w:rsidR="00023075" w:rsidRPr="002B136D">
        <w:rPr>
          <w:rFonts w:cs="Times New Roman"/>
          <w:b/>
          <w:szCs w:val="28"/>
        </w:rPr>
        <w:t>2</w:t>
      </w:r>
      <w:r w:rsidRPr="002B136D">
        <w:rPr>
          <w:rFonts w:cs="Times New Roman"/>
          <w:b/>
          <w:szCs w:val="28"/>
        </w:rPr>
        <w:t xml:space="preserve"> </w:t>
      </w:r>
      <w:r w:rsidR="00871472" w:rsidRPr="002B136D">
        <w:rPr>
          <w:rFonts w:cs="Times New Roman"/>
          <w:b/>
          <w:szCs w:val="28"/>
        </w:rPr>
        <w:t>Общая характеристика</w:t>
      </w:r>
      <w:r w:rsidR="005B3D8C" w:rsidRPr="002B136D">
        <w:rPr>
          <w:rFonts w:cs="Times New Roman"/>
          <w:b/>
          <w:szCs w:val="28"/>
        </w:rPr>
        <w:t xml:space="preserve"> материала</w:t>
      </w:r>
    </w:p>
    <w:p w14:paraId="3DA9577C" w14:textId="23EE5228" w:rsidR="009E2911" w:rsidRPr="002B136D" w:rsidRDefault="00EA2FA7" w:rsidP="00EF13AB">
      <w:pPr>
        <w:spacing w:after="0" w:line="240" w:lineRule="auto"/>
        <w:ind w:firstLine="567"/>
        <w:contextualSpacing/>
        <w:jc w:val="both"/>
        <w:rPr>
          <w:rFonts w:cs="Times New Roman"/>
          <w:szCs w:val="28"/>
        </w:rPr>
      </w:pPr>
      <w:r w:rsidRPr="002B136D">
        <w:rPr>
          <w:rFonts w:cs="Times New Roman"/>
          <w:szCs w:val="28"/>
        </w:rPr>
        <w:t xml:space="preserve">В рамках I исследования «Ретроспективный анализ клинических данных» был проведен анализ архивных медицинских данных, собранных в Казахском Научно-исследовательском институте глазных болезней в Алматы в период с 2010 по 2020 годы. </w:t>
      </w:r>
      <w:r w:rsidR="009E2911" w:rsidRPr="002B136D">
        <w:rPr>
          <w:rFonts w:cs="Times New Roman"/>
          <w:szCs w:val="28"/>
        </w:rPr>
        <w:t xml:space="preserve">В исследование включены 193 пациента с эндокринной офтальмопатией, истории болезни и амбулаторные </w:t>
      </w:r>
      <w:proofErr w:type="gramStart"/>
      <w:r w:rsidR="009E2911" w:rsidRPr="002B136D">
        <w:rPr>
          <w:rFonts w:cs="Times New Roman"/>
          <w:szCs w:val="28"/>
        </w:rPr>
        <w:t>карты</w:t>
      </w:r>
      <w:proofErr w:type="gramEnd"/>
      <w:r w:rsidR="009E2911" w:rsidRPr="002B136D">
        <w:rPr>
          <w:rFonts w:cs="Times New Roman"/>
          <w:szCs w:val="28"/>
        </w:rPr>
        <w:t xml:space="preserve"> которых были проанализированы. Большинство пациентов составили женщины (65.9%), мужчины – 30.5% </w:t>
      </w:r>
      <w:r w:rsidR="00AF31F3">
        <w:rPr>
          <w:rFonts w:cs="Times New Roman"/>
          <w:szCs w:val="28"/>
        </w:rPr>
        <w:t>(рисунок</w:t>
      </w:r>
      <w:r w:rsidR="00283211">
        <w:rPr>
          <w:rFonts w:cs="Times New Roman"/>
          <w:szCs w:val="28"/>
        </w:rPr>
        <w:t xml:space="preserve"> </w:t>
      </w:r>
      <w:r w:rsidR="009E2911" w:rsidRPr="002B136D">
        <w:rPr>
          <w:rFonts w:cs="Times New Roman"/>
          <w:szCs w:val="28"/>
        </w:rPr>
        <w:t xml:space="preserve">7). Средний возраст женщин составил 40.2 ± 4.12 лет, мужчин – 42.7 ± 6.11 лет </w:t>
      </w:r>
      <w:r w:rsidR="00AF31F3">
        <w:rPr>
          <w:rFonts w:cs="Times New Roman"/>
          <w:szCs w:val="28"/>
        </w:rPr>
        <w:t>(рисунок</w:t>
      </w:r>
      <w:r w:rsidR="00283211">
        <w:rPr>
          <w:rFonts w:cs="Times New Roman"/>
          <w:szCs w:val="28"/>
        </w:rPr>
        <w:t xml:space="preserve"> </w:t>
      </w:r>
      <w:r w:rsidR="009E2911" w:rsidRPr="002B136D">
        <w:rPr>
          <w:rFonts w:cs="Times New Roman"/>
          <w:szCs w:val="28"/>
        </w:rPr>
        <w:t>7).</w:t>
      </w:r>
    </w:p>
    <w:p w14:paraId="7573BB2D" w14:textId="77777777" w:rsidR="009E2911" w:rsidRPr="002B136D" w:rsidRDefault="009E2911" w:rsidP="00EF13AB">
      <w:pPr>
        <w:spacing w:after="0" w:line="240" w:lineRule="auto"/>
        <w:ind w:firstLine="567"/>
        <w:contextualSpacing/>
        <w:jc w:val="both"/>
        <w:rPr>
          <w:rFonts w:cs="Times New Roman"/>
          <w:szCs w:val="28"/>
        </w:rPr>
      </w:pPr>
    </w:p>
    <w:p w14:paraId="59AB72F5" w14:textId="50C5EAFC" w:rsidR="00EA2FA7" w:rsidRPr="002B136D" w:rsidRDefault="00EA2FA7" w:rsidP="00365A59">
      <w:pPr>
        <w:spacing w:after="0" w:line="360" w:lineRule="auto"/>
        <w:jc w:val="center"/>
        <w:rPr>
          <w:rFonts w:cs="Times New Roman"/>
          <w:b/>
          <w:szCs w:val="28"/>
        </w:rPr>
      </w:pPr>
      <w:r w:rsidRPr="002B136D">
        <w:rPr>
          <w:rFonts w:cs="Times New Roman"/>
          <w:b/>
          <w:noProof/>
          <w:szCs w:val="28"/>
          <w:lang w:eastAsia="ru-RU"/>
        </w:rPr>
        <w:drawing>
          <wp:inline distT="0" distB="0" distL="0" distR="0" wp14:anchorId="5137C783" wp14:editId="136D92E9">
            <wp:extent cx="4927600" cy="2743200"/>
            <wp:effectExtent l="0" t="0" r="63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1CA6B9" w14:textId="77777777" w:rsidR="00365A59" w:rsidRDefault="00365A59" w:rsidP="00365A59">
      <w:pPr>
        <w:spacing w:after="0" w:line="240" w:lineRule="auto"/>
        <w:jc w:val="center"/>
        <w:rPr>
          <w:rFonts w:cs="Times New Roman"/>
          <w:szCs w:val="28"/>
          <w:lang w:val="kk-KZ"/>
        </w:rPr>
      </w:pPr>
    </w:p>
    <w:p w14:paraId="15EE613E" w14:textId="4834D1E9" w:rsidR="00871472" w:rsidRDefault="00365A59" w:rsidP="00365A59">
      <w:pPr>
        <w:spacing w:after="0" w:line="240" w:lineRule="auto"/>
        <w:jc w:val="center"/>
        <w:rPr>
          <w:rFonts w:cs="Times New Roman"/>
          <w:szCs w:val="28"/>
          <w:lang w:val="kk-KZ"/>
        </w:rPr>
      </w:pPr>
      <w:r w:rsidRPr="00365A59">
        <w:rPr>
          <w:rFonts w:cs="Times New Roman"/>
          <w:szCs w:val="28"/>
          <w:lang w:val="kk-KZ"/>
        </w:rPr>
        <w:t xml:space="preserve">Рисунок 7 - Распределение по полу и возрасту пациентов </w:t>
      </w:r>
      <w:r w:rsidRPr="00365A59">
        <w:rPr>
          <w:rFonts w:cs="Times New Roman"/>
          <w:szCs w:val="28"/>
        </w:rPr>
        <w:t>ретроспективного анализа клинических данных</w:t>
      </w:r>
    </w:p>
    <w:p w14:paraId="31E38D62" w14:textId="77777777" w:rsidR="00365A59" w:rsidRPr="002B136D" w:rsidRDefault="00365A59" w:rsidP="00365A59">
      <w:pPr>
        <w:spacing w:after="0" w:line="240" w:lineRule="auto"/>
        <w:jc w:val="center"/>
        <w:rPr>
          <w:rFonts w:cs="Times New Roman"/>
          <w:szCs w:val="28"/>
          <w:lang w:val="kk-KZ"/>
        </w:rPr>
      </w:pPr>
    </w:p>
    <w:p w14:paraId="7C726A07" w14:textId="4EC68B7F" w:rsidR="00DF2610" w:rsidRPr="002B136D" w:rsidRDefault="00BB2030" w:rsidP="00365A59">
      <w:pPr>
        <w:spacing w:after="0" w:line="240" w:lineRule="auto"/>
        <w:ind w:firstLine="567"/>
        <w:contextualSpacing/>
        <w:jc w:val="both"/>
        <w:rPr>
          <w:rFonts w:cs="Times New Roman"/>
          <w:szCs w:val="28"/>
          <w:lang w:val="kk-KZ"/>
        </w:rPr>
      </w:pPr>
      <w:r w:rsidRPr="002B136D">
        <w:rPr>
          <w:rFonts w:cs="Times New Roman"/>
          <w:szCs w:val="28"/>
          <w:lang w:val="kk-KZ"/>
        </w:rPr>
        <w:t xml:space="preserve">Анализ данных распределения по видам гормональных нарушений щитовидной железы пациентов </w:t>
      </w:r>
      <w:r w:rsidRPr="002B136D">
        <w:rPr>
          <w:rFonts w:cs="Times New Roman"/>
          <w:szCs w:val="28"/>
        </w:rPr>
        <w:t>ретроспективного анализа клинических данных</w:t>
      </w:r>
      <w:r w:rsidR="00687989" w:rsidRPr="002B136D">
        <w:rPr>
          <w:rFonts w:cs="Times New Roman"/>
          <w:szCs w:val="28"/>
          <w:lang w:val="kk-KZ"/>
        </w:rPr>
        <w:t xml:space="preserve"> представлены в таблице 3</w:t>
      </w:r>
      <w:r w:rsidR="00193EE3" w:rsidRPr="002B136D">
        <w:rPr>
          <w:rFonts w:cs="Times New Roman"/>
          <w:szCs w:val="28"/>
          <w:lang w:val="kk-KZ"/>
        </w:rPr>
        <w:t xml:space="preserve">. </w:t>
      </w:r>
      <w:r w:rsidR="00DF2610" w:rsidRPr="002B136D">
        <w:rPr>
          <w:rFonts w:cs="Times New Roman"/>
          <w:szCs w:val="28"/>
          <w:lang w:val="kk-KZ"/>
        </w:rPr>
        <w:t xml:space="preserve">Среди всей изучаемой группы было 30 (15,54%) пациентов с эутиреозом, 152 </w:t>
      </w:r>
      <w:r w:rsidR="00FC1A05" w:rsidRPr="002B136D">
        <w:rPr>
          <w:rFonts w:cs="Times New Roman"/>
          <w:szCs w:val="28"/>
          <w:lang w:val="kk-KZ"/>
        </w:rPr>
        <w:t xml:space="preserve">(78,8%) </w:t>
      </w:r>
      <w:r w:rsidR="00DF2610" w:rsidRPr="002B136D">
        <w:rPr>
          <w:rFonts w:cs="Times New Roman"/>
          <w:szCs w:val="28"/>
          <w:lang w:val="kk-KZ"/>
        </w:rPr>
        <w:t xml:space="preserve">пациента с гипертиреозом и 11 (5,7%) пациентов с гипотиреозом </w:t>
      </w:r>
      <w:r w:rsidR="0067708D">
        <w:rPr>
          <w:rFonts w:cs="Times New Roman"/>
          <w:szCs w:val="28"/>
          <w:lang w:val="kk-KZ"/>
        </w:rPr>
        <w:t xml:space="preserve">(таблица </w:t>
      </w:r>
      <w:r w:rsidR="00DF2610" w:rsidRPr="002B136D">
        <w:rPr>
          <w:rFonts w:cs="Times New Roman"/>
          <w:szCs w:val="28"/>
          <w:lang w:val="kk-KZ"/>
        </w:rPr>
        <w:t>4). Из общего числа пациентов 135 были женщинами, а 58 мужчинами. Эутиреоз наблюдался у 17</w:t>
      </w:r>
      <w:r w:rsidR="009002CD" w:rsidRPr="002B136D">
        <w:rPr>
          <w:rFonts w:cs="Times New Roman"/>
          <w:szCs w:val="28"/>
          <w:lang w:val="kk-KZ"/>
        </w:rPr>
        <w:t xml:space="preserve"> </w:t>
      </w:r>
      <w:r w:rsidR="00DF2610" w:rsidRPr="002B136D">
        <w:rPr>
          <w:rFonts w:cs="Times New Roman"/>
          <w:szCs w:val="28"/>
          <w:lang w:val="kk-KZ"/>
        </w:rPr>
        <w:t>женщин (56,6% от общего числа пациентов с этим состоянием) и у 13 (43,4%)</w:t>
      </w:r>
      <w:r w:rsidR="009002CD" w:rsidRPr="002B136D">
        <w:rPr>
          <w:rFonts w:cs="Times New Roman"/>
          <w:szCs w:val="28"/>
          <w:lang w:val="kk-KZ"/>
        </w:rPr>
        <w:t xml:space="preserve"> </w:t>
      </w:r>
      <w:r w:rsidR="00DF2610" w:rsidRPr="002B136D">
        <w:rPr>
          <w:rFonts w:cs="Times New Roman"/>
          <w:szCs w:val="28"/>
          <w:lang w:val="kk-KZ"/>
        </w:rPr>
        <w:t xml:space="preserve">мужчин. Гипертиреоз был диагностирован у 108 (71%) женщин и у 44 (29%) мужчин. Гипотиреоз выявили у 10 (90%) женщин и у 1(10%) мужчины. </w:t>
      </w:r>
    </w:p>
    <w:p w14:paraId="26DF769D" w14:textId="255325CC" w:rsidR="00DF2610" w:rsidRPr="002B136D" w:rsidRDefault="00DF2610" w:rsidP="00365A59">
      <w:pPr>
        <w:spacing w:after="0" w:line="240" w:lineRule="auto"/>
        <w:ind w:firstLine="567"/>
        <w:contextualSpacing/>
        <w:jc w:val="both"/>
        <w:rPr>
          <w:rFonts w:cs="Times New Roman"/>
          <w:szCs w:val="28"/>
          <w:lang w:val="kk-KZ"/>
        </w:rPr>
      </w:pPr>
      <w:r w:rsidRPr="002B136D">
        <w:rPr>
          <w:rFonts w:cs="Times New Roman"/>
          <w:szCs w:val="28"/>
          <w:lang w:val="kk-KZ"/>
        </w:rPr>
        <w:t>Эти данные показывают, что гипертиреоз значительно преобладает среди пациентов с эндокринной офтальмопатией в данной выборке, особенно у женщин. Наиболее распространенным гормональным нарушением среди этих пациентов является гипертирео</w:t>
      </w:r>
      <w:r w:rsidR="00B0686C">
        <w:rPr>
          <w:rFonts w:cs="Times New Roman"/>
          <w:szCs w:val="28"/>
          <w:lang w:val="kk-KZ"/>
        </w:rPr>
        <w:t>з, а наименее распространенным –</w:t>
      </w:r>
      <w:r w:rsidRPr="002B136D">
        <w:rPr>
          <w:rFonts w:cs="Times New Roman"/>
          <w:szCs w:val="28"/>
          <w:lang w:val="kk-KZ"/>
        </w:rPr>
        <w:t xml:space="preserve"> гипотиреоз.</w:t>
      </w:r>
    </w:p>
    <w:p w14:paraId="65D62C11" w14:textId="77777777" w:rsidR="00DF2610" w:rsidRPr="002B136D" w:rsidRDefault="00DF2610" w:rsidP="00167A90">
      <w:pPr>
        <w:spacing w:after="0" w:line="240" w:lineRule="auto"/>
        <w:ind w:firstLine="709"/>
        <w:contextualSpacing/>
        <w:jc w:val="both"/>
        <w:rPr>
          <w:rFonts w:cs="Times New Roman"/>
          <w:szCs w:val="28"/>
          <w:lang w:val="kk-KZ"/>
        </w:rPr>
      </w:pPr>
    </w:p>
    <w:p w14:paraId="0E06E1DE" w14:textId="77777777" w:rsidR="00365A59" w:rsidRDefault="00365A59" w:rsidP="00365A59">
      <w:pPr>
        <w:spacing w:after="0" w:line="240" w:lineRule="auto"/>
        <w:contextualSpacing/>
        <w:jc w:val="both"/>
        <w:rPr>
          <w:rFonts w:cs="Times New Roman"/>
          <w:bCs/>
          <w:szCs w:val="28"/>
          <w:lang w:val="kk-KZ"/>
        </w:rPr>
      </w:pPr>
      <w:r>
        <w:rPr>
          <w:rFonts w:cs="Times New Roman"/>
          <w:bCs/>
          <w:szCs w:val="28"/>
          <w:lang w:val="kk-KZ"/>
        </w:rPr>
        <w:br w:type="page"/>
      </w:r>
    </w:p>
    <w:p w14:paraId="52788E1C" w14:textId="1F155E12" w:rsidR="00BB2030" w:rsidRPr="00365A59" w:rsidRDefault="00BB2030" w:rsidP="00365A59">
      <w:pPr>
        <w:spacing w:after="0" w:line="240" w:lineRule="auto"/>
        <w:contextualSpacing/>
        <w:jc w:val="both"/>
        <w:rPr>
          <w:rFonts w:cs="Times New Roman"/>
          <w:bCs/>
          <w:szCs w:val="28"/>
        </w:rPr>
      </w:pPr>
      <w:r w:rsidRPr="00365A59">
        <w:rPr>
          <w:rFonts w:cs="Times New Roman"/>
          <w:bCs/>
          <w:szCs w:val="28"/>
          <w:lang w:val="kk-KZ"/>
        </w:rPr>
        <w:lastRenderedPageBreak/>
        <w:t xml:space="preserve">Таблица </w:t>
      </w:r>
      <w:r w:rsidR="00687989" w:rsidRPr="00365A59">
        <w:rPr>
          <w:rFonts w:cs="Times New Roman"/>
          <w:bCs/>
          <w:szCs w:val="28"/>
          <w:lang w:val="kk-KZ"/>
        </w:rPr>
        <w:t>3</w:t>
      </w:r>
      <w:r w:rsidR="00365A59" w:rsidRPr="00365A59">
        <w:rPr>
          <w:rFonts w:cs="Times New Roman"/>
          <w:bCs/>
          <w:szCs w:val="28"/>
          <w:lang w:val="kk-KZ"/>
        </w:rPr>
        <w:t xml:space="preserve"> -</w:t>
      </w:r>
      <w:r w:rsidRPr="00365A59">
        <w:rPr>
          <w:rFonts w:cs="Times New Roman"/>
          <w:bCs/>
          <w:szCs w:val="28"/>
          <w:lang w:val="kk-KZ"/>
        </w:rPr>
        <w:t xml:space="preserve"> Распределение по видам гормональных нарушений щитовидной железы пациентов </w:t>
      </w:r>
      <w:r w:rsidRPr="00365A59">
        <w:rPr>
          <w:rFonts w:cs="Times New Roman"/>
          <w:bCs/>
          <w:szCs w:val="28"/>
        </w:rPr>
        <w:t>ретроспективного анализа клинических данных</w:t>
      </w:r>
    </w:p>
    <w:p w14:paraId="4D5E5B06" w14:textId="77777777" w:rsidR="009327F2" w:rsidRPr="002B136D" w:rsidRDefault="009327F2" w:rsidP="009327F2">
      <w:pPr>
        <w:spacing w:after="0" w:line="240" w:lineRule="auto"/>
        <w:ind w:firstLine="709"/>
        <w:contextualSpacing/>
        <w:jc w:val="center"/>
        <w:rPr>
          <w:rFonts w:cs="Times New Roman"/>
          <w:b/>
          <w:szCs w:val="28"/>
        </w:rPr>
      </w:pPr>
    </w:p>
    <w:tbl>
      <w:tblPr>
        <w:tblStyle w:val="1"/>
        <w:tblW w:w="9639" w:type="dxa"/>
        <w:tblInd w:w="108" w:type="dxa"/>
        <w:tblLook w:val="04A0" w:firstRow="1" w:lastRow="0" w:firstColumn="1" w:lastColumn="0" w:noHBand="0" w:noVBand="1"/>
      </w:tblPr>
      <w:tblGrid>
        <w:gridCol w:w="3789"/>
        <w:gridCol w:w="1660"/>
        <w:gridCol w:w="1729"/>
        <w:gridCol w:w="2461"/>
      </w:tblGrid>
      <w:tr w:rsidR="00D51D40" w:rsidRPr="00365A59" w14:paraId="21AB080C" w14:textId="77777777" w:rsidTr="0067708D">
        <w:trPr>
          <w:trHeight w:val="70"/>
        </w:trPr>
        <w:tc>
          <w:tcPr>
            <w:tcW w:w="3789" w:type="dxa"/>
            <w:noWrap/>
            <w:hideMark/>
          </w:tcPr>
          <w:p w14:paraId="77A216C5"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 Пол</w:t>
            </w:r>
          </w:p>
        </w:tc>
        <w:tc>
          <w:tcPr>
            <w:tcW w:w="1660" w:type="dxa"/>
            <w:noWrap/>
            <w:hideMark/>
          </w:tcPr>
          <w:p w14:paraId="2050869E"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 xml:space="preserve">Эутиреоз </w:t>
            </w:r>
          </w:p>
        </w:tc>
        <w:tc>
          <w:tcPr>
            <w:tcW w:w="1729" w:type="dxa"/>
            <w:noWrap/>
            <w:hideMark/>
          </w:tcPr>
          <w:p w14:paraId="4C492966"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Гипертиреоз</w:t>
            </w:r>
          </w:p>
        </w:tc>
        <w:tc>
          <w:tcPr>
            <w:tcW w:w="2461" w:type="dxa"/>
            <w:noWrap/>
            <w:hideMark/>
          </w:tcPr>
          <w:p w14:paraId="2DC60B44"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Гипотиреоз</w:t>
            </w:r>
          </w:p>
        </w:tc>
      </w:tr>
      <w:tr w:rsidR="00D51D40" w:rsidRPr="00365A59" w14:paraId="4332A48F" w14:textId="77777777" w:rsidTr="0067708D">
        <w:trPr>
          <w:trHeight w:val="20"/>
        </w:trPr>
        <w:tc>
          <w:tcPr>
            <w:tcW w:w="3789" w:type="dxa"/>
            <w:noWrap/>
            <w:hideMark/>
          </w:tcPr>
          <w:p w14:paraId="39606DC1"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Женщины n=135</w:t>
            </w:r>
          </w:p>
        </w:tc>
        <w:tc>
          <w:tcPr>
            <w:tcW w:w="1660" w:type="dxa"/>
            <w:noWrap/>
            <w:hideMark/>
          </w:tcPr>
          <w:p w14:paraId="435F6433"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17 (56,6%)</w:t>
            </w:r>
          </w:p>
        </w:tc>
        <w:tc>
          <w:tcPr>
            <w:tcW w:w="1729" w:type="dxa"/>
            <w:noWrap/>
            <w:hideMark/>
          </w:tcPr>
          <w:p w14:paraId="3D93BF43"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108 (71%)</w:t>
            </w:r>
          </w:p>
        </w:tc>
        <w:tc>
          <w:tcPr>
            <w:tcW w:w="2461" w:type="dxa"/>
            <w:noWrap/>
            <w:hideMark/>
          </w:tcPr>
          <w:p w14:paraId="681D32CC" w14:textId="77777777" w:rsidR="00BB2030" w:rsidRPr="00365A59" w:rsidRDefault="00BB2030" w:rsidP="006E7629">
            <w:pPr>
              <w:spacing w:line="360" w:lineRule="auto"/>
              <w:jc w:val="both"/>
              <w:rPr>
                <w:rFonts w:eastAsia="Times New Roman" w:cs="Times New Roman"/>
                <w:sz w:val="24"/>
                <w:szCs w:val="24"/>
                <w:lang w:val="kk-KZ" w:eastAsia="ru-RU"/>
              </w:rPr>
            </w:pPr>
            <w:r w:rsidRPr="00365A59">
              <w:rPr>
                <w:rFonts w:eastAsia="Times New Roman" w:cs="Times New Roman"/>
                <w:sz w:val="24"/>
                <w:szCs w:val="24"/>
                <w:lang w:val="kk-KZ" w:eastAsia="ru-RU"/>
              </w:rPr>
              <w:t>10 (90%)</w:t>
            </w:r>
          </w:p>
        </w:tc>
      </w:tr>
      <w:tr w:rsidR="00D51D40" w:rsidRPr="00365A59" w14:paraId="7D5E31B9" w14:textId="77777777" w:rsidTr="0067708D">
        <w:trPr>
          <w:trHeight w:val="20"/>
        </w:trPr>
        <w:tc>
          <w:tcPr>
            <w:tcW w:w="3789" w:type="dxa"/>
            <w:noWrap/>
            <w:hideMark/>
          </w:tcPr>
          <w:p w14:paraId="08DFE3BC"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val="kk-KZ" w:eastAsia="ru-RU"/>
              </w:rPr>
              <w:t>М</w:t>
            </w:r>
            <w:r w:rsidRPr="00365A59">
              <w:rPr>
                <w:rFonts w:eastAsia="Times New Roman" w:cs="Times New Roman"/>
                <w:sz w:val="24"/>
                <w:szCs w:val="24"/>
                <w:lang w:eastAsia="ru-RU"/>
              </w:rPr>
              <w:t>ужчины n=58</w:t>
            </w:r>
          </w:p>
        </w:tc>
        <w:tc>
          <w:tcPr>
            <w:tcW w:w="1660" w:type="dxa"/>
            <w:noWrap/>
            <w:hideMark/>
          </w:tcPr>
          <w:p w14:paraId="10305859"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eastAsia="ru-RU"/>
              </w:rPr>
              <w:t>13 (43,4%)</w:t>
            </w:r>
          </w:p>
        </w:tc>
        <w:tc>
          <w:tcPr>
            <w:tcW w:w="1729" w:type="dxa"/>
            <w:noWrap/>
            <w:hideMark/>
          </w:tcPr>
          <w:p w14:paraId="29BA18E3"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eastAsia="ru-RU"/>
              </w:rPr>
              <w:t>44 (29%)</w:t>
            </w:r>
          </w:p>
        </w:tc>
        <w:tc>
          <w:tcPr>
            <w:tcW w:w="2461" w:type="dxa"/>
            <w:noWrap/>
            <w:hideMark/>
          </w:tcPr>
          <w:p w14:paraId="63598C09"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eastAsia="ru-RU"/>
              </w:rPr>
              <w:t>1 (10%)</w:t>
            </w:r>
          </w:p>
        </w:tc>
      </w:tr>
      <w:tr w:rsidR="00365A59" w:rsidRPr="00365A59" w14:paraId="0A1D40C8" w14:textId="77777777" w:rsidTr="0067708D">
        <w:trPr>
          <w:trHeight w:val="20"/>
        </w:trPr>
        <w:tc>
          <w:tcPr>
            <w:tcW w:w="3789" w:type="dxa"/>
            <w:noWrap/>
          </w:tcPr>
          <w:p w14:paraId="21A67B19" w14:textId="77777777" w:rsidR="00BB2030" w:rsidRPr="00365A59" w:rsidRDefault="00BB2030" w:rsidP="006E7629">
            <w:pPr>
              <w:spacing w:line="360" w:lineRule="auto"/>
              <w:jc w:val="both"/>
              <w:rPr>
                <w:rFonts w:eastAsia="Times New Roman" w:cs="Times New Roman"/>
                <w:sz w:val="24"/>
                <w:szCs w:val="24"/>
                <w:highlight w:val="yellow"/>
                <w:lang w:val="kk-KZ" w:eastAsia="ru-RU"/>
              </w:rPr>
            </w:pPr>
            <w:r w:rsidRPr="00365A59">
              <w:rPr>
                <w:rFonts w:eastAsia="Times New Roman" w:cs="Times New Roman"/>
                <w:sz w:val="24"/>
                <w:szCs w:val="24"/>
                <w:lang w:val="kk-KZ" w:eastAsia="ru-RU"/>
              </w:rPr>
              <w:t>Всего:</w:t>
            </w:r>
          </w:p>
        </w:tc>
        <w:tc>
          <w:tcPr>
            <w:tcW w:w="1660" w:type="dxa"/>
            <w:noWrap/>
          </w:tcPr>
          <w:p w14:paraId="0ACD2F59"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val="kk-KZ" w:eastAsia="ru-RU"/>
              </w:rPr>
              <w:t>30 (15,54%)</w:t>
            </w:r>
          </w:p>
        </w:tc>
        <w:tc>
          <w:tcPr>
            <w:tcW w:w="1729" w:type="dxa"/>
            <w:noWrap/>
          </w:tcPr>
          <w:p w14:paraId="7C9E24D2"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val="kk-KZ" w:eastAsia="ru-RU"/>
              </w:rPr>
              <w:t>152 (78.8%)</w:t>
            </w:r>
          </w:p>
        </w:tc>
        <w:tc>
          <w:tcPr>
            <w:tcW w:w="2461" w:type="dxa"/>
            <w:noWrap/>
          </w:tcPr>
          <w:p w14:paraId="59F79508" w14:textId="77777777" w:rsidR="00BB2030" w:rsidRPr="00365A59" w:rsidRDefault="00BB2030" w:rsidP="006E7629">
            <w:pPr>
              <w:spacing w:line="360" w:lineRule="auto"/>
              <w:jc w:val="both"/>
              <w:rPr>
                <w:rFonts w:eastAsia="Times New Roman" w:cs="Times New Roman"/>
                <w:sz w:val="24"/>
                <w:szCs w:val="24"/>
                <w:lang w:eastAsia="ru-RU"/>
              </w:rPr>
            </w:pPr>
            <w:r w:rsidRPr="00365A59">
              <w:rPr>
                <w:rFonts w:eastAsia="Times New Roman" w:cs="Times New Roman"/>
                <w:sz w:val="24"/>
                <w:szCs w:val="24"/>
                <w:lang w:val="kk-KZ" w:eastAsia="ru-RU"/>
              </w:rPr>
              <w:t>11 (5,7%)</w:t>
            </w:r>
          </w:p>
        </w:tc>
      </w:tr>
    </w:tbl>
    <w:p w14:paraId="6742BD4E" w14:textId="77777777" w:rsidR="0067708D" w:rsidRPr="0067708D" w:rsidRDefault="0067708D" w:rsidP="00167A90">
      <w:pPr>
        <w:spacing w:after="0" w:line="240" w:lineRule="auto"/>
        <w:ind w:firstLine="709"/>
        <w:contextualSpacing/>
        <w:jc w:val="both"/>
        <w:rPr>
          <w:rFonts w:cs="Times New Roman"/>
          <w:szCs w:val="28"/>
          <w:lang w:val="kk-KZ"/>
        </w:rPr>
      </w:pPr>
      <w:bookmarkStart w:id="3" w:name="_Hlk150605173"/>
    </w:p>
    <w:p w14:paraId="060C1F49" w14:textId="77C8A3D9" w:rsidR="00736A36" w:rsidRPr="002B136D" w:rsidRDefault="00BB2030" w:rsidP="0067708D">
      <w:pPr>
        <w:spacing w:after="0" w:line="240" w:lineRule="auto"/>
        <w:ind w:firstLine="567"/>
        <w:contextualSpacing/>
        <w:jc w:val="both"/>
        <w:rPr>
          <w:rFonts w:cs="Times New Roman"/>
          <w:szCs w:val="28"/>
          <w:lang w:val="kk-KZ"/>
        </w:rPr>
      </w:pPr>
      <w:r w:rsidRPr="002B136D">
        <w:rPr>
          <w:rFonts w:cs="Times New Roman"/>
          <w:szCs w:val="28"/>
          <w:lang w:val="kk-KZ"/>
        </w:rPr>
        <w:t>В</w:t>
      </w:r>
      <w:r w:rsidR="005B3D8C" w:rsidRPr="002B136D">
        <w:rPr>
          <w:rFonts w:cs="Times New Roman"/>
          <w:szCs w:val="28"/>
          <w:lang w:val="kk-KZ"/>
        </w:rPr>
        <w:t xml:space="preserve"> </w:t>
      </w:r>
      <w:r w:rsidRPr="002B136D">
        <w:rPr>
          <w:rFonts w:cs="Times New Roman"/>
          <w:szCs w:val="28"/>
          <w:lang w:val="kk-KZ"/>
        </w:rPr>
        <w:t>ходе исследования были определены следующие показатели</w:t>
      </w:r>
      <w:r w:rsidR="00736A36" w:rsidRPr="002B136D">
        <w:rPr>
          <w:rFonts w:cs="Times New Roman"/>
          <w:szCs w:val="28"/>
          <w:lang w:val="kk-KZ"/>
        </w:rPr>
        <w:t xml:space="preserve">: </w:t>
      </w:r>
      <w:r w:rsidR="005B3D8C" w:rsidRPr="002B136D">
        <w:rPr>
          <w:rFonts w:cs="Times New Roman"/>
          <w:szCs w:val="28"/>
          <w:lang w:val="kk-KZ"/>
        </w:rPr>
        <w:t>с</w:t>
      </w:r>
      <w:r w:rsidR="00736A36" w:rsidRPr="002B136D">
        <w:rPr>
          <w:rFonts w:cs="Times New Roman"/>
          <w:szCs w:val="28"/>
        </w:rPr>
        <w:t>татус функциональной активно</w:t>
      </w:r>
      <w:r w:rsidR="005B3D8C" w:rsidRPr="002B136D">
        <w:rPr>
          <w:rFonts w:cs="Times New Roman"/>
          <w:szCs w:val="28"/>
        </w:rPr>
        <w:t>сти щитовидной железы (ЩЖ) (о</w:t>
      </w:r>
      <w:r w:rsidR="00736A36" w:rsidRPr="002B136D">
        <w:rPr>
          <w:rFonts w:cs="Times New Roman"/>
          <w:szCs w:val="28"/>
        </w:rPr>
        <w:t>ценивался с помощью измерения уровней тиреотропного гормона (ТТГ), тироксина (Т4) и трийодтиронина (Т3)), доля курильщиков среди пациентов,</w:t>
      </w:r>
      <w:r w:rsidR="007B62B5" w:rsidRPr="002B136D">
        <w:rPr>
          <w:rFonts w:cs="Times New Roman"/>
          <w:szCs w:val="28"/>
        </w:rPr>
        <w:t xml:space="preserve"> локализация поражения орбиты (у</w:t>
      </w:r>
      <w:r w:rsidR="00736A36" w:rsidRPr="002B136D">
        <w:rPr>
          <w:rFonts w:cs="Times New Roman"/>
          <w:szCs w:val="28"/>
        </w:rPr>
        <w:t xml:space="preserve">станавливалась на основе клинического осмотра и данных </w:t>
      </w:r>
      <w:r w:rsidR="003365B3" w:rsidRPr="002B136D">
        <w:rPr>
          <w:rFonts w:cs="Times New Roman"/>
          <w:szCs w:val="28"/>
        </w:rPr>
        <w:t>визуализационных исследований (</w:t>
      </w:r>
      <w:r w:rsidR="00736A36" w:rsidRPr="002B136D">
        <w:rPr>
          <w:rFonts w:cs="Times New Roman"/>
          <w:szCs w:val="28"/>
        </w:rPr>
        <w:t>КТ или МРТ орбит), что позволяло дифференцировать одностороннее и двустороннее поражение), оце</w:t>
      </w:r>
      <w:r w:rsidR="00A93703" w:rsidRPr="002B136D">
        <w:rPr>
          <w:rFonts w:cs="Times New Roman"/>
          <w:szCs w:val="28"/>
        </w:rPr>
        <w:t>нка подвижности глазных яблок (о</w:t>
      </w:r>
      <w:r w:rsidR="00736A36" w:rsidRPr="002B136D">
        <w:rPr>
          <w:rFonts w:cs="Times New Roman"/>
          <w:szCs w:val="28"/>
        </w:rPr>
        <w:t>существлялась при помощи стандартных офтальмологических методов, включая тесты на следование за движущимся объектом и оценку ограничения движений глаза в разл</w:t>
      </w:r>
      <w:r w:rsidR="00853436" w:rsidRPr="002B136D">
        <w:rPr>
          <w:rFonts w:cs="Times New Roman"/>
          <w:szCs w:val="28"/>
        </w:rPr>
        <w:t>ичных направлениях), определение</w:t>
      </w:r>
      <w:r w:rsidR="00736A36" w:rsidRPr="002B136D">
        <w:rPr>
          <w:rFonts w:cs="Times New Roman"/>
          <w:szCs w:val="28"/>
        </w:rPr>
        <w:t xml:space="preserve"> формы ЭОП (</w:t>
      </w:r>
      <w:r w:rsidR="00F653C5" w:rsidRPr="002B136D">
        <w:rPr>
          <w:rFonts w:cs="Times New Roman"/>
          <w:szCs w:val="28"/>
        </w:rPr>
        <w:t>к</w:t>
      </w:r>
      <w:r w:rsidR="00736A36" w:rsidRPr="002B136D">
        <w:rPr>
          <w:rFonts w:cs="Times New Roman"/>
          <w:szCs w:val="28"/>
        </w:rPr>
        <w:t>лассифицировалась по клиническим критериям, исходя из степени тяжести и характера поражения орбитальных тканей, включая воспалительную, фиброзную или смешанную формы),</w:t>
      </w:r>
      <w:r w:rsidR="00F653C5" w:rsidRPr="002B136D">
        <w:rPr>
          <w:rFonts w:cs="Times New Roman"/>
          <w:szCs w:val="28"/>
        </w:rPr>
        <w:t xml:space="preserve"> показатели экзофтальмометрии (з</w:t>
      </w:r>
      <w:r w:rsidR="00736A36" w:rsidRPr="002B136D">
        <w:rPr>
          <w:rFonts w:cs="Times New Roman"/>
          <w:szCs w:val="28"/>
        </w:rPr>
        <w:t>амерялось с использованием экзофтальмометра для количественной оценки степени выступания глазного яблока), показатели ретракции век (на основе внешнего осмотра и регистрации изменений в положении века).</w:t>
      </w:r>
    </w:p>
    <w:p w14:paraId="65760C8B" w14:textId="27C26514" w:rsidR="00BB2030" w:rsidRPr="002B136D" w:rsidRDefault="00736A36" w:rsidP="0067708D">
      <w:pPr>
        <w:spacing w:after="0" w:line="240" w:lineRule="auto"/>
        <w:ind w:firstLine="567"/>
        <w:contextualSpacing/>
        <w:jc w:val="both"/>
        <w:rPr>
          <w:rFonts w:cs="Times New Roman"/>
          <w:szCs w:val="28"/>
        </w:rPr>
      </w:pPr>
      <w:r w:rsidRPr="002B136D">
        <w:rPr>
          <w:rFonts w:cs="Times New Roman"/>
          <w:szCs w:val="28"/>
          <w:lang w:val="kk-KZ"/>
        </w:rPr>
        <w:t>Также в ходе исследования был</w:t>
      </w:r>
      <w:r w:rsidR="008E5A7C" w:rsidRPr="002B136D">
        <w:rPr>
          <w:rFonts w:cs="Times New Roman"/>
          <w:szCs w:val="28"/>
          <w:lang w:val="kk-KZ"/>
        </w:rPr>
        <w:t>а определена ст</w:t>
      </w:r>
      <w:r w:rsidR="00BB2030" w:rsidRPr="002B136D">
        <w:rPr>
          <w:rFonts w:cs="Times New Roman"/>
          <w:szCs w:val="28"/>
          <w:lang w:val="kk-KZ"/>
        </w:rPr>
        <w:t>епень тяжести заболевания согласно классификации Европейской группой исследователей бол</w:t>
      </w:r>
      <w:r w:rsidR="0043660C" w:rsidRPr="002B136D">
        <w:rPr>
          <w:rFonts w:cs="Times New Roman"/>
          <w:szCs w:val="28"/>
          <w:lang w:val="kk-KZ"/>
        </w:rPr>
        <w:t xml:space="preserve">езни Грейвса (EUGOGO) </w:t>
      </w:r>
      <w:r w:rsidR="0067708D">
        <w:rPr>
          <w:rFonts w:cs="Times New Roman"/>
          <w:szCs w:val="28"/>
          <w:lang w:val="kk-KZ"/>
        </w:rPr>
        <w:t>(</w:t>
      </w:r>
      <w:r w:rsidR="00B60ACD">
        <w:rPr>
          <w:rFonts w:cs="Times New Roman"/>
          <w:szCs w:val="28"/>
          <w:lang w:val="kk-KZ"/>
        </w:rPr>
        <w:t>рисунок 8</w:t>
      </w:r>
      <w:r w:rsidR="00BB2030" w:rsidRPr="002B136D">
        <w:rPr>
          <w:rFonts w:cs="Times New Roman"/>
          <w:szCs w:val="28"/>
          <w:lang w:val="kk-KZ"/>
        </w:rPr>
        <w:t>).</w:t>
      </w:r>
      <w:r w:rsidR="00853436" w:rsidRPr="002B136D">
        <w:rPr>
          <w:rFonts w:cs="Times New Roman"/>
          <w:szCs w:val="28"/>
          <w:lang w:val="kk-KZ"/>
        </w:rPr>
        <w:t xml:space="preserve"> </w:t>
      </w:r>
      <w:bookmarkEnd w:id="3"/>
    </w:p>
    <w:p w14:paraId="1813B8F0" w14:textId="77777777" w:rsidR="00185CE3" w:rsidRPr="002B136D" w:rsidRDefault="00185CE3" w:rsidP="0067708D">
      <w:pPr>
        <w:spacing w:after="0" w:line="240" w:lineRule="auto"/>
        <w:ind w:firstLine="567"/>
        <w:contextualSpacing/>
        <w:jc w:val="both"/>
        <w:rPr>
          <w:rFonts w:cs="Times New Roman"/>
          <w:szCs w:val="28"/>
          <w:lang w:val="kk-KZ"/>
        </w:rPr>
      </w:pPr>
      <w:r w:rsidRPr="002B136D">
        <w:rPr>
          <w:rFonts w:cs="Times New Roman"/>
          <w:szCs w:val="28"/>
          <w:lang w:val="kk-KZ"/>
        </w:rPr>
        <w:t xml:space="preserve">Оценка активности эндокринной офтальмопатии (ЭОП) была проведена по шкале Clinical Activity Score (CAS), которая является утвержденным методом для количественной оценки воспалительной активности при ЭОП. Шкала CAS включает в себя ряд клинических признаков, на основании которых врач может оценить текущую активность заболевания. Ключевые признаки включают: Покраснение и отек периорбитальных тканей, болезненность в области периорбиты или при движении глазных яблок, усиление экзофтальма, свежие сосудистые изменения конъюнктивы или кожи век, ощущение песка в глазах. Каждый признак оценивался по наличию или отсутствию, и за наличие пациента получал балл. Общий балл по CAS для первичных пациентов варьируется от 0 до 7, где более высокий балл указывает на большую активность заболевания. Активность ЭОП считалась значительной при CAS 3 или более. </w:t>
      </w:r>
    </w:p>
    <w:p w14:paraId="20B56DF3" w14:textId="77777777" w:rsidR="00185CE3" w:rsidRPr="002B136D" w:rsidRDefault="00185CE3" w:rsidP="0067708D">
      <w:pPr>
        <w:spacing w:after="0" w:line="240" w:lineRule="auto"/>
        <w:ind w:firstLine="567"/>
        <w:contextualSpacing/>
        <w:jc w:val="both"/>
        <w:rPr>
          <w:rFonts w:cs="Times New Roman"/>
          <w:szCs w:val="28"/>
        </w:rPr>
      </w:pPr>
      <w:r w:rsidRPr="002B136D">
        <w:rPr>
          <w:rFonts w:cs="Times New Roman"/>
          <w:szCs w:val="28"/>
        </w:rPr>
        <w:t xml:space="preserve">Острота зрения оценивалась в LogMAR для количественной оценки зрительной функции и стандартизации данных для статистического анализа. </w:t>
      </w:r>
      <w:r w:rsidRPr="002B136D">
        <w:rPr>
          <w:rFonts w:cs="Times New Roman"/>
          <w:szCs w:val="28"/>
        </w:rPr>
        <w:lastRenderedPageBreak/>
        <w:t>Внутриглазное давление, экзофтальм и размер глазной щели фиксировались количественно, что позволяет проводить математический анализ структурного и функционального состояния глаза. Поражения роговицы, нарушения подвижности глаз и увеличение глазодвигательных мышц оценивались качественно (категориально) для определения специфических симптомов и степени выраженности патологий, требуя применения тестов на независимость или сравнения пропорций.</w:t>
      </w:r>
    </w:p>
    <w:p w14:paraId="7C8A009C" w14:textId="77777777" w:rsidR="00013F8C" w:rsidRPr="0067708D" w:rsidRDefault="00013F8C" w:rsidP="009327F2">
      <w:pPr>
        <w:spacing w:after="0" w:line="240" w:lineRule="auto"/>
        <w:contextualSpacing/>
        <w:jc w:val="both"/>
        <w:rPr>
          <w:rFonts w:cs="Times New Roman"/>
          <w:b/>
          <w:szCs w:val="28"/>
        </w:rPr>
      </w:pPr>
    </w:p>
    <w:p w14:paraId="6B46FCA1" w14:textId="7CB9BCB9" w:rsidR="0023446D" w:rsidRPr="002B136D" w:rsidRDefault="00F0122A" w:rsidP="009327F2">
      <w:pPr>
        <w:spacing w:after="0" w:line="240" w:lineRule="auto"/>
        <w:contextualSpacing/>
        <w:jc w:val="both"/>
        <w:rPr>
          <w:rFonts w:cs="Times New Roman"/>
          <w:szCs w:val="28"/>
        </w:rPr>
      </w:pPr>
      <w:r w:rsidRPr="002B136D">
        <w:rPr>
          <w:rFonts w:cs="Times New Roman"/>
          <w:noProof/>
          <w:szCs w:val="28"/>
          <w:lang w:eastAsia="ru-RU"/>
        </w:rPr>
        <w:drawing>
          <wp:inline distT="0" distB="0" distL="0" distR="0" wp14:anchorId="3D4CF887" wp14:editId="082B745B">
            <wp:extent cx="5715000" cy="4747260"/>
            <wp:effectExtent l="38100" t="19050" r="19050" b="3429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E0A6D36" w14:textId="77777777" w:rsidR="00013F8C" w:rsidRDefault="00013F8C" w:rsidP="00167A90">
      <w:pPr>
        <w:spacing w:after="0" w:line="240" w:lineRule="auto"/>
        <w:ind w:firstLine="709"/>
        <w:contextualSpacing/>
        <w:jc w:val="both"/>
        <w:rPr>
          <w:rFonts w:cs="Times New Roman"/>
          <w:b/>
          <w:szCs w:val="28"/>
        </w:rPr>
      </w:pPr>
    </w:p>
    <w:p w14:paraId="6DA8FCD6" w14:textId="5DE26605" w:rsidR="0067708D" w:rsidRPr="0067708D" w:rsidRDefault="0067708D" w:rsidP="0067708D">
      <w:pPr>
        <w:spacing w:after="0" w:line="240" w:lineRule="auto"/>
        <w:contextualSpacing/>
        <w:jc w:val="center"/>
        <w:rPr>
          <w:rFonts w:cs="Times New Roman"/>
          <w:bCs/>
          <w:szCs w:val="28"/>
        </w:rPr>
      </w:pPr>
      <w:r>
        <w:rPr>
          <w:rFonts w:cs="Times New Roman"/>
          <w:bCs/>
          <w:szCs w:val="28"/>
          <w:lang w:val="kk-KZ"/>
        </w:rPr>
        <w:t>Рисунок</w:t>
      </w:r>
      <w:r w:rsidRPr="0067708D">
        <w:rPr>
          <w:rFonts w:cs="Times New Roman"/>
          <w:bCs/>
          <w:szCs w:val="28"/>
          <w:lang w:val="kk-KZ"/>
        </w:rPr>
        <w:t xml:space="preserve"> </w:t>
      </w:r>
      <w:r w:rsidR="00B60ACD">
        <w:rPr>
          <w:rFonts w:cs="Times New Roman"/>
          <w:bCs/>
          <w:szCs w:val="28"/>
          <w:lang w:val="kk-KZ"/>
        </w:rPr>
        <w:t>8</w:t>
      </w:r>
      <w:r w:rsidRPr="0067708D">
        <w:rPr>
          <w:rFonts w:cs="Times New Roman"/>
          <w:bCs/>
          <w:szCs w:val="28"/>
          <w:lang w:val="kk-KZ"/>
        </w:rPr>
        <w:t xml:space="preserve"> - Степени тяжести по</w:t>
      </w:r>
      <w:r w:rsidRPr="0067708D">
        <w:rPr>
          <w:rFonts w:cs="Times New Roman"/>
          <w:bCs/>
          <w:szCs w:val="28"/>
        </w:rPr>
        <w:t xml:space="preserve"> </w:t>
      </w:r>
      <w:r w:rsidRPr="0067708D">
        <w:rPr>
          <w:rFonts w:cs="Times New Roman"/>
          <w:bCs/>
          <w:szCs w:val="28"/>
          <w:lang w:val="kk-KZ"/>
        </w:rPr>
        <w:t xml:space="preserve">классификации Европейской группой исследователей болезни Грейвса </w:t>
      </w:r>
      <w:r w:rsidRPr="0067708D">
        <w:rPr>
          <w:rFonts w:cs="Times New Roman"/>
          <w:bCs/>
          <w:szCs w:val="28"/>
        </w:rPr>
        <w:t>(</w:t>
      </w:r>
      <w:r w:rsidRPr="0067708D">
        <w:rPr>
          <w:rFonts w:cs="Times New Roman"/>
          <w:bCs/>
          <w:szCs w:val="28"/>
          <w:lang w:val="en-US"/>
        </w:rPr>
        <w:t>EUGOGO</w:t>
      </w:r>
      <w:r w:rsidRPr="0067708D">
        <w:rPr>
          <w:rFonts w:cs="Times New Roman"/>
          <w:bCs/>
          <w:szCs w:val="28"/>
        </w:rPr>
        <w:t>)</w:t>
      </w:r>
    </w:p>
    <w:p w14:paraId="4F2C32E3" w14:textId="77777777" w:rsidR="0067708D" w:rsidRPr="0067708D" w:rsidRDefault="0067708D" w:rsidP="00167A90">
      <w:pPr>
        <w:spacing w:after="0" w:line="240" w:lineRule="auto"/>
        <w:ind w:firstLine="709"/>
        <w:contextualSpacing/>
        <w:jc w:val="both"/>
        <w:rPr>
          <w:rFonts w:cs="Times New Roman"/>
          <w:b/>
          <w:szCs w:val="28"/>
        </w:rPr>
      </w:pPr>
    </w:p>
    <w:p w14:paraId="69C1932B" w14:textId="780771B2" w:rsidR="008E5A7C" w:rsidRPr="002B136D" w:rsidRDefault="008E5A7C" w:rsidP="0067708D">
      <w:pPr>
        <w:spacing w:after="0" w:line="240" w:lineRule="auto"/>
        <w:ind w:firstLine="567"/>
        <w:contextualSpacing/>
        <w:jc w:val="both"/>
        <w:rPr>
          <w:rFonts w:cs="Times New Roman"/>
          <w:b/>
          <w:szCs w:val="28"/>
          <w:lang w:val="kk-KZ"/>
        </w:rPr>
      </w:pPr>
      <w:r w:rsidRPr="002B136D">
        <w:rPr>
          <w:rFonts w:cs="Times New Roman"/>
          <w:b/>
          <w:szCs w:val="28"/>
        </w:rPr>
        <w:t>2.</w:t>
      </w:r>
      <w:r w:rsidR="00023075" w:rsidRPr="002B136D">
        <w:rPr>
          <w:rFonts w:cs="Times New Roman"/>
          <w:b/>
          <w:szCs w:val="28"/>
        </w:rPr>
        <w:t>3</w:t>
      </w:r>
      <w:r w:rsidRPr="002B136D">
        <w:rPr>
          <w:rFonts w:cs="Times New Roman"/>
          <w:b/>
          <w:szCs w:val="28"/>
        </w:rPr>
        <w:t xml:space="preserve"> </w:t>
      </w:r>
      <w:r w:rsidR="003E4713" w:rsidRPr="002B136D">
        <w:rPr>
          <w:rFonts w:cs="Times New Roman"/>
          <w:b/>
          <w:szCs w:val="28"/>
          <w:lang w:val="kk-KZ"/>
        </w:rPr>
        <w:t>Клинические методы исследования</w:t>
      </w:r>
    </w:p>
    <w:p w14:paraId="223474E6" w14:textId="77777777" w:rsidR="0023446D" w:rsidRPr="002B136D" w:rsidRDefault="00A31D94" w:rsidP="0067708D">
      <w:pPr>
        <w:spacing w:after="0" w:line="240" w:lineRule="auto"/>
        <w:ind w:firstLine="567"/>
        <w:contextualSpacing/>
        <w:jc w:val="both"/>
        <w:rPr>
          <w:rFonts w:cs="Times New Roman"/>
          <w:szCs w:val="28"/>
        </w:rPr>
      </w:pPr>
      <w:r w:rsidRPr="002B136D">
        <w:rPr>
          <w:rFonts w:cs="Times New Roman"/>
          <w:szCs w:val="28"/>
        </w:rPr>
        <w:t xml:space="preserve">В рамках исследования в Казахстанском научно-исследовательском институте глазных болезней (КазНИИ ГБ), пациентам с диагнозом </w:t>
      </w:r>
      <w:proofErr w:type="gramStart"/>
      <w:r w:rsidRPr="002B136D">
        <w:rPr>
          <w:rFonts w:cs="Times New Roman"/>
          <w:szCs w:val="28"/>
        </w:rPr>
        <w:t>эндокринная</w:t>
      </w:r>
      <w:proofErr w:type="gramEnd"/>
      <w:r w:rsidRPr="002B136D">
        <w:rPr>
          <w:rFonts w:cs="Times New Roman"/>
          <w:szCs w:val="28"/>
        </w:rPr>
        <w:t xml:space="preserve"> офтальмопатия проводился обширный комплекс офтальмологических исследований, чтобы оценить структурные и функциональные характеристики глаза. </w:t>
      </w:r>
    </w:p>
    <w:p w14:paraId="3CB57363" w14:textId="11A92D1D" w:rsidR="00A31D94" w:rsidRPr="002B136D" w:rsidRDefault="00A31D94" w:rsidP="0067708D">
      <w:pPr>
        <w:spacing w:after="0" w:line="240" w:lineRule="auto"/>
        <w:ind w:firstLine="567"/>
        <w:contextualSpacing/>
        <w:jc w:val="both"/>
        <w:rPr>
          <w:rFonts w:cs="Times New Roman"/>
          <w:szCs w:val="28"/>
        </w:rPr>
      </w:pPr>
      <w:r w:rsidRPr="002B136D">
        <w:rPr>
          <w:rFonts w:cs="Times New Roman"/>
          <w:szCs w:val="28"/>
        </w:rPr>
        <w:t>Включены в протокол следующие методики:</w:t>
      </w:r>
    </w:p>
    <w:p w14:paraId="1E17C40D" w14:textId="77777777" w:rsidR="0023446D" w:rsidRPr="002B136D" w:rsidRDefault="00A31D94" w:rsidP="0067708D">
      <w:pPr>
        <w:spacing w:after="0" w:line="240" w:lineRule="auto"/>
        <w:ind w:firstLine="567"/>
        <w:contextualSpacing/>
        <w:jc w:val="both"/>
        <w:rPr>
          <w:rFonts w:cs="Times New Roman"/>
          <w:szCs w:val="28"/>
        </w:rPr>
      </w:pPr>
      <w:r w:rsidRPr="002B136D">
        <w:rPr>
          <w:rFonts w:cs="Times New Roman"/>
          <w:i/>
          <w:szCs w:val="28"/>
        </w:rPr>
        <w:t>Рефрактометрия</w:t>
      </w:r>
      <w:r w:rsidRPr="002B136D">
        <w:rPr>
          <w:rFonts w:cs="Times New Roman"/>
          <w:szCs w:val="28"/>
        </w:rPr>
        <w:t xml:space="preserve">: Измерение преломляющей силы светопроводящих структур глаза проводилось с использованием авторефрактокератометра </w:t>
      </w:r>
      <w:r w:rsidRPr="002B136D">
        <w:rPr>
          <w:rFonts w:cs="Times New Roman"/>
          <w:szCs w:val="28"/>
        </w:rPr>
        <w:lastRenderedPageBreak/>
        <w:t xml:space="preserve">модели "ACCUREF-K 90" от фирмы "Ajinomoto Trading Inc./Shin-Nippon" (Япония, 2010 г.). </w:t>
      </w:r>
    </w:p>
    <w:p w14:paraId="181876E2" w14:textId="51755A58" w:rsidR="00A31D94" w:rsidRPr="002B136D" w:rsidRDefault="00A31D94" w:rsidP="0067708D">
      <w:pPr>
        <w:spacing w:after="0" w:line="240" w:lineRule="auto"/>
        <w:ind w:firstLine="567"/>
        <w:contextualSpacing/>
        <w:jc w:val="both"/>
        <w:rPr>
          <w:rFonts w:cs="Times New Roman"/>
          <w:szCs w:val="28"/>
        </w:rPr>
      </w:pPr>
      <w:r w:rsidRPr="002B136D">
        <w:rPr>
          <w:rFonts w:cs="Times New Roman"/>
          <w:szCs w:val="28"/>
        </w:rPr>
        <w:t>Эта методика позволяла точно определить степень аметропии и предоставить информацию о состоянии роговицы.</w:t>
      </w:r>
    </w:p>
    <w:p w14:paraId="7D956E60" w14:textId="2535BC0E" w:rsidR="00A31D94" w:rsidRPr="002B136D" w:rsidRDefault="00A31D94" w:rsidP="0067708D">
      <w:pPr>
        <w:spacing w:after="0" w:line="240" w:lineRule="auto"/>
        <w:ind w:firstLine="567"/>
        <w:contextualSpacing/>
        <w:jc w:val="both"/>
        <w:rPr>
          <w:rFonts w:cs="Times New Roman"/>
          <w:szCs w:val="28"/>
        </w:rPr>
      </w:pPr>
      <w:r w:rsidRPr="002B136D">
        <w:rPr>
          <w:rFonts w:cs="Times New Roman"/>
          <w:i/>
          <w:szCs w:val="28"/>
        </w:rPr>
        <w:t>Визометрия</w:t>
      </w:r>
      <w:r w:rsidR="008E5A7C" w:rsidRPr="002B136D">
        <w:rPr>
          <w:rFonts w:cs="Times New Roman"/>
          <w:i/>
          <w:szCs w:val="28"/>
        </w:rPr>
        <w:t>:</w:t>
      </w:r>
      <w:r w:rsidR="008E5A7C" w:rsidRPr="002B136D">
        <w:rPr>
          <w:rFonts w:cs="Times New Roman"/>
          <w:szCs w:val="28"/>
        </w:rPr>
        <w:t xml:space="preserve"> для</w:t>
      </w:r>
      <w:r w:rsidRPr="002B136D">
        <w:rPr>
          <w:rFonts w:cs="Times New Roman"/>
          <w:szCs w:val="28"/>
        </w:rPr>
        <w:t xml:space="preserve"> оценки остроты зрения использовался проектор знаков фирмы «Topcon» (Япония). При невозможности определения остроты зрения с использованием этого метода (например, при остроте зрения ниже 0,05), альтернативно применялся метод показа пальцев на освещенном фоне.</w:t>
      </w:r>
    </w:p>
    <w:p w14:paraId="028ECDFB" w14:textId="77777777" w:rsidR="00A31D94" w:rsidRPr="002B136D" w:rsidRDefault="00A31D94" w:rsidP="0067708D">
      <w:pPr>
        <w:spacing w:after="0" w:line="240" w:lineRule="auto"/>
        <w:ind w:firstLine="567"/>
        <w:contextualSpacing/>
        <w:jc w:val="both"/>
        <w:rPr>
          <w:rFonts w:cs="Times New Roman"/>
          <w:szCs w:val="28"/>
        </w:rPr>
      </w:pPr>
      <w:r w:rsidRPr="002B136D">
        <w:rPr>
          <w:rFonts w:cs="Times New Roman"/>
          <w:szCs w:val="28"/>
        </w:rPr>
        <w:t xml:space="preserve">Эти методики позволяли собрать детальные данные о состоянии зрительного аппарата пациентов, что является критически важным для диагностики и стратегии лечения эндокринной офтальмопатии. </w:t>
      </w:r>
    </w:p>
    <w:p w14:paraId="3B80C5FD" w14:textId="77777777" w:rsidR="00A31D94" w:rsidRPr="002B136D" w:rsidRDefault="00A31D94" w:rsidP="0067708D">
      <w:pPr>
        <w:spacing w:after="0" w:line="240" w:lineRule="auto"/>
        <w:ind w:firstLine="567"/>
        <w:contextualSpacing/>
        <w:jc w:val="both"/>
        <w:rPr>
          <w:rFonts w:cs="Times New Roman"/>
          <w:szCs w:val="28"/>
        </w:rPr>
      </w:pPr>
      <w:r w:rsidRPr="002B136D">
        <w:rPr>
          <w:rFonts w:cs="Times New Roman"/>
          <w:szCs w:val="28"/>
        </w:rPr>
        <w:t>Применение современного оборудования и стандартизированных протоколов обеспечивало высокую точность и воспроизводимость результатов, что в свою очередь способствовало повышению научной надежности исследования.</w:t>
      </w:r>
    </w:p>
    <w:p w14:paraId="56385068"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Дополнительно к уже упомянутым методам исследования, был реализован следующий спектр офтальмологических процедур:</w:t>
      </w:r>
    </w:p>
    <w:p w14:paraId="497179ED"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Тонометрия: Измерение внутриглазного давления проводилось с использованием бесконтактного тонометра модели FT-1000, произведенного компанией «Tomey Corporation» (Япония, 2012 г.). Такой подход минимизирует риск инфекционного перекрестного заражения и обеспечивает быструю и точную оценку.</w:t>
      </w:r>
    </w:p>
    <w:p w14:paraId="215F5244"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Биомикроскопия переднего отрезка глаза: Эта процедура выполнялась с помощью щелевой лампы типа S260S от фирмы «MediWorks» (Китай, 2003 г.). С её помощью оценивались состояние роговицы, передней камеры и хрусталика.</w:t>
      </w:r>
    </w:p>
    <w:p w14:paraId="60E3B406"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Офтальмоскопия: Для диагностики состояния глазного дна применялись прямая офтальмоскопия с использованием офтальмоскопов фирм «Heine» (Германия) и «Keeler» (Англия), а также биомикроофтальмоскопия с линзами «Volk optical» 90D (США, 2018 г.).</w:t>
      </w:r>
    </w:p>
    <w:p w14:paraId="1A7E224C"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Оценка угла косоглазия по Гиршбергу: Использовался офтальмоскоп модели BETA 200 от фирмы «HEINE» (Германия, 2014 г.).</w:t>
      </w:r>
    </w:p>
    <w:p w14:paraId="73F68876"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Экзофтальмометрия: Для определения выстояния глазного яблока применялся экзофтальмометр Гертеля, модель ЭОМ-57, произведенный компанией «ЗОМЗ-Плюс» (Россия, 2011 г.).</w:t>
      </w:r>
    </w:p>
    <w:p w14:paraId="53DE0250" w14:textId="77777777" w:rsidR="00A31D94"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Компьютерная томография орбит: Процедура выполнялась в двух проекциях с обязательной денситометрией мягких тканей, что позволяло оценить анатомические и патологические изменения.</w:t>
      </w:r>
    </w:p>
    <w:p w14:paraId="070BA330" w14:textId="3B45FCB6" w:rsidR="00EE7AFC" w:rsidRPr="002B136D" w:rsidRDefault="00A31D94" w:rsidP="0067708D">
      <w:pPr>
        <w:spacing w:after="0" w:line="240" w:lineRule="auto"/>
        <w:ind w:firstLine="567"/>
        <w:contextualSpacing/>
        <w:jc w:val="both"/>
        <w:rPr>
          <w:rFonts w:cs="Times New Roman"/>
          <w:szCs w:val="28"/>
          <w:lang w:val="kk-KZ"/>
        </w:rPr>
      </w:pPr>
      <w:r w:rsidRPr="002B136D">
        <w:rPr>
          <w:rFonts w:cs="Times New Roman"/>
          <w:szCs w:val="28"/>
          <w:lang w:val="kk-KZ"/>
        </w:rPr>
        <w:t xml:space="preserve">Комплексное применение этих методик создавало мультимодальную диагностическую платформу, способную обеспечить детализированную характеристику офтальмологического статуса. Все процедуры были стандартизированы и проводились с использованием высококачественного диагностического оборудования, что повышало точность и надежность </w:t>
      </w:r>
      <w:r w:rsidRPr="002B136D">
        <w:rPr>
          <w:rFonts w:cs="Times New Roman"/>
          <w:szCs w:val="28"/>
          <w:lang w:val="kk-KZ"/>
        </w:rPr>
        <w:lastRenderedPageBreak/>
        <w:t>полученных данных, необходимых для научного анализа и клинических выводов</w:t>
      </w:r>
      <w:r w:rsidR="00B60ACD">
        <w:rPr>
          <w:rFonts w:cs="Times New Roman"/>
          <w:szCs w:val="28"/>
          <w:lang w:val="kk-KZ"/>
        </w:rPr>
        <w:t xml:space="preserve"> (рисуунок 9)</w:t>
      </w:r>
      <w:r w:rsidRPr="002B136D">
        <w:rPr>
          <w:rFonts w:cs="Times New Roman"/>
          <w:szCs w:val="28"/>
          <w:lang w:val="kk-KZ"/>
        </w:rPr>
        <w:t>.</w:t>
      </w:r>
    </w:p>
    <w:p w14:paraId="4002C4D6" w14:textId="77777777" w:rsidR="00185CE3" w:rsidRPr="002B136D" w:rsidRDefault="00185CE3" w:rsidP="0067708D">
      <w:pPr>
        <w:spacing w:after="0" w:line="240" w:lineRule="auto"/>
        <w:contextualSpacing/>
        <w:rPr>
          <w:rFonts w:cs="Times New Roman"/>
          <w:b/>
          <w:szCs w:val="28"/>
        </w:rPr>
      </w:pPr>
    </w:p>
    <w:p w14:paraId="2259CA92" w14:textId="77777777" w:rsidR="00CC0E07" w:rsidRPr="002B136D" w:rsidRDefault="00CC0E07" w:rsidP="006E7629">
      <w:pPr>
        <w:spacing w:after="0" w:line="360" w:lineRule="auto"/>
        <w:jc w:val="both"/>
        <w:rPr>
          <w:rFonts w:cs="Times New Roman"/>
          <w:b/>
          <w:szCs w:val="28"/>
        </w:rPr>
      </w:pPr>
      <w:r w:rsidRPr="002B136D">
        <w:rPr>
          <w:rFonts w:cs="Times New Roman"/>
          <w:b/>
          <w:noProof/>
          <w:szCs w:val="28"/>
          <w:lang w:eastAsia="ru-RU"/>
        </w:rPr>
        <w:drawing>
          <wp:inline distT="0" distB="0" distL="0" distR="0" wp14:anchorId="605B41C4" wp14:editId="27F6D54B">
            <wp:extent cx="5976620" cy="21145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01176" cy="2123238"/>
                    </a:xfrm>
                    <a:prstGeom prst="rect">
                      <a:avLst/>
                    </a:prstGeom>
                  </pic:spPr>
                </pic:pic>
              </a:graphicData>
            </a:graphic>
          </wp:inline>
        </w:drawing>
      </w:r>
    </w:p>
    <w:p w14:paraId="4B6236F3" w14:textId="77777777" w:rsidR="0067708D" w:rsidRPr="0067708D" w:rsidRDefault="0067708D" w:rsidP="0067708D">
      <w:pPr>
        <w:spacing w:after="0" w:line="240" w:lineRule="auto"/>
        <w:contextualSpacing/>
        <w:jc w:val="center"/>
        <w:rPr>
          <w:rFonts w:cs="Times New Roman"/>
          <w:b/>
          <w:sz w:val="16"/>
          <w:szCs w:val="16"/>
        </w:rPr>
      </w:pPr>
    </w:p>
    <w:p w14:paraId="5BD21E43" w14:textId="77777777" w:rsidR="0067708D" w:rsidRDefault="0067708D" w:rsidP="0067708D">
      <w:pPr>
        <w:spacing w:after="0" w:line="240" w:lineRule="auto"/>
        <w:contextualSpacing/>
        <w:jc w:val="center"/>
        <w:rPr>
          <w:rFonts w:cs="Times New Roman"/>
          <w:bCs/>
          <w:sz w:val="24"/>
          <w:szCs w:val="24"/>
        </w:rPr>
      </w:pPr>
      <w:r w:rsidRPr="0067708D">
        <w:rPr>
          <w:rFonts w:cs="Times New Roman"/>
          <w:bCs/>
          <w:sz w:val="24"/>
          <w:szCs w:val="24"/>
        </w:rPr>
        <w:t>а – общий вид экзофтальмометра, б - способ измерения</w:t>
      </w:r>
    </w:p>
    <w:p w14:paraId="76D704C7" w14:textId="77777777" w:rsidR="0067708D" w:rsidRPr="0067708D" w:rsidRDefault="0067708D" w:rsidP="0067708D">
      <w:pPr>
        <w:spacing w:after="0" w:line="240" w:lineRule="auto"/>
        <w:contextualSpacing/>
        <w:jc w:val="center"/>
        <w:rPr>
          <w:rFonts w:cs="Times New Roman"/>
          <w:bCs/>
          <w:szCs w:val="28"/>
        </w:rPr>
      </w:pPr>
    </w:p>
    <w:p w14:paraId="11BFD253" w14:textId="69DCA9B3" w:rsidR="00CC0E07" w:rsidRDefault="0067708D" w:rsidP="0067708D">
      <w:pPr>
        <w:spacing w:after="0" w:line="240" w:lineRule="auto"/>
        <w:contextualSpacing/>
        <w:jc w:val="center"/>
        <w:rPr>
          <w:rFonts w:cs="Times New Roman"/>
          <w:bCs/>
          <w:szCs w:val="28"/>
        </w:rPr>
      </w:pPr>
      <w:r w:rsidRPr="0067708D">
        <w:rPr>
          <w:rFonts w:cs="Times New Roman"/>
          <w:bCs/>
          <w:sz w:val="24"/>
          <w:szCs w:val="24"/>
        </w:rPr>
        <w:t xml:space="preserve"> </w:t>
      </w:r>
      <w:r w:rsidRPr="0067708D">
        <w:rPr>
          <w:rFonts w:cs="Times New Roman"/>
          <w:bCs/>
          <w:szCs w:val="28"/>
        </w:rPr>
        <w:t xml:space="preserve">Рисунок </w:t>
      </w:r>
      <w:r w:rsidR="00B60ACD">
        <w:rPr>
          <w:rFonts w:cs="Times New Roman"/>
          <w:bCs/>
          <w:szCs w:val="28"/>
        </w:rPr>
        <w:t>9</w:t>
      </w:r>
      <w:r w:rsidRPr="0067708D">
        <w:rPr>
          <w:rFonts w:cs="Times New Roman"/>
          <w:bCs/>
          <w:szCs w:val="28"/>
        </w:rPr>
        <w:t xml:space="preserve"> - Экзофтальмометр Гертеля </w:t>
      </w:r>
    </w:p>
    <w:p w14:paraId="511293CB" w14:textId="77777777" w:rsidR="0067708D" w:rsidRPr="0067708D" w:rsidRDefault="0067708D" w:rsidP="0067708D">
      <w:pPr>
        <w:spacing w:after="0" w:line="240" w:lineRule="auto"/>
        <w:contextualSpacing/>
        <w:jc w:val="center"/>
        <w:rPr>
          <w:rFonts w:cs="Times New Roman"/>
          <w:bCs/>
          <w:szCs w:val="28"/>
        </w:rPr>
      </w:pPr>
    </w:p>
    <w:p w14:paraId="06F48409" w14:textId="77777777" w:rsidR="00A31D94" w:rsidRPr="002B136D" w:rsidRDefault="00CC0E07" w:rsidP="0067708D">
      <w:pPr>
        <w:spacing w:after="0" w:line="240" w:lineRule="auto"/>
        <w:ind w:firstLine="567"/>
        <w:contextualSpacing/>
        <w:jc w:val="both"/>
        <w:rPr>
          <w:rFonts w:cs="Times New Roman"/>
          <w:szCs w:val="28"/>
        </w:rPr>
      </w:pPr>
      <w:r w:rsidRPr="002B136D">
        <w:rPr>
          <w:rFonts w:cs="Times New Roman"/>
          <w:szCs w:val="28"/>
        </w:rPr>
        <w:t xml:space="preserve">Экзофтальмометрия – узконаправленная специфическая процедура, которая используется </w:t>
      </w:r>
      <w:r w:rsidR="008062F6" w:rsidRPr="002B136D">
        <w:rPr>
          <w:rFonts w:cs="Times New Roman"/>
          <w:szCs w:val="28"/>
        </w:rPr>
        <w:t xml:space="preserve">в </w:t>
      </w:r>
      <w:r w:rsidRPr="002B136D">
        <w:rPr>
          <w:rFonts w:cs="Times New Roman"/>
          <w:szCs w:val="28"/>
        </w:rPr>
        <w:t>случаях для выявления патологий энофтальма и экзофтальма.</w:t>
      </w:r>
    </w:p>
    <w:p w14:paraId="6D7A047D" w14:textId="43E0AC28" w:rsidR="00A31D94" w:rsidRPr="002B136D" w:rsidRDefault="00CC0E07" w:rsidP="0067708D">
      <w:pPr>
        <w:spacing w:after="0" w:line="240" w:lineRule="auto"/>
        <w:ind w:firstLine="567"/>
        <w:contextualSpacing/>
        <w:jc w:val="both"/>
        <w:rPr>
          <w:rFonts w:cs="Times New Roman"/>
          <w:szCs w:val="28"/>
        </w:rPr>
      </w:pPr>
      <w:r w:rsidRPr="002B136D">
        <w:rPr>
          <w:rFonts w:cs="Times New Roman"/>
          <w:szCs w:val="28"/>
        </w:rPr>
        <w:t>Диагностика предусматривает замеры расстояния между плоскостями, одна из которых проходит по касательной линии через в</w:t>
      </w:r>
      <w:r w:rsidR="00B0686C">
        <w:rPr>
          <w:rFonts w:cs="Times New Roman"/>
          <w:szCs w:val="28"/>
        </w:rPr>
        <w:t xml:space="preserve">ерхнюю точку роговицы, вторая – </w:t>
      </w:r>
      <w:r w:rsidRPr="002B136D">
        <w:rPr>
          <w:rFonts w:cs="Times New Roman"/>
          <w:szCs w:val="28"/>
        </w:rPr>
        <w:t>по латеральному краю орбиты. Обе они расположены параллельно. Конст</w:t>
      </w:r>
      <w:r w:rsidR="0091211B" w:rsidRPr="002B136D">
        <w:rPr>
          <w:rFonts w:cs="Times New Roman"/>
          <w:szCs w:val="28"/>
        </w:rPr>
        <w:t>рукция экзофтальмометра, которая</w:t>
      </w:r>
      <w:r w:rsidRPr="002B136D">
        <w:rPr>
          <w:rFonts w:cs="Times New Roman"/>
          <w:szCs w:val="28"/>
        </w:rPr>
        <w:t xml:space="preserve"> применяют в процессе, предусматривает наличие двух рамок, которые двигаются на одной планке. На каждой из планок установлены два зеркала. </w:t>
      </w:r>
    </w:p>
    <w:p w14:paraId="7D0B2A97" w14:textId="23D9C4A6" w:rsidR="00CC0E07" w:rsidRPr="002B136D" w:rsidRDefault="00CC0E07" w:rsidP="0067708D">
      <w:pPr>
        <w:spacing w:after="0" w:line="240" w:lineRule="auto"/>
        <w:ind w:firstLine="567"/>
        <w:contextualSpacing/>
        <w:jc w:val="both"/>
        <w:rPr>
          <w:rFonts w:cs="Times New Roman"/>
          <w:szCs w:val="28"/>
        </w:rPr>
      </w:pPr>
      <w:r w:rsidRPr="002B136D">
        <w:rPr>
          <w:rFonts w:cs="Times New Roman"/>
          <w:szCs w:val="28"/>
        </w:rPr>
        <w:t>Угол их расположения составляет 45° по отношению к зрительной оси глазного яблока. Каждая из рамок имеет выемки, которые необходимы для фиксации на стенках орбиты. В норме выстояние глазного яблока из глазницы составляет 14-19 мм, а асимметрия в положении парных глаз не должна превышать 1-2 мм</w:t>
      </w:r>
      <w:r w:rsidR="00EF15B0" w:rsidRPr="002B136D">
        <w:rPr>
          <w:rFonts w:cs="Times New Roman"/>
          <w:szCs w:val="28"/>
        </w:rPr>
        <w:t xml:space="preserve"> </w:t>
      </w:r>
      <w:r w:rsidR="00AF31F3">
        <w:rPr>
          <w:rFonts w:cs="Times New Roman"/>
          <w:szCs w:val="28"/>
        </w:rPr>
        <w:t>(рисунок</w:t>
      </w:r>
      <w:r w:rsidR="00283211">
        <w:rPr>
          <w:rFonts w:cs="Times New Roman"/>
          <w:szCs w:val="28"/>
        </w:rPr>
        <w:t xml:space="preserve"> </w:t>
      </w:r>
      <w:r w:rsidR="00B60ACD">
        <w:rPr>
          <w:rFonts w:cs="Times New Roman"/>
          <w:szCs w:val="28"/>
          <w:lang w:val="kk-KZ"/>
        </w:rPr>
        <w:t>9</w:t>
      </w:r>
      <w:r w:rsidR="00A31D94" w:rsidRPr="002B136D">
        <w:rPr>
          <w:rFonts w:cs="Times New Roman"/>
          <w:szCs w:val="28"/>
        </w:rPr>
        <w:t>).</w:t>
      </w:r>
    </w:p>
    <w:p w14:paraId="1DE1CA9C" w14:textId="5D3622D2" w:rsidR="00414B9F" w:rsidRPr="002B136D" w:rsidRDefault="00E62240" w:rsidP="0067708D">
      <w:pPr>
        <w:spacing w:after="0" w:line="240" w:lineRule="auto"/>
        <w:ind w:firstLine="567"/>
        <w:contextualSpacing/>
        <w:jc w:val="both"/>
        <w:rPr>
          <w:rFonts w:cs="Times New Roman"/>
          <w:b/>
          <w:szCs w:val="28"/>
          <w:lang w:val="kk-KZ"/>
        </w:rPr>
      </w:pPr>
      <w:proofErr w:type="gramStart"/>
      <w:r w:rsidRPr="002B136D">
        <w:rPr>
          <w:rFonts w:cs="Times New Roman"/>
          <w:szCs w:val="28"/>
        </w:rPr>
        <w:t xml:space="preserve">Для проведения иммунологического и иммунногистохимического анализа </w:t>
      </w:r>
      <w:r w:rsidR="00414B9F" w:rsidRPr="002B136D">
        <w:rPr>
          <w:rFonts w:cs="Times New Roman"/>
          <w:szCs w:val="28"/>
          <w:lang w:val="kk-KZ"/>
        </w:rPr>
        <w:t>проведённом в НИИ им. Атчабарова при Казахском национальном медицинском университете им. С.Д. Асфендиярова, было включено 70 пациентов</w:t>
      </w:r>
      <w:r w:rsidR="00BB30AE" w:rsidRPr="002B136D">
        <w:rPr>
          <w:rFonts w:cs="Times New Roman"/>
          <w:szCs w:val="28"/>
        </w:rPr>
        <w:t xml:space="preserve"> </w:t>
      </w:r>
      <w:r w:rsidR="00BB30AE" w:rsidRPr="002B136D">
        <w:rPr>
          <w:rFonts w:cs="Times New Roman"/>
          <w:szCs w:val="28"/>
          <w:lang w:val="en-US"/>
        </w:rPr>
        <w:t>c</w:t>
      </w:r>
      <w:r w:rsidR="00BB30AE" w:rsidRPr="002B136D">
        <w:rPr>
          <w:rFonts w:cs="Times New Roman"/>
          <w:szCs w:val="28"/>
        </w:rPr>
        <w:t xml:space="preserve"> “</w:t>
      </w:r>
      <w:r w:rsidR="00BB30AE" w:rsidRPr="002B136D">
        <w:rPr>
          <w:rFonts w:cs="Times New Roman"/>
          <w:szCs w:val="28"/>
          <w:lang w:val="en-US"/>
        </w:rPr>
        <w:t>JG</w:t>
      </w:r>
      <w:r w:rsidR="00414B9F" w:rsidRPr="002B136D">
        <w:rPr>
          <w:rFonts w:cs="Times New Roman"/>
          <w:szCs w:val="28"/>
          <w:lang w:val="kk-KZ"/>
        </w:rPr>
        <w:t xml:space="preserve">. </w:t>
      </w:r>
      <w:proofErr w:type="gramEnd"/>
    </w:p>
    <w:p w14:paraId="3B81BCD3" w14:textId="222FD211" w:rsidR="00E62240" w:rsidRPr="002B136D" w:rsidRDefault="00414B9F" w:rsidP="0067708D">
      <w:pPr>
        <w:spacing w:after="0" w:line="240" w:lineRule="auto"/>
        <w:ind w:firstLine="567"/>
        <w:contextualSpacing/>
        <w:jc w:val="both"/>
        <w:rPr>
          <w:rFonts w:cs="Times New Roman"/>
          <w:szCs w:val="28"/>
          <w:lang w:val="kk-KZ"/>
        </w:rPr>
      </w:pPr>
      <w:r w:rsidRPr="002B136D">
        <w:rPr>
          <w:rFonts w:cs="Times New Roman"/>
          <w:szCs w:val="28"/>
          <w:lang w:val="kk-KZ"/>
        </w:rPr>
        <w:t xml:space="preserve">Пациенты для целей исследования были разделены на три группы в зависимости от диагноза, как это представлено на рисунке </w:t>
      </w:r>
      <w:r w:rsidR="00B60ACD">
        <w:rPr>
          <w:rFonts w:cs="Times New Roman"/>
          <w:szCs w:val="28"/>
          <w:lang w:val="kk-KZ"/>
        </w:rPr>
        <w:t>10</w:t>
      </w:r>
      <w:r w:rsidRPr="002B136D">
        <w:rPr>
          <w:rFonts w:cs="Times New Roman"/>
          <w:szCs w:val="28"/>
          <w:lang w:val="kk-KZ"/>
        </w:rPr>
        <w:t xml:space="preserve"> (который, предположительно, иллюстрирует распределение пациентов по группам).</w:t>
      </w:r>
    </w:p>
    <w:p w14:paraId="7A268A26" w14:textId="7B63B773" w:rsidR="00414B9F" w:rsidRPr="002B136D" w:rsidRDefault="00414B9F" w:rsidP="0067708D">
      <w:pPr>
        <w:spacing w:after="0" w:line="240" w:lineRule="auto"/>
        <w:ind w:firstLine="567"/>
        <w:contextualSpacing/>
        <w:jc w:val="both"/>
        <w:rPr>
          <w:rFonts w:cs="Times New Roman"/>
          <w:b/>
          <w:szCs w:val="28"/>
          <w:lang w:val="kk-KZ"/>
        </w:rPr>
      </w:pPr>
      <w:r w:rsidRPr="002B136D">
        <w:rPr>
          <w:rFonts w:cs="Times New Roman"/>
          <w:szCs w:val="28"/>
          <w:lang w:val="kk-KZ"/>
        </w:rPr>
        <w:t>Такое разделение необходимо для проведения сравнительного анализа и выявления возможных корреляций между диагнозом и различными исследуемыми параметрами, включая остроту зрения, внутриглазное давление, состояние роговичной оболочки и другие показатели.</w:t>
      </w:r>
    </w:p>
    <w:p w14:paraId="55CB15B6" w14:textId="7C70FC86" w:rsidR="00DD33AE" w:rsidRDefault="00414B9F" w:rsidP="00455815">
      <w:pPr>
        <w:spacing w:after="0" w:line="240" w:lineRule="auto"/>
        <w:ind w:firstLine="567"/>
        <w:contextualSpacing/>
        <w:jc w:val="both"/>
        <w:rPr>
          <w:rFonts w:cs="Times New Roman"/>
          <w:b/>
          <w:szCs w:val="28"/>
          <w:lang w:val="kk-KZ"/>
        </w:rPr>
      </w:pPr>
      <w:r w:rsidRPr="002B136D">
        <w:rPr>
          <w:rFonts w:cs="Times New Roman"/>
          <w:szCs w:val="28"/>
          <w:lang w:val="kk-KZ"/>
        </w:rPr>
        <w:lastRenderedPageBreak/>
        <w:t>Этот дизайн исследования позволяет получить «снимок» состояния пациентов на определенный момент времени. Он ориентирован на изучение различных параметров в контексте конкретных диагнозов, что может служить основой для генерации новых гипотез или для подтверждения ранее сделанных предположений о механизмах развития и течения эндокринной офтальмопатии и связанных с ней состояний.</w:t>
      </w:r>
    </w:p>
    <w:p w14:paraId="034E6005" w14:textId="04424CBE" w:rsidR="00455815" w:rsidRPr="00455815" w:rsidRDefault="00455815" w:rsidP="00455815">
      <w:pPr>
        <w:spacing w:after="0" w:line="240" w:lineRule="auto"/>
        <w:ind w:firstLine="567"/>
        <w:contextualSpacing/>
        <w:jc w:val="both"/>
        <w:rPr>
          <w:rFonts w:cs="Times New Roman"/>
          <w:b/>
          <w:sz w:val="16"/>
          <w:szCs w:val="16"/>
          <w:lang w:val="kk-KZ"/>
        </w:rPr>
      </w:pPr>
    </w:p>
    <w:p w14:paraId="2019C56C" w14:textId="77777777" w:rsidR="00DD33AE" w:rsidRPr="00455815" w:rsidRDefault="00DD33AE" w:rsidP="00DD33AE">
      <w:pPr>
        <w:tabs>
          <w:tab w:val="left" w:pos="6276"/>
        </w:tabs>
        <w:spacing w:after="0" w:line="240" w:lineRule="auto"/>
        <w:contextualSpacing/>
        <w:jc w:val="center"/>
        <w:rPr>
          <w:rFonts w:cs="Times New Roman"/>
          <w:b/>
          <w:sz w:val="16"/>
          <w:szCs w:val="16"/>
        </w:rPr>
      </w:pPr>
    </w:p>
    <w:p w14:paraId="268F1B9F" w14:textId="1B869681" w:rsidR="00E62240" w:rsidRPr="002B136D" w:rsidRDefault="000D7194" w:rsidP="006E7629">
      <w:pPr>
        <w:tabs>
          <w:tab w:val="left" w:pos="6276"/>
        </w:tabs>
        <w:spacing w:after="0" w:line="360" w:lineRule="auto"/>
        <w:jc w:val="both"/>
        <w:rPr>
          <w:rFonts w:cs="Times New Roman"/>
          <w:szCs w:val="28"/>
        </w:rPr>
      </w:pPr>
      <w:r w:rsidRPr="002B136D">
        <w:rPr>
          <w:rFonts w:cs="Times New Roman"/>
          <w:noProof/>
          <w:szCs w:val="28"/>
          <w:lang w:eastAsia="ru-RU"/>
        </w:rPr>
        <w:drawing>
          <wp:inline distT="0" distB="0" distL="0" distR="0" wp14:anchorId="6F0500AF" wp14:editId="426588D1">
            <wp:extent cx="5810250" cy="396240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EC75D8D" w14:textId="6F8394BA" w:rsidR="00455815" w:rsidRDefault="00455815" w:rsidP="00455815">
      <w:pPr>
        <w:spacing w:after="0" w:line="240" w:lineRule="auto"/>
        <w:contextualSpacing/>
        <w:jc w:val="center"/>
        <w:rPr>
          <w:rFonts w:cs="Times New Roman"/>
          <w:bCs/>
          <w:szCs w:val="28"/>
        </w:rPr>
      </w:pPr>
      <w:r w:rsidRPr="00455815">
        <w:rPr>
          <w:rFonts w:cs="Times New Roman"/>
          <w:bCs/>
          <w:szCs w:val="28"/>
        </w:rPr>
        <w:t xml:space="preserve">Рисунок </w:t>
      </w:r>
      <w:r w:rsidR="00B60ACD">
        <w:rPr>
          <w:rFonts w:cs="Times New Roman"/>
          <w:bCs/>
          <w:szCs w:val="28"/>
        </w:rPr>
        <w:t>10</w:t>
      </w:r>
      <w:r w:rsidRPr="00455815">
        <w:rPr>
          <w:rFonts w:cs="Times New Roman"/>
          <w:bCs/>
          <w:szCs w:val="28"/>
        </w:rPr>
        <w:t xml:space="preserve"> - Дизайн </w:t>
      </w:r>
      <w:proofErr w:type="gramStart"/>
      <w:r w:rsidRPr="00455815">
        <w:rPr>
          <w:rFonts w:cs="Times New Roman"/>
          <w:bCs/>
          <w:szCs w:val="28"/>
        </w:rPr>
        <w:t>иммунологического</w:t>
      </w:r>
      <w:proofErr w:type="gramEnd"/>
      <w:r w:rsidRPr="00455815">
        <w:rPr>
          <w:rFonts w:cs="Times New Roman"/>
          <w:bCs/>
          <w:szCs w:val="28"/>
        </w:rPr>
        <w:t xml:space="preserve"> и иммунногистохимического </w:t>
      </w:r>
    </w:p>
    <w:p w14:paraId="27CABE35" w14:textId="3ACBFD76" w:rsidR="00455815" w:rsidRPr="00455815" w:rsidRDefault="00455815" w:rsidP="00455815">
      <w:pPr>
        <w:spacing w:after="0" w:line="240" w:lineRule="auto"/>
        <w:contextualSpacing/>
        <w:jc w:val="center"/>
        <w:rPr>
          <w:rFonts w:cs="Times New Roman"/>
          <w:bCs/>
          <w:szCs w:val="28"/>
        </w:rPr>
      </w:pPr>
      <w:r w:rsidRPr="00455815">
        <w:rPr>
          <w:rFonts w:cs="Times New Roman"/>
          <w:bCs/>
          <w:szCs w:val="28"/>
        </w:rPr>
        <w:t>анализов</w:t>
      </w:r>
    </w:p>
    <w:p w14:paraId="34A2E97F" w14:textId="77777777" w:rsidR="00455815" w:rsidRDefault="00455815" w:rsidP="00167A90">
      <w:pPr>
        <w:spacing w:after="0" w:line="240" w:lineRule="auto"/>
        <w:ind w:firstLine="709"/>
        <w:contextualSpacing/>
        <w:jc w:val="both"/>
        <w:rPr>
          <w:rFonts w:cs="Times New Roman"/>
          <w:szCs w:val="28"/>
        </w:rPr>
      </w:pPr>
    </w:p>
    <w:p w14:paraId="2B9D9E37" w14:textId="015CC138" w:rsidR="00304762" w:rsidRPr="002B136D" w:rsidRDefault="00EE3040" w:rsidP="00455815">
      <w:pPr>
        <w:spacing w:after="0" w:line="240" w:lineRule="auto"/>
        <w:ind w:firstLine="567"/>
        <w:contextualSpacing/>
        <w:jc w:val="both"/>
        <w:rPr>
          <w:rFonts w:cs="Times New Roman"/>
          <w:szCs w:val="28"/>
        </w:rPr>
      </w:pPr>
      <w:r w:rsidRPr="002B136D">
        <w:rPr>
          <w:rFonts w:cs="Times New Roman"/>
          <w:szCs w:val="28"/>
        </w:rPr>
        <w:t>Функциональные тесты щитовидной железы, включая уровни гормона, стимулирующего щи</w:t>
      </w:r>
      <w:r w:rsidR="00A16ADB" w:rsidRPr="002B136D">
        <w:rPr>
          <w:rFonts w:cs="Times New Roman"/>
          <w:szCs w:val="28"/>
        </w:rPr>
        <w:t>товидную железу, трийо</w:t>
      </w:r>
      <w:r w:rsidRPr="002B136D">
        <w:rPr>
          <w:rFonts w:cs="Times New Roman"/>
          <w:szCs w:val="28"/>
        </w:rPr>
        <w:t>дтиронина, свободного тироксина и антител к рецептору гормонов, стимулирующих щитовидную железу, были измерены с использованием ИФА метода.</w:t>
      </w:r>
    </w:p>
    <w:p w14:paraId="57744614" w14:textId="0D55C4C7" w:rsidR="00EE3040" w:rsidRPr="002B136D" w:rsidRDefault="00EE3040" w:rsidP="00455815">
      <w:pPr>
        <w:spacing w:after="0" w:line="240" w:lineRule="auto"/>
        <w:ind w:firstLine="567"/>
        <w:contextualSpacing/>
        <w:jc w:val="both"/>
        <w:rPr>
          <w:rFonts w:cs="Times New Roman"/>
          <w:szCs w:val="28"/>
        </w:rPr>
      </w:pPr>
      <w:r w:rsidRPr="002B136D">
        <w:rPr>
          <w:rFonts w:cs="Times New Roman"/>
          <w:szCs w:val="28"/>
        </w:rPr>
        <w:t>У пациентов из всех трех исследовательских групп концентра</w:t>
      </w:r>
      <w:r w:rsidRPr="002B136D">
        <w:rPr>
          <w:rFonts w:cs="Times New Roman"/>
          <w:szCs w:val="28"/>
          <w:lang w:val="kk-KZ"/>
        </w:rPr>
        <w:t>ции</w:t>
      </w:r>
      <w:r w:rsidRPr="002B136D">
        <w:rPr>
          <w:rFonts w:cs="Times New Roman"/>
          <w:szCs w:val="28"/>
        </w:rPr>
        <w:t xml:space="preserve"> </w:t>
      </w:r>
      <w:r w:rsidR="002B33FD" w:rsidRPr="002B136D">
        <w:rPr>
          <w:rFonts w:cs="Times New Roman"/>
          <w:szCs w:val="28"/>
          <w:lang w:val="en-US"/>
        </w:rPr>
        <w:t>IL</w:t>
      </w:r>
      <w:r w:rsidRPr="002B136D">
        <w:rPr>
          <w:rFonts w:cs="Times New Roman"/>
          <w:szCs w:val="28"/>
        </w:rPr>
        <w:t>-17</w:t>
      </w:r>
      <w:r w:rsidRPr="002B136D">
        <w:rPr>
          <w:rFonts w:cs="Times New Roman"/>
          <w:szCs w:val="28"/>
          <w:lang w:val="kk-KZ"/>
        </w:rPr>
        <w:t xml:space="preserve"> и </w:t>
      </w:r>
      <w:r w:rsidR="002B33FD" w:rsidRPr="002B136D">
        <w:rPr>
          <w:rFonts w:cs="Times New Roman"/>
          <w:szCs w:val="28"/>
          <w:lang w:val="en-US"/>
        </w:rPr>
        <w:t>IL</w:t>
      </w:r>
      <w:r w:rsidRPr="002B136D">
        <w:rPr>
          <w:rFonts w:cs="Times New Roman"/>
          <w:szCs w:val="28"/>
          <w:lang w:val="kk-KZ"/>
        </w:rPr>
        <w:t>-38</w:t>
      </w:r>
      <w:r w:rsidRPr="002B136D">
        <w:rPr>
          <w:rFonts w:cs="Times New Roman"/>
          <w:szCs w:val="28"/>
        </w:rPr>
        <w:t xml:space="preserve"> были определены в сыворотке крови, в нестимулированной слезе, а также в образцах тканей орбиты. Все собранные образцы были заморожены и хранились при -80 ° C до проведения анализа ELISA.</w:t>
      </w:r>
    </w:p>
    <w:p w14:paraId="22B158A4" w14:textId="54B80C5C" w:rsidR="00181FBA" w:rsidRPr="002B136D" w:rsidRDefault="00F273FD" w:rsidP="00455815">
      <w:pPr>
        <w:spacing w:after="0" w:line="240" w:lineRule="auto"/>
        <w:ind w:firstLine="567"/>
        <w:contextualSpacing/>
        <w:jc w:val="both"/>
        <w:rPr>
          <w:rFonts w:cs="Times New Roman"/>
          <w:szCs w:val="28"/>
        </w:rPr>
      </w:pPr>
      <w:r w:rsidRPr="002B136D">
        <w:rPr>
          <w:rFonts w:cs="Times New Roman"/>
          <w:szCs w:val="28"/>
          <w:lang w:val="kk-KZ"/>
        </w:rPr>
        <w:t>О</w:t>
      </w:r>
      <w:r w:rsidR="00181FBA" w:rsidRPr="002B136D">
        <w:rPr>
          <w:rFonts w:cs="Times New Roman"/>
          <w:szCs w:val="28"/>
        </w:rPr>
        <w:t xml:space="preserve">бразцы крови по 5 мл брали через срединную локтевую вену утром натощак или через два часа после еды </w:t>
      </w:r>
      <w:r w:rsidR="00732F3A" w:rsidRPr="002B136D">
        <w:rPr>
          <w:rFonts w:cs="Times New Roman"/>
          <w:szCs w:val="28"/>
        </w:rPr>
        <w:fldChar w:fldCharType="begin"/>
      </w:r>
      <w:r w:rsidR="00A6759A" w:rsidRPr="002B136D">
        <w:rPr>
          <w:rFonts w:cs="Times New Roman"/>
          <w:szCs w:val="28"/>
        </w:rPr>
        <w:instrText xml:space="preserve"> ADDIN ZOTERO_ITEM CSL_CITATION {"citationID":"JaQbq5N6","properties":{"formattedCitation":"[174]","plainCitation":"[174]","noteIndex":0},"citationItems":[{"id":457,"uris":["http://zotero.org/users/8237658/items/B9A32YQ9"],"itemData":{"id":457,"type":"book","title":"Feng S, Yu H, Yu Y, Geng Y, Li D, Yang C et al (2018) Levels of infammatory cytokines IL-1β, IL-6, IL-8, IL17A, and TNF-α in aqueous humour of patients with diabetic retinopathy. J Diabetes Res 2018:8546423"}}],"schema":"https://github.com/citation-style-language/schema/raw/master/csl-citation.json"} </w:instrText>
      </w:r>
      <w:r w:rsidR="00732F3A" w:rsidRPr="002B136D">
        <w:rPr>
          <w:rFonts w:cs="Times New Roman"/>
          <w:szCs w:val="28"/>
        </w:rPr>
        <w:fldChar w:fldCharType="separate"/>
      </w:r>
      <w:r w:rsidR="00A6759A" w:rsidRPr="002B136D">
        <w:rPr>
          <w:rFonts w:cs="Times New Roman"/>
        </w:rPr>
        <w:t>[174]</w:t>
      </w:r>
      <w:r w:rsidR="00732F3A" w:rsidRPr="002B136D">
        <w:rPr>
          <w:rFonts w:cs="Times New Roman"/>
          <w:szCs w:val="28"/>
        </w:rPr>
        <w:fldChar w:fldCharType="end"/>
      </w:r>
      <w:r w:rsidR="00181FBA" w:rsidRPr="002B136D">
        <w:rPr>
          <w:rFonts w:cs="Times New Roman"/>
          <w:szCs w:val="28"/>
        </w:rPr>
        <w:t>.</w:t>
      </w:r>
    </w:p>
    <w:p w14:paraId="08A24A39" w14:textId="1B037CEB" w:rsidR="00181FBA" w:rsidRPr="002B136D" w:rsidRDefault="00181FBA" w:rsidP="00455815">
      <w:pPr>
        <w:spacing w:after="0" w:line="240" w:lineRule="auto"/>
        <w:ind w:firstLine="567"/>
        <w:contextualSpacing/>
        <w:jc w:val="both"/>
        <w:rPr>
          <w:rFonts w:cs="Times New Roman"/>
          <w:szCs w:val="28"/>
        </w:rPr>
      </w:pPr>
      <w:r w:rsidRPr="002B136D">
        <w:rPr>
          <w:rFonts w:cs="Times New Roman"/>
          <w:szCs w:val="28"/>
        </w:rPr>
        <w:t xml:space="preserve">Забор ретробульбарной жировой ткани из первой и второй групп производили во время операций по орбитальной декомпрессии </w:t>
      </w:r>
      <w:r w:rsidR="00732F3A" w:rsidRPr="002B136D">
        <w:rPr>
          <w:rFonts w:cs="Times New Roman"/>
          <w:szCs w:val="28"/>
        </w:rPr>
        <w:fldChar w:fldCharType="begin"/>
      </w:r>
      <w:r w:rsidR="00A6759A" w:rsidRPr="002B136D">
        <w:rPr>
          <w:rFonts w:cs="Times New Roman"/>
          <w:szCs w:val="28"/>
        </w:rPr>
        <w:instrText xml:space="preserve"> ADDIN ZOTERO_ITEM CSL_CITATION {"citationID":"nGG7rf8S","properties":{"formattedCitation":"[175]","plainCitation":"[175]","noteIndex":0},"citationItems":[{"id":458,"uris":["http://zotero.org/users/8237658/items/4AR6ELHG"],"itemData":{"id":458,"type":"book","title":"Drui D, Du Pasquier FL, Vignal Clermont C, Daumerie C (2018) Graves’ orbitopathy: diagnosis and treatment. Ann Endocrinol 79(6):656–664"}}],"schema":"https://github.com/citation-style-language/schema/raw/master/csl-citation.json"} </w:instrText>
      </w:r>
      <w:r w:rsidR="00732F3A" w:rsidRPr="002B136D">
        <w:rPr>
          <w:rFonts w:cs="Times New Roman"/>
          <w:szCs w:val="28"/>
        </w:rPr>
        <w:fldChar w:fldCharType="separate"/>
      </w:r>
      <w:r w:rsidR="00A6759A" w:rsidRPr="002B136D">
        <w:rPr>
          <w:rFonts w:cs="Times New Roman"/>
        </w:rPr>
        <w:t>[175]</w:t>
      </w:r>
      <w:r w:rsidR="00732F3A" w:rsidRPr="002B136D">
        <w:rPr>
          <w:rFonts w:cs="Times New Roman"/>
          <w:szCs w:val="28"/>
        </w:rPr>
        <w:fldChar w:fldCharType="end"/>
      </w:r>
      <w:r w:rsidRPr="002B136D">
        <w:rPr>
          <w:rFonts w:cs="Times New Roman"/>
          <w:szCs w:val="28"/>
        </w:rPr>
        <w:t>. Для контрольной группы ткань орбиты брали во время орбитотомии у пациентов с диагнозом пролапс</w:t>
      </w:r>
      <w:r w:rsidR="00F813C2" w:rsidRPr="002B136D">
        <w:rPr>
          <w:rFonts w:cs="Times New Roman"/>
          <w:szCs w:val="28"/>
          <w:lang w:val="kk-KZ"/>
        </w:rPr>
        <w:t xml:space="preserve"> жировой</w:t>
      </w:r>
      <w:r w:rsidRPr="002B136D">
        <w:rPr>
          <w:rFonts w:cs="Times New Roman"/>
          <w:szCs w:val="28"/>
        </w:rPr>
        <w:t xml:space="preserve"> ткани орбиты.</w:t>
      </w:r>
    </w:p>
    <w:p w14:paraId="55061A7D" w14:textId="77D4A474" w:rsidR="00181FBA" w:rsidRPr="002B136D" w:rsidRDefault="00181FBA" w:rsidP="00455815">
      <w:pPr>
        <w:spacing w:after="0" w:line="240" w:lineRule="auto"/>
        <w:ind w:firstLine="567"/>
        <w:contextualSpacing/>
        <w:jc w:val="both"/>
        <w:rPr>
          <w:rFonts w:cs="Times New Roman"/>
          <w:szCs w:val="28"/>
        </w:rPr>
      </w:pPr>
      <w:proofErr w:type="gramStart"/>
      <w:r w:rsidRPr="002B136D">
        <w:rPr>
          <w:rFonts w:cs="Times New Roman"/>
          <w:szCs w:val="28"/>
        </w:rPr>
        <w:lastRenderedPageBreak/>
        <w:t xml:space="preserve">Образцы нестимулированной слезы объемом 20 мкл были взяты из нижних менисков двух глаз всех пациентов с (активной и неактивной стадиями) и пациентов с пролапсом </w:t>
      </w:r>
      <w:r w:rsidR="007075BB" w:rsidRPr="002B136D">
        <w:rPr>
          <w:rFonts w:cs="Times New Roman"/>
          <w:szCs w:val="28"/>
          <w:lang w:val="kk-KZ"/>
        </w:rPr>
        <w:t xml:space="preserve">жировой </w:t>
      </w:r>
      <w:r w:rsidRPr="002B136D">
        <w:rPr>
          <w:rFonts w:cs="Times New Roman"/>
          <w:szCs w:val="28"/>
        </w:rPr>
        <w:t>ткани орбиты с помощью одноразовых микрокапилляров на 2 мкл (Microcaps 2ul; Drummond Scientific, Брумолл, Пенсильвания, США).</w:t>
      </w:r>
      <w:proofErr w:type="gramEnd"/>
      <w:r w:rsidRPr="002B136D">
        <w:rPr>
          <w:rFonts w:cs="Times New Roman"/>
          <w:szCs w:val="28"/>
        </w:rPr>
        <w:t xml:space="preserve"> Все собранные образцы были немедленно заморожены и хранились при температуре -80°C до проведения анализа ELISA</w:t>
      </w:r>
      <w:r w:rsidR="00B60ACD">
        <w:rPr>
          <w:rFonts w:cs="Times New Roman"/>
          <w:szCs w:val="28"/>
        </w:rPr>
        <w:t xml:space="preserve"> (рисунок 11)</w:t>
      </w:r>
      <w:r w:rsidRPr="002B136D">
        <w:rPr>
          <w:rFonts w:cs="Times New Roman"/>
          <w:szCs w:val="28"/>
        </w:rPr>
        <w:t xml:space="preserve"> </w:t>
      </w:r>
      <w:r w:rsidR="00732F3A" w:rsidRPr="002B136D">
        <w:rPr>
          <w:rFonts w:cs="Times New Roman"/>
          <w:szCs w:val="28"/>
        </w:rPr>
        <w:fldChar w:fldCharType="begin"/>
      </w:r>
      <w:r w:rsidR="00A6759A" w:rsidRPr="002B136D">
        <w:rPr>
          <w:rFonts w:cs="Times New Roman"/>
          <w:szCs w:val="28"/>
        </w:rPr>
        <w:instrText xml:space="preserve"> ADDIN ZOTERO_ITEM CSL_CITATION {"citationID":"sQo8KDj7","properties":{"formattedCitation":"[176]","plainCitation":"[176]","noteIndex":0},"citationItems":[{"id":459,"uris":["http://zotero.org/users/8237658/items/KJGX2LPR"],"itemData":{"id":459,"type":"book","title":"Kwon J-W, Jee D (2018) Aqueous humor cytokine levels in patients with diabetic macular edema refractory to antiVEGF treatment. PLoS ONE 13(9):e0203408"}}],"schema":"https://github.com/citation-style-language/schema/raw/master/csl-citation.json"} </w:instrText>
      </w:r>
      <w:r w:rsidR="00732F3A" w:rsidRPr="002B136D">
        <w:rPr>
          <w:rFonts w:cs="Times New Roman"/>
          <w:szCs w:val="28"/>
        </w:rPr>
        <w:fldChar w:fldCharType="separate"/>
      </w:r>
      <w:r w:rsidR="00A6759A" w:rsidRPr="002B136D">
        <w:rPr>
          <w:rFonts w:cs="Times New Roman"/>
        </w:rPr>
        <w:t>[176]</w:t>
      </w:r>
      <w:r w:rsidR="00732F3A" w:rsidRPr="002B136D">
        <w:rPr>
          <w:rFonts w:cs="Times New Roman"/>
          <w:szCs w:val="28"/>
        </w:rPr>
        <w:fldChar w:fldCharType="end"/>
      </w:r>
      <w:r w:rsidRPr="002B136D">
        <w:rPr>
          <w:rFonts w:cs="Times New Roman"/>
          <w:szCs w:val="28"/>
        </w:rPr>
        <w:t>.</w:t>
      </w:r>
    </w:p>
    <w:p w14:paraId="66330693" w14:textId="77777777" w:rsidR="00414B9F" w:rsidRPr="00455815" w:rsidRDefault="00414B9F" w:rsidP="006E7629">
      <w:pPr>
        <w:spacing w:after="0" w:line="360" w:lineRule="auto"/>
        <w:ind w:firstLine="708"/>
        <w:jc w:val="both"/>
        <w:rPr>
          <w:rFonts w:cs="Times New Roman"/>
          <w:sz w:val="16"/>
          <w:szCs w:val="16"/>
          <w:lang w:val="kk-KZ"/>
        </w:rPr>
      </w:pPr>
    </w:p>
    <w:p w14:paraId="4E901516" w14:textId="77777777" w:rsidR="00F273FD" w:rsidRPr="002B136D" w:rsidRDefault="00F273FD" w:rsidP="00312ADE">
      <w:pPr>
        <w:spacing w:after="0" w:line="360" w:lineRule="auto"/>
        <w:jc w:val="center"/>
        <w:rPr>
          <w:rFonts w:cs="Times New Roman"/>
          <w:szCs w:val="28"/>
          <w:lang w:val="kk-KZ"/>
        </w:rPr>
      </w:pPr>
      <w:r w:rsidRPr="002B136D">
        <w:rPr>
          <w:rFonts w:cs="Times New Roman"/>
          <w:noProof/>
          <w:szCs w:val="28"/>
          <w:lang w:eastAsia="ru-RU"/>
        </w:rPr>
        <w:drawing>
          <wp:inline distT="0" distB="0" distL="0" distR="0" wp14:anchorId="6A88C123" wp14:editId="1B663F99">
            <wp:extent cx="2527414" cy="2550539"/>
            <wp:effectExtent l="0" t="0" r="6350" b="2540"/>
            <wp:docPr id="37" name="Рисунок 37" descr="https://m.media-amazon.com/images/I/71rWUmHhWz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71rWUmHhWzL._SL15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6502" cy="2549619"/>
                    </a:xfrm>
                    <a:prstGeom prst="rect">
                      <a:avLst/>
                    </a:prstGeom>
                    <a:noFill/>
                    <a:ln>
                      <a:noFill/>
                    </a:ln>
                  </pic:spPr>
                </pic:pic>
              </a:graphicData>
            </a:graphic>
          </wp:inline>
        </w:drawing>
      </w:r>
    </w:p>
    <w:p w14:paraId="42904784" w14:textId="77777777" w:rsidR="00455815" w:rsidRPr="00455815" w:rsidRDefault="00455815" w:rsidP="00455815">
      <w:pPr>
        <w:spacing w:after="0" w:line="240" w:lineRule="auto"/>
        <w:jc w:val="center"/>
        <w:rPr>
          <w:rFonts w:cs="Times New Roman"/>
          <w:bCs/>
          <w:sz w:val="16"/>
          <w:szCs w:val="16"/>
          <w:lang w:val="kk-KZ"/>
        </w:rPr>
      </w:pPr>
    </w:p>
    <w:p w14:paraId="0EE78E07" w14:textId="258BD8E4" w:rsidR="00414B9F" w:rsidRPr="002932C4" w:rsidRDefault="00356C40" w:rsidP="00455815">
      <w:pPr>
        <w:spacing w:after="0" w:line="240" w:lineRule="auto"/>
        <w:jc w:val="center"/>
        <w:rPr>
          <w:rFonts w:cs="Times New Roman"/>
          <w:bCs/>
          <w:szCs w:val="28"/>
          <w:lang w:val="en-US"/>
        </w:rPr>
      </w:pPr>
      <w:r w:rsidRPr="00455815">
        <w:rPr>
          <w:rFonts w:cs="Times New Roman"/>
          <w:bCs/>
          <w:szCs w:val="28"/>
          <w:lang w:val="kk-KZ"/>
        </w:rPr>
        <w:t xml:space="preserve">Рисунок </w:t>
      </w:r>
      <w:r w:rsidR="00A379FE" w:rsidRPr="00455815">
        <w:rPr>
          <w:rFonts w:cs="Times New Roman"/>
          <w:bCs/>
          <w:szCs w:val="28"/>
          <w:lang w:val="kk-KZ"/>
        </w:rPr>
        <w:t>1</w:t>
      </w:r>
      <w:r w:rsidR="00B60ACD">
        <w:rPr>
          <w:rFonts w:cs="Times New Roman"/>
          <w:bCs/>
          <w:szCs w:val="28"/>
          <w:lang w:val="kk-KZ"/>
        </w:rPr>
        <w:t>1</w:t>
      </w:r>
      <w:r w:rsidR="00455815" w:rsidRPr="00455815">
        <w:rPr>
          <w:rFonts w:cs="Times New Roman"/>
          <w:bCs/>
          <w:szCs w:val="28"/>
          <w:lang w:val="en-US"/>
        </w:rPr>
        <w:t xml:space="preserve"> -</w:t>
      </w:r>
      <w:r w:rsidRPr="00455815">
        <w:rPr>
          <w:rFonts w:cs="Times New Roman"/>
          <w:bCs/>
          <w:szCs w:val="28"/>
          <w:lang w:val="kk-KZ"/>
        </w:rPr>
        <w:t xml:space="preserve"> Микрокапилляр</w:t>
      </w:r>
      <w:r w:rsidR="00D77B6D" w:rsidRPr="00455815">
        <w:rPr>
          <w:rFonts w:cs="Times New Roman"/>
          <w:bCs/>
          <w:szCs w:val="28"/>
          <w:lang w:val="kk-KZ"/>
        </w:rPr>
        <w:t xml:space="preserve"> </w:t>
      </w:r>
      <w:r w:rsidRPr="00455815">
        <w:rPr>
          <w:rFonts w:cs="Times New Roman"/>
          <w:bCs/>
          <w:szCs w:val="28"/>
          <w:lang w:val="en-US"/>
        </w:rPr>
        <w:t>Microcaps 2ul; Drummond Scientific</w:t>
      </w:r>
    </w:p>
    <w:p w14:paraId="3222AC5D" w14:textId="77777777" w:rsidR="00455815" w:rsidRPr="002932C4" w:rsidRDefault="00455815" w:rsidP="00455815">
      <w:pPr>
        <w:spacing w:after="0" w:line="240" w:lineRule="auto"/>
        <w:jc w:val="center"/>
        <w:rPr>
          <w:rFonts w:cs="Times New Roman"/>
          <w:bCs/>
          <w:szCs w:val="28"/>
          <w:lang w:val="en-US"/>
        </w:rPr>
      </w:pPr>
    </w:p>
    <w:p w14:paraId="644067A0" w14:textId="77777777" w:rsidR="00414B9F" w:rsidRPr="002B136D" w:rsidRDefault="00181FBA" w:rsidP="00455815">
      <w:pPr>
        <w:spacing w:after="0" w:line="240" w:lineRule="auto"/>
        <w:ind w:firstLine="567"/>
        <w:contextualSpacing/>
        <w:jc w:val="both"/>
        <w:rPr>
          <w:rFonts w:cs="Times New Roman"/>
          <w:szCs w:val="28"/>
        </w:rPr>
      </w:pPr>
      <w:bookmarkStart w:id="4" w:name="_Hlk150605199"/>
      <w:r w:rsidRPr="002B136D">
        <w:rPr>
          <w:rFonts w:cs="Times New Roman"/>
          <w:szCs w:val="28"/>
        </w:rPr>
        <w:t xml:space="preserve">Уровни IL-17 и IL-38 измеряли с использованием коммерческих наборов ELISA (R&amp;D Systems, Minneapolis, MN). Процедуру эксперимента проводили в соответствии с инструкциями производителя. </w:t>
      </w:r>
    </w:p>
    <w:p w14:paraId="15D45119" w14:textId="11C6A738" w:rsidR="002E73B1" w:rsidRDefault="00181FBA" w:rsidP="00455815">
      <w:pPr>
        <w:spacing w:after="0" w:line="240" w:lineRule="auto"/>
        <w:ind w:firstLine="567"/>
        <w:contextualSpacing/>
        <w:jc w:val="both"/>
        <w:rPr>
          <w:rFonts w:cs="Times New Roman"/>
          <w:bCs/>
          <w:iCs/>
          <w:szCs w:val="28"/>
        </w:rPr>
      </w:pPr>
      <w:r w:rsidRPr="002B136D">
        <w:rPr>
          <w:rFonts w:cs="Times New Roman"/>
          <w:szCs w:val="28"/>
        </w:rPr>
        <w:t xml:space="preserve">Все измерения проводились в трехкратной повторности. </w:t>
      </w:r>
      <w:r w:rsidR="002E73B1" w:rsidRPr="002B136D">
        <w:rPr>
          <w:rFonts w:cs="Times New Roman"/>
          <w:bCs/>
          <w:iCs/>
          <w:szCs w:val="28"/>
          <w:lang w:val="kk-KZ"/>
        </w:rPr>
        <w:t xml:space="preserve">Иммунологичекское исследование было проведено с помщью анализатора </w:t>
      </w:r>
      <w:r w:rsidR="002E73B1" w:rsidRPr="002B136D">
        <w:rPr>
          <w:rFonts w:cs="Times New Roman"/>
          <w:bCs/>
          <w:iCs/>
          <w:szCs w:val="28"/>
        </w:rPr>
        <w:t>ELECSYS-2010, «Roche Diagnostics»,</w:t>
      </w:r>
      <w:r w:rsidR="00D77B6D" w:rsidRPr="002B136D">
        <w:rPr>
          <w:rFonts w:cs="Times New Roman"/>
          <w:bCs/>
          <w:iCs/>
          <w:szCs w:val="28"/>
        </w:rPr>
        <w:t xml:space="preserve"> </w:t>
      </w:r>
      <w:r w:rsidR="002E73B1" w:rsidRPr="002B136D">
        <w:rPr>
          <w:rFonts w:cs="Times New Roman"/>
          <w:bCs/>
          <w:iCs/>
          <w:szCs w:val="28"/>
        </w:rPr>
        <w:t>Швейцария в научном</w:t>
      </w:r>
      <w:r w:rsidR="00D77B6D" w:rsidRPr="002B136D">
        <w:rPr>
          <w:rFonts w:cs="Times New Roman"/>
          <w:bCs/>
          <w:iCs/>
          <w:szCs w:val="28"/>
        </w:rPr>
        <w:t xml:space="preserve"> </w:t>
      </w:r>
      <w:r w:rsidR="002E73B1" w:rsidRPr="002B136D">
        <w:rPr>
          <w:rFonts w:cs="Times New Roman"/>
          <w:bCs/>
          <w:iCs/>
          <w:szCs w:val="28"/>
        </w:rPr>
        <w:t>клинико-диагностическом лаборатории</w:t>
      </w:r>
      <w:r w:rsidR="00D77B6D" w:rsidRPr="002B136D">
        <w:rPr>
          <w:rFonts w:cs="Times New Roman"/>
          <w:bCs/>
          <w:iCs/>
          <w:szCs w:val="28"/>
        </w:rPr>
        <w:t xml:space="preserve"> </w:t>
      </w:r>
      <w:r w:rsidR="002E73B1" w:rsidRPr="002B136D">
        <w:rPr>
          <w:rFonts w:cs="Times New Roman"/>
          <w:bCs/>
          <w:iCs/>
          <w:szCs w:val="28"/>
        </w:rPr>
        <w:t>КазНМУ им. С. Д. Асфендиярова</w:t>
      </w:r>
      <w:r w:rsidR="00297559" w:rsidRPr="002B136D">
        <w:rPr>
          <w:rFonts w:cs="Times New Roman"/>
          <w:bCs/>
          <w:iCs/>
          <w:szCs w:val="28"/>
        </w:rPr>
        <w:t xml:space="preserve"> </w:t>
      </w:r>
      <w:r w:rsidR="00AF31F3">
        <w:rPr>
          <w:rFonts w:cs="Times New Roman"/>
          <w:bCs/>
          <w:iCs/>
          <w:szCs w:val="28"/>
        </w:rPr>
        <w:t>(рисунок</w:t>
      </w:r>
      <w:r w:rsidR="00283211">
        <w:rPr>
          <w:rFonts w:cs="Times New Roman"/>
          <w:bCs/>
          <w:iCs/>
          <w:szCs w:val="28"/>
        </w:rPr>
        <w:t xml:space="preserve"> </w:t>
      </w:r>
      <w:r w:rsidR="00297559" w:rsidRPr="002B136D">
        <w:rPr>
          <w:rFonts w:cs="Times New Roman"/>
          <w:bCs/>
          <w:iCs/>
          <w:szCs w:val="28"/>
        </w:rPr>
        <w:t>1</w:t>
      </w:r>
      <w:r w:rsidR="007B402D">
        <w:rPr>
          <w:rFonts w:cs="Times New Roman"/>
          <w:bCs/>
          <w:iCs/>
          <w:szCs w:val="28"/>
        </w:rPr>
        <w:t>2</w:t>
      </w:r>
      <w:r w:rsidR="002E73B1" w:rsidRPr="002B136D">
        <w:rPr>
          <w:rFonts w:cs="Times New Roman"/>
          <w:bCs/>
          <w:iCs/>
          <w:szCs w:val="28"/>
        </w:rPr>
        <w:t>).</w:t>
      </w:r>
    </w:p>
    <w:p w14:paraId="3E6B00B9" w14:textId="77777777" w:rsidR="00455815" w:rsidRPr="002B136D" w:rsidRDefault="00455815" w:rsidP="00455815">
      <w:pPr>
        <w:spacing w:after="0" w:line="240" w:lineRule="auto"/>
        <w:ind w:firstLine="567"/>
        <w:contextualSpacing/>
        <w:jc w:val="both"/>
        <w:rPr>
          <w:rFonts w:cs="Times New Roman"/>
          <w:szCs w:val="28"/>
        </w:rPr>
      </w:pPr>
    </w:p>
    <w:bookmarkEnd w:id="4"/>
    <w:p w14:paraId="049BD56C" w14:textId="69574967" w:rsidR="00455815" w:rsidRPr="002B136D" w:rsidRDefault="003D4F4C" w:rsidP="00455815">
      <w:pPr>
        <w:spacing w:after="0" w:line="360" w:lineRule="auto"/>
        <w:jc w:val="center"/>
        <w:rPr>
          <w:rFonts w:cs="Times New Roman"/>
          <w:b/>
          <w:szCs w:val="28"/>
          <w:lang w:val="kk-KZ"/>
        </w:rPr>
      </w:pPr>
      <w:r w:rsidRPr="002B136D">
        <w:rPr>
          <w:rFonts w:cs="Times New Roman"/>
          <w:b/>
          <w:noProof/>
          <w:szCs w:val="28"/>
          <w:lang w:eastAsia="ru-RU"/>
        </w:rPr>
        <w:drawing>
          <wp:inline distT="0" distB="0" distL="0" distR="0" wp14:anchorId="3CA288EE" wp14:editId="426BDCB7">
            <wp:extent cx="3116580" cy="1915792"/>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319" cy="1918705"/>
                    </a:xfrm>
                    <a:prstGeom prst="rect">
                      <a:avLst/>
                    </a:prstGeom>
                    <a:noFill/>
                  </pic:spPr>
                </pic:pic>
              </a:graphicData>
            </a:graphic>
          </wp:inline>
        </w:drawing>
      </w:r>
    </w:p>
    <w:p w14:paraId="48078476" w14:textId="77777777" w:rsidR="00455815" w:rsidRPr="00455815" w:rsidRDefault="00455815" w:rsidP="00455815">
      <w:pPr>
        <w:spacing w:after="0" w:line="240" w:lineRule="auto"/>
        <w:jc w:val="center"/>
        <w:rPr>
          <w:rFonts w:cs="Times New Roman"/>
          <w:bCs/>
          <w:sz w:val="18"/>
          <w:szCs w:val="18"/>
        </w:rPr>
      </w:pPr>
    </w:p>
    <w:p w14:paraId="37CF7159" w14:textId="12BB6998" w:rsidR="002E73B1" w:rsidRPr="00455815" w:rsidRDefault="00913551" w:rsidP="00455815">
      <w:pPr>
        <w:spacing w:after="0" w:line="240" w:lineRule="auto"/>
        <w:jc w:val="center"/>
        <w:rPr>
          <w:rFonts w:cs="Times New Roman"/>
          <w:bCs/>
          <w:iCs/>
          <w:szCs w:val="28"/>
          <w:lang w:val="en-US"/>
        </w:rPr>
      </w:pPr>
      <w:r w:rsidRPr="00455815">
        <w:rPr>
          <w:rFonts w:cs="Times New Roman"/>
          <w:bCs/>
          <w:szCs w:val="28"/>
        </w:rPr>
        <w:t>Рисунок</w:t>
      </w:r>
      <w:r w:rsidR="00297559" w:rsidRPr="00455815">
        <w:rPr>
          <w:rFonts w:cs="Times New Roman"/>
          <w:bCs/>
          <w:szCs w:val="28"/>
          <w:lang w:val="en-US"/>
        </w:rPr>
        <w:t xml:space="preserve"> 1</w:t>
      </w:r>
      <w:r w:rsidR="007B402D" w:rsidRPr="007B402D">
        <w:rPr>
          <w:rFonts w:cs="Times New Roman"/>
          <w:bCs/>
          <w:szCs w:val="28"/>
          <w:lang w:val="en-US"/>
        </w:rPr>
        <w:t>2</w:t>
      </w:r>
      <w:r w:rsidR="00455815" w:rsidRPr="00455815">
        <w:rPr>
          <w:rFonts w:cs="Times New Roman"/>
          <w:bCs/>
          <w:szCs w:val="28"/>
          <w:lang w:val="en-US"/>
        </w:rPr>
        <w:t xml:space="preserve"> - </w:t>
      </w:r>
      <w:r w:rsidRPr="00455815">
        <w:rPr>
          <w:rFonts w:cs="Times New Roman"/>
          <w:bCs/>
          <w:iCs/>
          <w:szCs w:val="28"/>
          <w:lang w:val="kk-KZ"/>
        </w:rPr>
        <w:t xml:space="preserve">Анализатор </w:t>
      </w:r>
      <w:r w:rsidRPr="00455815">
        <w:rPr>
          <w:rFonts w:cs="Times New Roman"/>
          <w:bCs/>
          <w:iCs/>
          <w:szCs w:val="28"/>
          <w:lang w:val="en-US"/>
        </w:rPr>
        <w:t>ELECSYS-2010, «Roche Diagnostics»</w:t>
      </w:r>
    </w:p>
    <w:p w14:paraId="0F418E26" w14:textId="77777777" w:rsidR="00455815" w:rsidRPr="002932C4" w:rsidRDefault="00455815" w:rsidP="00455815">
      <w:pPr>
        <w:spacing w:after="0" w:line="240" w:lineRule="auto"/>
        <w:contextualSpacing/>
        <w:jc w:val="both"/>
        <w:rPr>
          <w:rFonts w:cs="Times New Roman"/>
          <w:sz w:val="22"/>
          <w:lang w:val="en-US"/>
        </w:rPr>
      </w:pPr>
      <w:bookmarkStart w:id="5" w:name="_Hlk150605215"/>
    </w:p>
    <w:p w14:paraId="64A4E308" w14:textId="19027B51" w:rsidR="002E73B1" w:rsidRPr="002B136D" w:rsidRDefault="002E73B1" w:rsidP="00455815">
      <w:pPr>
        <w:spacing w:after="0" w:line="240" w:lineRule="auto"/>
        <w:ind w:firstLine="567"/>
        <w:contextualSpacing/>
        <w:jc w:val="both"/>
        <w:rPr>
          <w:rFonts w:cs="Times New Roman"/>
          <w:szCs w:val="28"/>
        </w:rPr>
      </w:pPr>
      <w:r w:rsidRPr="002B136D">
        <w:rPr>
          <w:rFonts w:cs="Times New Roman"/>
          <w:szCs w:val="28"/>
        </w:rPr>
        <w:lastRenderedPageBreak/>
        <w:t>Для экспрессии IL-17 и IL-38 в ткани орбиты образцы фиксировали, заливали в парафин и разрезали для подготовки к иммуногистохимическому анал</w:t>
      </w:r>
      <w:r w:rsidR="00503B5A" w:rsidRPr="002B136D">
        <w:rPr>
          <w:rFonts w:cs="Times New Roman"/>
          <w:szCs w:val="28"/>
        </w:rPr>
        <w:t>изу.</w:t>
      </w:r>
    </w:p>
    <w:bookmarkEnd w:id="5"/>
    <w:p w14:paraId="24A683BF" w14:textId="77777777" w:rsidR="00414B9F" w:rsidRPr="002B136D" w:rsidRDefault="002E73B1" w:rsidP="00455815">
      <w:pPr>
        <w:spacing w:after="0" w:line="240" w:lineRule="auto"/>
        <w:ind w:firstLine="567"/>
        <w:contextualSpacing/>
        <w:jc w:val="both"/>
        <w:rPr>
          <w:rFonts w:cs="Times New Roman"/>
          <w:szCs w:val="28"/>
        </w:rPr>
      </w:pPr>
      <w:r w:rsidRPr="002B136D">
        <w:rPr>
          <w:rFonts w:cs="Times New Roman"/>
          <w:szCs w:val="28"/>
        </w:rPr>
        <w:t xml:space="preserve">Слайды размораживали при комнатной температуре и сушили на воздухе в течение 30 мин. Перед иммуногистохимическим окрашиванием срезы фиксировали в холодном ацетоне (4°С) в течение 5 мин, а затем еще 15 мин промывали в фосфатно-солевом буфере (PBS, рН 7,4). После дополнительной промывки в PBS срезы инкубировали с предварительно сформированным макромолекулярным комплексом авидина и биотинилированной пероксидазы хрена в течение 45 мин. </w:t>
      </w:r>
    </w:p>
    <w:p w14:paraId="23190810" w14:textId="77777777" w:rsidR="00414B9F" w:rsidRPr="002B136D" w:rsidRDefault="002E73B1" w:rsidP="00455815">
      <w:pPr>
        <w:spacing w:after="0" w:line="240" w:lineRule="auto"/>
        <w:ind w:firstLine="567"/>
        <w:contextualSpacing/>
        <w:jc w:val="both"/>
        <w:rPr>
          <w:rFonts w:cs="Times New Roman"/>
          <w:szCs w:val="28"/>
        </w:rPr>
      </w:pPr>
      <w:r w:rsidRPr="002B136D">
        <w:rPr>
          <w:rFonts w:cs="Times New Roman"/>
          <w:szCs w:val="28"/>
        </w:rPr>
        <w:t xml:space="preserve">Пероксидазную реакцию развивали с использованием хромогенного субстрата аминоэтилкарбазола (AEC; Sigma). Субстрат фильтровали и проявляли срезы в течение 2–5 мин, промывали дистиллированной водой и докрашивали гематоксилином Майера в течение 30 с. Наконец, срезы промывали холодной водопроводной водой в течение 5 минут, заливали </w:t>
      </w:r>
      <w:proofErr w:type="gramStart"/>
      <w:r w:rsidRPr="002B136D">
        <w:rPr>
          <w:rFonts w:cs="Times New Roman"/>
          <w:szCs w:val="28"/>
        </w:rPr>
        <w:t>глицерино-желатиновой</w:t>
      </w:r>
      <w:proofErr w:type="gramEnd"/>
      <w:r w:rsidRPr="002B136D">
        <w:rPr>
          <w:rFonts w:cs="Times New Roman"/>
          <w:szCs w:val="28"/>
        </w:rPr>
        <w:t xml:space="preserve"> средой на водной основе и накрывали покровным стеклом. Исследование проводилось с использованием моноклональных мышиных антител - анти-интерлейкина 17/IL17 (MyBiosource) и анти-интерлейкина/IL1F10 (MyBiosource). </w:t>
      </w:r>
    </w:p>
    <w:p w14:paraId="125700D7" w14:textId="7AE6B308" w:rsidR="002E73B1" w:rsidRPr="002B136D" w:rsidRDefault="002E73B1" w:rsidP="00455815">
      <w:pPr>
        <w:spacing w:after="0" w:line="240" w:lineRule="auto"/>
        <w:ind w:firstLine="567"/>
        <w:contextualSpacing/>
        <w:jc w:val="both"/>
        <w:rPr>
          <w:rFonts w:cs="Times New Roman"/>
          <w:szCs w:val="28"/>
        </w:rPr>
      </w:pPr>
      <w:r w:rsidRPr="002B136D">
        <w:rPr>
          <w:rFonts w:cs="Times New Roman"/>
          <w:szCs w:val="28"/>
        </w:rPr>
        <w:t>Антитело IL17 использовали в стандартном разведении 1:200 с положительным контролем. Антитело IL1F10 (MyBiosource) использовали в стандартном разведении 1:100 с положительным контролем. Окрашивание IL-17 и IL-38-положительных клеток проводили с использованием микроскопа для визуализации (Olympus Power BX51; Olympus, Co, Токио, Япония).</w:t>
      </w:r>
      <w:r w:rsidR="00181FBA" w:rsidRPr="002B136D">
        <w:rPr>
          <w:rFonts w:cs="Times New Roman"/>
          <w:szCs w:val="28"/>
        </w:rPr>
        <w:t xml:space="preserve"> Для проверки реагентов для ИГХ использовались ткани</w:t>
      </w:r>
      <w:r w:rsidR="00320129" w:rsidRPr="002B136D">
        <w:rPr>
          <w:rFonts w:cs="Times New Roman"/>
          <w:szCs w:val="28"/>
        </w:rPr>
        <w:t xml:space="preserve"> лимфатического узла (</w:t>
      </w:r>
      <w:r w:rsidR="00320129" w:rsidRPr="002B136D">
        <w:rPr>
          <w:rFonts w:cs="Times New Roman"/>
          <w:szCs w:val="28"/>
          <w:lang w:val="kk-KZ"/>
        </w:rPr>
        <w:t xml:space="preserve">для </w:t>
      </w:r>
      <w:r w:rsidR="00320129" w:rsidRPr="002B136D">
        <w:rPr>
          <w:rFonts w:cs="Times New Roman"/>
          <w:szCs w:val="28"/>
          <w:lang w:val="en-US"/>
        </w:rPr>
        <w:t>IL</w:t>
      </w:r>
      <w:r w:rsidR="00320129" w:rsidRPr="002B136D">
        <w:rPr>
          <w:rFonts w:cs="Times New Roman"/>
          <w:szCs w:val="28"/>
        </w:rPr>
        <w:t>-17) и ткани колоректального рака (для</w:t>
      </w:r>
      <w:r w:rsidR="00D77B6D" w:rsidRPr="002B136D">
        <w:rPr>
          <w:rFonts w:cs="Times New Roman"/>
          <w:szCs w:val="28"/>
        </w:rPr>
        <w:t xml:space="preserve"> </w:t>
      </w:r>
      <w:r w:rsidR="00320129" w:rsidRPr="002B136D">
        <w:rPr>
          <w:rFonts w:cs="Times New Roman"/>
          <w:szCs w:val="28"/>
          <w:lang w:val="en-US"/>
        </w:rPr>
        <w:t>IL</w:t>
      </w:r>
      <w:r w:rsidR="00320129" w:rsidRPr="002B136D">
        <w:rPr>
          <w:rFonts w:cs="Times New Roman"/>
          <w:szCs w:val="28"/>
        </w:rPr>
        <w:t>-38)</w:t>
      </w:r>
      <w:proofErr w:type="gramStart"/>
      <w:r w:rsidR="00320129" w:rsidRPr="002B136D">
        <w:rPr>
          <w:rFonts w:cs="Times New Roman"/>
          <w:szCs w:val="28"/>
        </w:rPr>
        <w:t>.</w:t>
      </w:r>
      <w:proofErr w:type="gramEnd"/>
      <w:r w:rsidR="00297559" w:rsidRPr="002B136D">
        <w:rPr>
          <w:rFonts w:cs="Times New Roman"/>
          <w:szCs w:val="28"/>
        </w:rPr>
        <w:t xml:space="preserve"> </w:t>
      </w:r>
      <w:r w:rsidR="00AF31F3">
        <w:rPr>
          <w:rFonts w:cs="Times New Roman"/>
          <w:szCs w:val="28"/>
        </w:rPr>
        <w:t>(</w:t>
      </w:r>
      <w:proofErr w:type="gramStart"/>
      <w:r w:rsidR="00AF31F3">
        <w:rPr>
          <w:rFonts w:cs="Times New Roman"/>
          <w:szCs w:val="28"/>
        </w:rPr>
        <w:t>р</w:t>
      </w:r>
      <w:proofErr w:type="gramEnd"/>
      <w:r w:rsidR="00AF31F3">
        <w:rPr>
          <w:rFonts w:cs="Times New Roman"/>
          <w:szCs w:val="28"/>
        </w:rPr>
        <w:t>исунок</w:t>
      </w:r>
      <w:r w:rsidR="00283211">
        <w:rPr>
          <w:rFonts w:cs="Times New Roman"/>
          <w:szCs w:val="28"/>
        </w:rPr>
        <w:t xml:space="preserve"> </w:t>
      </w:r>
      <w:r w:rsidR="00297559" w:rsidRPr="002B136D">
        <w:rPr>
          <w:rFonts w:cs="Times New Roman"/>
          <w:szCs w:val="28"/>
        </w:rPr>
        <w:t>1</w:t>
      </w:r>
      <w:r w:rsidR="007B402D">
        <w:rPr>
          <w:rFonts w:cs="Times New Roman"/>
          <w:szCs w:val="28"/>
        </w:rPr>
        <w:t>3</w:t>
      </w:r>
      <w:r w:rsidR="00297559" w:rsidRPr="002B136D">
        <w:rPr>
          <w:rFonts w:cs="Times New Roman"/>
          <w:szCs w:val="28"/>
        </w:rPr>
        <w:t>-1</w:t>
      </w:r>
      <w:r w:rsidR="007B402D">
        <w:rPr>
          <w:rFonts w:cs="Times New Roman"/>
          <w:szCs w:val="28"/>
        </w:rPr>
        <w:t>4</w:t>
      </w:r>
      <w:r w:rsidR="000C2C7B" w:rsidRPr="002B136D">
        <w:rPr>
          <w:rFonts w:cs="Times New Roman"/>
          <w:szCs w:val="28"/>
        </w:rPr>
        <w:t>)</w:t>
      </w:r>
      <w:r w:rsidR="00455815">
        <w:rPr>
          <w:rFonts w:cs="Times New Roman"/>
          <w:szCs w:val="28"/>
        </w:rPr>
        <w:t>.</w:t>
      </w:r>
    </w:p>
    <w:p w14:paraId="2EC80655" w14:textId="77777777" w:rsidR="00181FBA" w:rsidRPr="002B136D" w:rsidRDefault="00181FBA" w:rsidP="009327F2">
      <w:pPr>
        <w:spacing w:after="0" w:line="240" w:lineRule="auto"/>
        <w:ind w:firstLine="709"/>
        <w:contextualSpacing/>
        <w:jc w:val="both"/>
        <w:rPr>
          <w:rFonts w:cs="Times New Roman"/>
          <w:szCs w:val="28"/>
        </w:rPr>
      </w:pPr>
    </w:p>
    <w:p w14:paraId="1C5D6FC7" w14:textId="0EE257F5" w:rsidR="00455815" w:rsidRDefault="00181FBA" w:rsidP="00455815">
      <w:pPr>
        <w:spacing w:after="0" w:line="360" w:lineRule="auto"/>
        <w:jc w:val="center"/>
        <w:rPr>
          <w:rFonts w:cs="Times New Roman"/>
          <w:szCs w:val="28"/>
        </w:rPr>
      </w:pPr>
      <w:r w:rsidRPr="002B136D">
        <w:rPr>
          <w:rFonts w:cs="Times New Roman"/>
          <w:noProof/>
          <w:szCs w:val="28"/>
          <w:lang w:eastAsia="ru-RU"/>
        </w:rPr>
        <w:drawing>
          <wp:inline distT="0" distB="0" distL="0" distR="0" wp14:anchorId="3EFF328B" wp14:editId="5F42E512">
            <wp:extent cx="4508390" cy="2642787"/>
            <wp:effectExtent l="0" t="0" r="698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622" cy="2653474"/>
                    </a:xfrm>
                    <a:prstGeom prst="rect">
                      <a:avLst/>
                    </a:prstGeom>
                    <a:noFill/>
                  </pic:spPr>
                </pic:pic>
              </a:graphicData>
            </a:graphic>
          </wp:inline>
        </w:drawing>
      </w:r>
    </w:p>
    <w:p w14:paraId="044A36A9" w14:textId="77777777" w:rsidR="00455815" w:rsidRPr="00455815" w:rsidRDefault="00455815" w:rsidP="00455815">
      <w:pPr>
        <w:spacing w:after="0" w:line="360" w:lineRule="auto"/>
        <w:jc w:val="center"/>
        <w:rPr>
          <w:rFonts w:cs="Times New Roman"/>
          <w:sz w:val="16"/>
          <w:szCs w:val="16"/>
        </w:rPr>
      </w:pPr>
    </w:p>
    <w:p w14:paraId="3ED1BA3C" w14:textId="69994FF8" w:rsidR="00455815" w:rsidRDefault="00913551" w:rsidP="00455815">
      <w:pPr>
        <w:spacing w:after="0" w:line="240" w:lineRule="auto"/>
        <w:jc w:val="center"/>
        <w:rPr>
          <w:rFonts w:cs="Times New Roman"/>
          <w:bCs/>
          <w:szCs w:val="28"/>
        </w:rPr>
      </w:pPr>
      <w:r w:rsidRPr="00455815">
        <w:rPr>
          <w:rFonts w:cs="Times New Roman"/>
          <w:bCs/>
          <w:szCs w:val="28"/>
        </w:rPr>
        <w:t>Рисунок</w:t>
      </w:r>
      <w:r w:rsidR="00D77B6D" w:rsidRPr="00455815">
        <w:rPr>
          <w:rFonts w:cs="Times New Roman"/>
          <w:bCs/>
          <w:szCs w:val="28"/>
        </w:rPr>
        <w:t xml:space="preserve"> </w:t>
      </w:r>
      <w:r w:rsidR="00297559" w:rsidRPr="00455815">
        <w:rPr>
          <w:rFonts w:cs="Times New Roman"/>
          <w:bCs/>
          <w:szCs w:val="28"/>
        </w:rPr>
        <w:t>1</w:t>
      </w:r>
      <w:r w:rsidR="007B402D">
        <w:rPr>
          <w:rFonts w:cs="Times New Roman"/>
          <w:bCs/>
          <w:szCs w:val="28"/>
        </w:rPr>
        <w:t>3</w:t>
      </w:r>
      <w:r w:rsidR="00455815" w:rsidRPr="00455815">
        <w:rPr>
          <w:rFonts w:cs="Times New Roman"/>
          <w:bCs/>
          <w:szCs w:val="28"/>
        </w:rPr>
        <w:t xml:space="preserve"> -</w:t>
      </w:r>
      <w:r w:rsidRPr="00455815">
        <w:rPr>
          <w:rFonts w:cs="Times New Roman"/>
          <w:bCs/>
          <w:szCs w:val="28"/>
        </w:rPr>
        <w:t xml:space="preserve"> Лимфатический</w:t>
      </w:r>
      <w:r w:rsidR="00D77B6D" w:rsidRPr="00455815">
        <w:rPr>
          <w:rFonts w:cs="Times New Roman"/>
          <w:bCs/>
          <w:szCs w:val="28"/>
        </w:rPr>
        <w:t xml:space="preserve"> </w:t>
      </w:r>
      <w:r w:rsidRPr="00455815">
        <w:rPr>
          <w:rFonts w:cs="Times New Roman"/>
          <w:bCs/>
          <w:szCs w:val="28"/>
        </w:rPr>
        <w:t xml:space="preserve">узел, позитивный контроль </w:t>
      </w:r>
      <w:r w:rsidRPr="00455815">
        <w:rPr>
          <w:rFonts w:cs="Times New Roman"/>
          <w:bCs/>
          <w:szCs w:val="28"/>
          <w:lang w:val="en-US"/>
        </w:rPr>
        <w:t>IL</w:t>
      </w:r>
      <w:r w:rsidRPr="00455815">
        <w:rPr>
          <w:rFonts w:cs="Times New Roman"/>
          <w:bCs/>
          <w:szCs w:val="28"/>
        </w:rPr>
        <w:t xml:space="preserve">17. </w:t>
      </w:r>
    </w:p>
    <w:p w14:paraId="315C15E6" w14:textId="37186B1B" w:rsidR="00414B9F" w:rsidRPr="00455815" w:rsidRDefault="00913551" w:rsidP="00455815">
      <w:pPr>
        <w:spacing w:after="0" w:line="240" w:lineRule="auto"/>
        <w:jc w:val="center"/>
        <w:rPr>
          <w:rFonts w:cs="Times New Roman"/>
          <w:bCs/>
          <w:szCs w:val="28"/>
        </w:rPr>
      </w:pPr>
      <w:r w:rsidRPr="00455815">
        <w:rPr>
          <w:rFonts w:cs="Times New Roman"/>
          <w:bCs/>
          <w:szCs w:val="28"/>
        </w:rPr>
        <w:t>Увеличение х50</w:t>
      </w:r>
    </w:p>
    <w:p w14:paraId="34C0ED13" w14:textId="77777777" w:rsidR="00181FBA" w:rsidRPr="002B136D" w:rsidRDefault="00913551" w:rsidP="00BF4C9C">
      <w:pPr>
        <w:spacing w:after="0" w:line="360" w:lineRule="auto"/>
        <w:jc w:val="center"/>
        <w:rPr>
          <w:rFonts w:cs="Times New Roman"/>
          <w:szCs w:val="28"/>
        </w:rPr>
      </w:pPr>
      <w:r w:rsidRPr="002B136D">
        <w:rPr>
          <w:rFonts w:cs="Times New Roman"/>
          <w:noProof/>
          <w:szCs w:val="28"/>
          <w:lang w:eastAsia="ru-RU"/>
        </w:rPr>
        <w:lastRenderedPageBreak/>
        <w:drawing>
          <wp:inline distT="0" distB="0" distL="0" distR="0" wp14:anchorId="245AD6EE" wp14:editId="4BF437CF">
            <wp:extent cx="4556098" cy="26715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928" cy="2681398"/>
                    </a:xfrm>
                    <a:prstGeom prst="rect">
                      <a:avLst/>
                    </a:prstGeom>
                    <a:noFill/>
                  </pic:spPr>
                </pic:pic>
              </a:graphicData>
            </a:graphic>
          </wp:inline>
        </w:drawing>
      </w:r>
    </w:p>
    <w:p w14:paraId="184CB989" w14:textId="77777777" w:rsidR="00455815" w:rsidRPr="00455815" w:rsidRDefault="00455815" w:rsidP="00455815">
      <w:pPr>
        <w:spacing w:after="0" w:line="240" w:lineRule="auto"/>
        <w:jc w:val="center"/>
        <w:rPr>
          <w:rFonts w:cs="Times New Roman"/>
          <w:bCs/>
          <w:sz w:val="16"/>
          <w:szCs w:val="16"/>
          <w:lang w:val="kk-KZ"/>
        </w:rPr>
      </w:pPr>
    </w:p>
    <w:p w14:paraId="6853C78B" w14:textId="73D2F13C" w:rsidR="00414B9F" w:rsidRDefault="00297559" w:rsidP="00455815">
      <w:pPr>
        <w:spacing w:after="0" w:line="240" w:lineRule="auto"/>
        <w:jc w:val="center"/>
        <w:rPr>
          <w:rFonts w:cs="Times New Roman"/>
          <w:bCs/>
          <w:szCs w:val="28"/>
          <w:lang w:val="kk-KZ"/>
        </w:rPr>
      </w:pPr>
      <w:r w:rsidRPr="00455815">
        <w:rPr>
          <w:rFonts w:cs="Times New Roman"/>
          <w:bCs/>
          <w:szCs w:val="28"/>
          <w:lang w:val="kk-KZ"/>
        </w:rPr>
        <w:t>Рисунок 1</w:t>
      </w:r>
      <w:r w:rsidR="007B402D">
        <w:rPr>
          <w:rFonts w:cs="Times New Roman"/>
          <w:bCs/>
          <w:szCs w:val="28"/>
          <w:lang w:val="kk-KZ"/>
        </w:rPr>
        <w:t>4</w:t>
      </w:r>
      <w:r w:rsidR="00455815" w:rsidRPr="00455815">
        <w:rPr>
          <w:rFonts w:cs="Times New Roman"/>
          <w:bCs/>
          <w:szCs w:val="28"/>
          <w:lang w:val="kk-KZ"/>
        </w:rPr>
        <w:t xml:space="preserve"> -</w:t>
      </w:r>
      <w:r w:rsidR="00913551" w:rsidRPr="00455815">
        <w:rPr>
          <w:rFonts w:cs="Times New Roman"/>
          <w:bCs/>
          <w:szCs w:val="28"/>
          <w:lang w:val="kk-KZ"/>
        </w:rPr>
        <w:t xml:space="preserve"> Колоректальный рак, позитивный контроль IL 38.Увеличение х 50</w:t>
      </w:r>
    </w:p>
    <w:p w14:paraId="6F9E1323" w14:textId="77777777" w:rsidR="00455815" w:rsidRPr="00455815" w:rsidRDefault="00455815" w:rsidP="00455815">
      <w:pPr>
        <w:spacing w:after="0" w:line="240" w:lineRule="auto"/>
        <w:jc w:val="center"/>
        <w:rPr>
          <w:rFonts w:cs="Times New Roman"/>
          <w:bCs/>
          <w:szCs w:val="28"/>
        </w:rPr>
      </w:pPr>
    </w:p>
    <w:p w14:paraId="3665A12D" w14:textId="77777777" w:rsidR="00414B9F" w:rsidRPr="002B136D" w:rsidRDefault="002E73B1" w:rsidP="00455815">
      <w:pPr>
        <w:spacing w:after="0" w:line="240" w:lineRule="auto"/>
        <w:ind w:firstLine="567"/>
        <w:contextualSpacing/>
        <w:jc w:val="both"/>
        <w:rPr>
          <w:rFonts w:cs="Times New Roman"/>
          <w:szCs w:val="28"/>
        </w:rPr>
      </w:pPr>
      <w:r w:rsidRPr="002B136D">
        <w:rPr>
          <w:rFonts w:cs="Times New Roman"/>
          <w:szCs w:val="28"/>
        </w:rPr>
        <w:t xml:space="preserve">Для каждого образца одну и ту же область фотографировали после окрашивания каждым моноклональным антителом с использованием фотографической насадки. Во время процедуры также была сделана фотография предметного стекла микрометра. </w:t>
      </w:r>
    </w:p>
    <w:p w14:paraId="73E51B07" w14:textId="77777777" w:rsidR="00414B9F" w:rsidRPr="002B136D" w:rsidRDefault="002E73B1" w:rsidP="00455815">
      <w:pPr>
        <w:spacing w:after="0" w:line="240" w:lineRule="auto"/>
        <w:ind w:firstLine="567"/>
        <w:contextualSpacing/>
        <w:jc w:val="both"/>
        <w:rPr>
          <w:rFonts w:cs="Times New Roman"/>
          <w:szCs w:val="28"/>
        </w:rPr>
      </w:pPr>
      <w:r w:rsidRPr="002B136D">
        <w:rPr>
          <w:rFonts w:cs="Times New Roman"/>
          <w:szCs w:val="28"/>
        </w:rPr>
        <w:t>Окрашенные предметные стекла сканировали при 20-кратном увеличении с использованием системы визуализации Aperio ScanScope XT (Aperio, Vista, CA). Длину калибровали, сравнивая фотографию образца с фотографией предметного стекла микрометра, сделанной при том же увеличении.</w:t>
      </w:r>
    </w:p>
    <w:p w14:paraId="374ADA06" w14:textId="77777777" w:rsidR="002E73B1" w:rsidRPr="002B136D" w:rsidRDefault="002E73B1" w:rsidP="00455815">
      <w:pPr>
        <w:spacing w:after="0" w:line="240" w:lineRule="auto"/>
        <w:ind w:firstLine="567"/>
        <w:contextualSpacing/>
        <w:jc w:val="both"/>
        <w:rPr>
          <w:rFonts w:cs="Times New Roman"/>
          <w:szCs w:val="28"/>
        </w:rPr>
      </w:pPr>
      <w:r w:rsidRPr="002B136D">
        <w:rPr>
          <w:rFonts w:cs="Times New Roman"/>
          <w:szCs w:val="28"/>
        </w:rPr>
        <w:t>Затем рассчитывали площадь в один квадратный миллиметр, а затем подсчитывали положительно окрашенные клетки с использованием прилагаемого программного обеспечения ImageScope. Рассчитывали средний результат не менее чем по трем полям.</w:t>
      </w:r>
    </w:p>
    <w:p w14:paraId="2CE289AB" w14:textId="58A8882F" w:rsidR="00414B9F" w:rsidRPr="002B136D" w:rsidRDefault="00023075" w:rsidP="00455815">
      <w:pPr>
        <w:spacing w:after="0" w:line="240" w:lineRule="auto"/>
        <w:ind w:firstLine="567"/>
        <w:contextualSpacing/>
        <w:jc w:val="both"/>
        <w:rPr>
          <w:rFonts w:cs="Times New Roman"/>
          <w:szCs w:val="28"/>
        </w:rPr>
      </w:pPr>
      <w:bookmarkStart w:id="6" w:name="_Hlk150605236"/>
      <w:proofErr w:type="gramStart"/>
      <w:r w:rsidRPr="002B136D">
        <w:rPr>
          <w:rFonts w:cs="Times New Roman"/>
          <w:szCs w:val="28"/>
        </w:rPr>
        <w:t>Для проведения генетического исследования производили з</w:t>
      </w:r>
      <w:r w:rsidR="00EE3040" w:rsidRPr="002B136D">
        <w:rPr>
          <w:rFonts w:cs="Times New Roman"/>
          <w:szCs w:val="28"/>
        </w:rPr>
        <w:t>абор венозной крови у</w:t>
      </w:r>
      <w:r w:rsidR="00D77B6D" w:rsidRPr="002B136D">
        <w:rPr>
          <w:rFonts w:cs="Times New Roman"/>
          <w:szCs w:val="28"/>
        </w:rPr>
        <w:t xml:space="preserve"> </w:t>
      </w:r>
      <w:r w:rsidR="00EE3040" w:rsidRPr="002B136D">
        <w:rPr>
          <w:rFonts w:cs="Times New Roman"/>
          <w:szCs w:val="28"/>
        </w:rPr>
        <w:t>132</w:t>
      </w:r>
      <w:r w:rsidR="00D77B6D" w:rsidRPr="002B136D">
        <w:rPr>
          <w:rFonts w:cs="Times New Roman"/>
          <w:szCs w:val="28"/>
        </w:rPr>
        <w:t xml:space="preserve"> </w:t>
      </w:r>
      <w:r w:rsidR="0038552C" w:rsidRPr="002B136D">
        <w:rPr>
          <w:rFonts w:cs="Times New Roman"/>
          <w:szCs w:val="28"/>
        </w:rPr>
        <w:t>пациентов</w:t>
      </w:r>
      <w:r w:rsidR="00EE3040" w:rsidRPr="002B136D">
        <w:rPr>
          <w:rFonts w:cs="Times New Roman"/>
          <w:szCs w:val="28"/>
        </w:rPr>
        <w:t>, с патологией ЩЖ с клинически подтвержденной ЭОП,</w:t>
      </w:r>
      <w:r w:rsidR="00D77B6D" w:rsidRPr="002B136D">
        <w:rPr>
          <w:rFonts w:cs="Times New Roman"/>
          <w:szCs w:val="28"/>
        </w:rPr>
        <w:t xml:space="preserve"> </w:t>
      </w:r>
      <w:r w:rsidR="00EE3040" w:rsidRPr="002B136D">
        <w:rPr>
          <w:rFonts w:cs="Times New Roman"/>
          <w:szCs w:val="28"/>
        </w:rPr>
        <w:t>и</w:t>
      </w:r>
      <w:r w:rsidR="00D77B6D" w:rsidRPr="002B136D">
        <w:rPr>
          <w:rFonts w:cs="Times New Roman"/>
          <w:szCs w:val="28"/>
        </w:rPr>
        <w:t xml:space="preserve"> </w:t>
      </w:r>
      <w:r w:rsidR="00EE3040" w:rsidRPr="002B136D">
        <w:rPr>
          <w:rFonts w:cs="Times New Roman"/>
          <w:szCs w:val="28"/>
        </w:rPr>
        <w:t xml:space="preserve">153 </w:t>
      </w:r>
      <w:r w:rsidR="0038552C" w:rsidRPr="002B136D">
        <w:rPr>
          <w:rFonts w:cs="Times New Roman"/>
          <w:szCs w:val="28"/>
        </w:rPr>
        <w:t>пациентов</w:t>
      </w:r>
      <w:r w:rsidR="00EE3040" w:rsidRPr="002B136D">
        <w:rPr>
          <w:rFonts w:cs="Times New Roman"/>
          <w:szCs w:val="28"/>
        </w:rPr>
        <w:t xml:space="preserve"> заболеваниями ЩЖ</w:t>
      </w:r>
      <w:r w:rsidR="00D77B6D" w:rsidRPr="002B136D">
        <w:rPr>
          <w:rFonts w:cs="Times New Roman"/>
          <w:szCs w:val="28"/>
        </w:rPr>
        <w:t xml:space="preserve"> </w:t>
      </w:r>
      <w:r w:rsidR="00EE3040" w:rsidRPr="002B136D">
        <w:rPr>
          <w:rFonts w:cs="Times New Roman"/>
          <w:szCs w:val="28"/>
        </w:rPr>
        <w:t>без ЭОП проведен в двух медицинских учреждениях г. Алматы в 2020–2021 гг. (Казахский НИИ глазных болезней, Институт Эндокринологии)</w:t>
      </w:r>
      <w:r w:rsidR="00283211">
        <w:rPr>
          <w:rFonts w:cs="Times New Roman"/>
          <w:szCs w:val="28"/>
        </w:rPr>
        <w:t>.</w:t>
      </w:r>
      <w:r w:rsidR="00EE3040" w:rsidRPr="002B136D">
        <w:rPr>
          <w:rFonts w:cs="Times New Roman"/>
          <w:szCs w:val="28"/>
        </w:rPr>
        <w:t xml:space="preserve"> </w:t>
      </w:r>
      <w:proofErr w:type="gramEnd"/>
    </w:p>
    <w:bookmarkEnd w:id="6"/>
    <w:p w14:paraId="09C83526" w14:textId="338B6916" w:rsidR="00414B9F" w:rsidRPr="002B136D" w:rsidRDefault="000C2C7B" w:rsidP="00455815">
      <w:pPr>
        <w:spacing w:after="0" w:line="240" w:lineRule="auto"/>
        <w:ind w:firstLine="567"/>
        <w:contextualSpacing/>
        <w:jc w:val="both"/>
        <w:rPr>
          <w:rFonts w:cs="Times New Roman"/>
          <w:szCs w:val="28"/>
        </w:rPr>
      </w:pPr>
      <w:r w:rsidRPr="002B136D">
        <w:rPr>
          <w:rFonts w:cs="Times New Roman"/>
          <w:szCs w:val="28"/>
        </w:rPr>
        <w:t>Образцы крови по 5 мл брали через срединную локтевую вену утром натощ</w:t>
      </w:r>
      <w:r w:rsidR="00503B5A" w:rsidRPr="002B136D">
        <w:rPr>
          <w:rFonts w:cs="Times New Roman"/>
          <w:szCs w:val="28"/>
        </w:rPr>
        <w:t xml:space="preserve">ак или через два часа после еды. </w:t>
      </w:r>
      <w:r w:rsidRPr="002B136D">
        <w:rPr>
          <w:rFonts w:cs="Times New Roman"/>
          <w:szCs w:val="28"/>
        </w:rPr>
        <w:t xml:space="preserve">Биологические материалы после забора были транспортированы в специальных холодильных камерах и были заморожены при температуре </w:t>
      </w:r>
      <w:r w:rsidRPr="002B136D">
        <w:rPr>
          <w:rFonts w:cs="Times New Roman"/>
          <w:szCs w:val="28"/>
          <w:lang w:val="kk-KZ"/>
        </w:rPr>
        <w:t xml:space="preserve">(-20°С) </w:t>
      </w:r>
      <w:r w:rsidRPr="002B136D">
        <w:rPr>
          <w:rFonts w:cs="Times New Roman"/>
          <w:szCs w:val="28"/>
        </w:rPr>
        <w:t xml:space="preserve">градусов до проведения генетического анализа. Генетическое исследование проводилось </w:t>
      </w:r>
      <w:r w:rsidR="00EE3040" w:rsidRPr="002B136D">
        <w:rPr>
          <w:rFonts w:cs="Times New Roman"/>
          <w:szCs w:val="28"/>
        </w:rPr>
        <w:t xml:space="preserve">в </w:t>
      </w:r>
      <w:r w:rsidR="00EE3040" w:rsidRPr="002B136D">
        <w:rPr>
          <w:rFonts w:cs="Times New Roman"/>
          <w:szCs w:val="28"/>
        </w:rPr>
        <w:tab/>
        <w:t>НИИ общей генетики и физиологии, Алматы, Казахстан.</w:t>
      </w:r>
    </w:p>
    <w:p w14:paraId="60ABA5FB" w14:textId="14F97E15" w:rsidR="002D2784" w:rsidRPr="002B136D" w:rsidRDefault="002D2784" w:rsidP="00455815">
      <w:pPr>
        <w:spacing w:after="0" w:line="240" w:lineRule="auto"/>
        <w:ind w:firstLine="567"/>
        <w:contextualSpacing/>
        <w:jc w:val="both"/>
        <w:rPr>
          <w:rFonts w:cs="Times New Roman"/>
          <w:szCs w:val="28"/>
        </w:rPr>
      </w:pPr>
      <w:r w:rsidRPr="002B136D">
        <w:rPr>
          <w:rFonts w:cs="Times New Roman"/>
          <w:szCs w:val="28"/>
        </w:rPr>
        <w:t>По результатам литературного обзора по генетике и учитывая доступные ресурсы, при выборе SNP ис</w:t>
      </w:r>
      <w:r w:rsidR="004A0C0A" w:rsidRPr="002B136D">
        <w:rPr>
          <w:rFonts w:cs="Times New Roman"/>
          <w:szCs w:val="28"/>
        </w:rPr>
        <w:t xml:space="preserve">пользовались следующие критерии </w:t>
      </w:r>
      <w:r w:rsidR="0067708D">
        <w:rPr>
          <w:rFonts w:cs="Times New Roman"/>
          <w:szCs w:val="28"/>
        </w:rPr>
        <w:t xml:space="preserve">(таблица </w:t>
      </w:r>
      <w:r w:rsidR="00C35BFB">
        <w:rPr>
          <w:rFonts w:cs="Times New Roman"/>
          <w:szCs w:val="28"/>
        </w:rPr>
        <w:t>4</w:t>
      </w:r>
      <w:r w:rsidR="004A0C0A" w:rsidRPr="002B136D">
        <w:rPr>
          <w:rFonts w:cs="Times New Roman"/>
          <w:szCs w:val="28"/>
        </w:rPr>
        <w:t>)</w:t>
      </w:r>
      <w:r w:rsidR="00E920FF" w:rsidRPr="002B136D">
        <w:rPr>
          <w:rFonts w:cs="Times New Roman"/>
          <w:szCs w:val="28"/>
        </w:rPr>
        <w:t>.</w:t>
      </w:r>
    </w:p>
    <w:p w14:paraId="27C49580" w14:textId="77777777" w:rsidR="00023075" w:rsidRPr="002B136D" w:rsidRDefault="00023075" w:rsidP="006E7629">
      <w:pPr>
        <w:spacing w:after="0" w:line="360" w:lineRule="auto"/>
        <w:ind w:firstLine="708"/>
        <w:jc w:val="both"/>
        <w:rPr>
          <w:rFonts w:cs="Times New Roman"/>
          <w:b/>
          <w:szCs w:val="28"/>
          <w:lang w:val="kk-KZ"/>
        </w:rPr>
      </w:pPr>
    </w:p>
    <w:p w14:paraId="475B854C" w14:textId="77777777" w:rsidR="00BF4C9C" w:rsidRPr="002B136D" w:rsidRDefault="00BF4C9C" w:rsidP="00312ADE">
      <w:pPr>
        <w:spacing w:after="0" w:line="360" w:lineRule="auto"/>
        <w:jc w:val="center"/>
        <w:rPr>
          <w:rFonts w:cs="Times New Roman"/>
          <w:b/>
          <w:szCs w:val="28"/>
          <w:lang w:val="kk-KZ"/>
        </w:rPr>
      </w:pPr>
    </w:p>
    <w:p w14:paraId="340B6A59" w14:textId="7995F693" w:rsidR="002D2784" w:rsidRDefault="004A0C0A" w:rsidP="007E0F01">
      <w:pPr>
        <w:spacing w:after="0" w:line="240" w:lineRule="auto"/>
        <w:rPr>
          <w:rFonts w:cs="Times New Roman"/>
          <w:bCs/>
          <w:szCs w:val="28"/>
        </w:rPr>
      </w:pPr>
      <w:r w:rsidRPr="007E0F01">
        <w:rPr>
          <w:rFonts w:cs="Times New Roman"/>
          <w:bCs/>
          <w:szCs w:val="28"/>
          <w:lang w:val="kk-KZ"/>
        </w:rPr>
        <w:lastRenderedPageBreak/>
        <w:t xml:space="preserve">Таблица </w:t>
      </w:r>
      <w:r w:rsidR="00C35BFB">
        <w:rPr>
          <w:rFonts w:cs="Times New Roman"/>
          <w:bCs/>
          <w:szCs w:val="28"/>
          <w:lang w:val="kk-KZ"/>
        </w:rPr>
        <w:t>4</w:t>
      </w:r>
      <w:r w:rsidR="007E0F01" w:rsidRPr="007E0F01">
        <w:rPr>
          <w:rFonts w:cs="Times New Roman"/>
          <w:bCs/>
          <w:szCs w:val="28"/>
          <w:lang w:val="kk-KZ"/>
        </w:rPr>
        <w:t xml:space="preserve"> - </w:t>
      </w:r>
      <w:r w:rsidR="00E920FF" w:rsidRPr="007E0F01">
        <w:rPr>
          <w:rFonts w:cs="Times New Roman"/>
          <w:bCs/>
          <w:szCs w:val="28"/>
        </w:rPr>
        <w:t>Критерии в</w:t>
      </w:r>
      <w:r w:rsidR="00E920FF" w:rsidRPr="007E0F01">
        <w:rPr>
          <w:rFonts w:cs="Times New Roman"/>
          <w:bCs/>
          <w:szCs w:val="28"/>
          <w:lang w:val="kk-KZ"/>
        </w:rPr>
        <w:t xml:space="preserve">ыбора </w:t>
      </w:r>
      <w:r w:rsidR="00E920FF" w:rsidRPr="007E0F01">
        <w:rPr>
          <w:rFonts w:cs="Times New Roman"/>
          <w:bCs/>
          <w:szCs w:val="28"/>
        </w:rPr>
        <w:t>SNP</w:t>
      </w:r>
    </w:p>
    <w:p w14:paraId="3EC1B8F8" w14:textId="77777777" w:rsidR="007E0F01" w:rsidRPr="007E0F01" w:rsidRDefault="007E0F01" w:rsidP="007E0F01">
      <w:pPr>
        <w:spacing w:after="0" w:line="240" w:lineRule="auto"/>
        <w:rPr>
          <w:rFonts w:cs="Times New Roman"/>
          <w:bCs/>
          <w:szCs w:val="28"/>
          <w:lang w:val="en-US"/>
        </w:rPr>
      </w:pPr>
    </w:p>
    <w:tbl>
      <w:tblPr>
        <w:tblStyle w:val="ad"/>
        <w:tblW w:w="0" w:type="auto"/>
        <w:tblInd w:w="108" w:type="dxa"/>
        <w:tblLook w:val="0000" w:firstRow="0" w:lastRow="0" w:firstColumn="0" w:lastColumn="0" w:noHBand="0" w:noVBand="0"/>
      </w:tblPr>
      <w:tblGrid>
        <w:gridCol w:w="3402"/>
        <w:gridCol w:w="6237"/>
      </w:tblGrid>
      <w:tr w:rsidR="00D51D40" w:rsidRPr="002B136D" w14:paraId="6AC5C4A8" w14:textId="77777777" w:rsidTr="007E0F0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402" w:type="dxa"/>
            <w:vMerge w:val="restart"/>
          </w:tcPr>
          <w:p w14:paraId="34FB9BD8" w14:textId="77777777" w:rsidR="002D2784" w:rsidRPr="007E0F01" w:rsidRDefault="002D2784" w:rsidP="009327F2">
            <w:pPr>
              <w:contextualSpacing/>
              <w:jc w:val="both"/>
              <w:rPr>
                <w:rFonts w:cs="Times New Roman"/>
                <w:sz w:val="24"/>
                <w:szCs w:val="24"/>
                <w:lang w:val="kk-KZ"/>
              </w:rPr>
            </w:pPr>
          </w:p>
          <w:p w14:paraId="33967A32" w14:textId="77777777" w:rsidR="002D2784" w:rsidRPr="007E0F01" w:rsidRDefault="002D2784" w:rsidP="009327F2">
            <w:pPr>
              <w:contextualSpacing/>
              <w:jc w:val="both"/>
              <w:rPr>
                <w:rFonts w:cs="Times New Roman"/>
                <w:sz w:val="24"/>
                <w:szCs w:val="24"/>
                <w:lang w:val="kk-KZ"/>
              </w:rPr>
            </w:pPr>
            <w:r w:rsidRPr="007E0F01">
              <w:rPr>
                <w:rFonts w:cs="Times New Roman"/>
                <w:sz w:val="24"/>
                <w:szCs w:val="24"/>
              </w:rPr>
              <w:t>Критерии</w:t>
            </w:r>
            <w:r w:rsidRPr="007E0F01">
              <w:rPr>
                <w:rFonts w:cs="Times New Roman"/>
                <w:sz w:val="24"/>
                <w:szCs w:val="24"/>
                <w:lang w:val="kk-KZ"/>
              </w:rPr>
              <w:t xml:space="preserve"> </w:t>
            </w:r>
            <w:r w:rsidRPr="007E0F01">
              <w:rPr>
                <w:rFonts w:cs="Times New Roman"/>
                <w:sz w:val="24"/>
                <w:szCs w:val="24"/>
              </w:rPr>
              <w:t>при выборе SNP</w:t>
            </w:r>
          </w:p>
          <w:p w14:paraId="2EDAAA01" w14:textId="77777777" w:rsidR="002D2784" w:rsidRPr="007E0F01" w:rsidRDefault="002D2784" w:rsidP="009327F2">
            <w:pPr>
              <w:contextualSpacing/>
              <w:jc w:val="both"/>
              <w:rPr>
                <w:rFonts w:cs="Times New Roman"/>
                <w:sz w:val="24"/>
                <w:szCs w:val="24"/>
                <w:lang w:val="kk-KZ"/>
              </w:rPr>
            </w:pPr>
          </w:p>
        </w:tc>
        <w:tc>
          <w:tcPr>
            <w:tcW w:w="6237" w:type="dxa"/>
          </w:tcPr>
          <w:p w14:paraId="15B8BA0A" w14:textId="77777777" w:rsidR="002D2784" w:rsidRPr="007E0F01" w:rsidRDefault="002D278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val="kk-KZ"/>
              </w:rPr>
            </w:pPr>
            <w:r w:rsidRPr="007E0F01">
              <w:rPr>
                <w:rFonts w:cs="Times New Roman"/>
                <w:sz w:val="24"/>
                <w:szCs w:val="24"/>
                <w:lang w:val="kk-KZ"/>
              </w:rPr>
              <w:t>А</w:t>
            </w:r>
            <w:r w:rsidR="004047AE" w:rsidRPr="007E0F01">
              <w:rPr>
                <w:rFonts w:cs="Times New Roman"/>
                <w:sz w:val="24"/>
                <w:szCs w:val="24"/>
                <w:lang w:val="kk-KZ"/>
              </w:rPr>
              <w:t>сс</w:t>
            </w:r>
            <w:r w:rsidR="004047AE" w:rsidRPr="007E0F01">
              <w:rPr>
                <w:rFonts w:cs="Times New Roman"/>
                <w:sz w:val="24"/>
                <w:szCs w:val="24"/>
              </w:rPr>
              <w:t>о</w:t>
            </w:r>
            <w:r w:rsidR="004047AE" w:rsidRPr="007E0F01">
              <w:rPr>
                <w:rFonts w:cs="Times New Roman"/>
                <w:sz w:val="24"/>
                <w:szCs w:val="24"/>
                <w:lang w:val="kk-KZ"/>
              </w:rPr>
              <w:t>цация</w:t>
            </w:r>
            <w:r w:rsidRPr="007E0F01">
              <w:rPr>
                <w:rFonts w:cs="Times New Roman"/>
                <w:sz w:val="24"/>
                <w:szCs w:val="24"/>
              </w:rPr>
              <w:t xml:space="preserve"> SNP с другими аутоиммунными заболеваниями</w:t>
            </w:r>
          </w:p>
        </w:tc>
      </w:tr>
      <w:tr w:rsidR="00D51D40" w:rsidRPr="002B136D" w14:paraId="205213EF" w14:textId="77777777" w:rsidTr="007E0F01">
        <w:trPr>
          <w:trHeight w:val="60"/>
        </w:trPr>
        <w:tc>
          <w:tcPr>
            <w:cnfStyle w:val="000010000000" w:firstRow="0" w:lastRow="0" w:firstColumn="0" w:lastColumn="0" w:oddVBand="1" w:evenVBand="0" w:oddHBand="0" w:evenHBand="0" w:firstRowFirstColumn="0" w:firstRowLastColumn="0" w:lastRowFirstColumn="0" w:lastRowLastColumn="0"/>
            <w:tcW w:w="3402" w:type="dxa"/>
            <w:vMerge/>
          </w:tcPr>
          <w:p w14:paraId="4016559F" w14:textId="77777777" w:rsidR="002D2784" w:rsidRPr="007E0F01" w:rsidRDefault="002D2784" w:rsidP="009327F2">
            <w:pPr>
              <w:contextualSpacing/>
              <w:jc w:val="both"/>
              <w:rPr>
                <w:rFonts w:cs="Times New Roman"/>
                <w:sz w:val="24"/>
                <w:szCs w:val="24"/>
                <w:lang w:val="kk-KZ"/>
              </w:rPr>
            </w:pPr>
          </w:p>
        </w:tc>
        <w:tc>
          <w:tcPr>
            <w:tcW w:w="6237" w:type="dxa"/>
          </w:tcPr>
          <w:p w14:paraId="33DF8084" w14:textId="3061A061" w:rsidR="002D2784" w:rsidRPr="007E0F01" w:rsidRDefault="002D2784" w:rsidP="009327F2">
            <w:pPr>
              <w:contextualSpacing/>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kk-KZ"/>
              </w:rPr>
            </w:pPr>
            <w:r w:rsidRPr="007E0F01">
              <w:rPr>
                <w:rFonts w:cs="Times New Roman"/>
                <w:sz w:val="24"/>
                <w:szCs w:val="24"/>
              </w:rPr>
              <w:t>Генотипировани</w:t>
            </w:r>
            <w:r w:rsidRPr="007E0F01">
              <w:rPr>
                <w:rFonts w:cs="Times New Roman"/>
                <w:sz w:val="24"/>
                <w:szCs w:val="24"/>
                <w:lang w:val="kk-KZ"/>
              </w:rPr>
              <w:t>е с и</w:t>
            </w:r>
            <w:r w:rsidR="004047AE" w:rsidRPr="007E0F01">
              <w:rPr>
                <w:rFonts w:cs="Times New Roman"/>
                <w:sz w:val="24"/>
                <w:szCs w:val="24"/>
                <w:lang w:val="kk-KZ"/>
              </w:rPr>
              <w:t>спользыванием</w:t>
            </w:r>
            <w:r w:rsidRPr="007E0F01">
              <w:rPr>
                <w:rFonts w:cs="Times New Roman"/>
                <w:sz w:val="24"/>
                <w:szCs w:val="24"/>
              </w:rPr>
              <w:t xml:space="preserve"> метод</w:t>
            </w:r>
            <w:r w:rsidRPr="007E0F01">
              <w:rPr>
                <w:rFonts w:cs="Times New Roman"/>
                <w:sz w:val="24"/>
                <w:szCs w:val="24"/>
                <w:lang w:val="kk-KZ"/>
              </w:rPr>
              <w:t>а</w:t>
            </w:r>
            <w:r w:rsidRPr="007E0F01">
              <w:rPr>
                <w:rFonts w:cs="Times New Roman"/>
                <w:sz w:val="24"/>
                <w:szCs w:val="24"/>
              </w:rPr>
              <w:t xml:space="preserve"> </w:t>
            </w:r>
            <w:r w:rsidRPr="007E0F01">
              <w:rPr>
                <w:rFonts w:cs="Times New Roman"/>
                <w:sz w:val="24"/>
                <w:szCs w:val="24"/>
                <w:lang w:val="en-US"/>
              </w:rPr>
              <w:t>TaqMan</w:t>
            </w:r>
            <w:r w:rsidR="00D77B6D" w:rsidRPr="007E0F01">
              <w:rPr>
                <w:rFonts w:cs="Times New Roman"/>
                <w:sz w:val="24"/>
                <w:szCs w:val="24"/>
              </w:rPr>
              <w:t xml:space="preserve"> </w:t>
            </w:r>
          </w:p>
        </w:tc>
      </w:tr>
      <w:tr w:rsidR="00D51D40" w:rsidRPr="002B136D" w14:paraId="1E59870E" w14:textId="77777777" w:rsidTr="007E0F0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402" w:type="dxa"/>
            <w:vMerge/>
          </w:tcPr>
          <w:p w14:paraId="07D37259" w14:textId="77777777" w:rsidR="002D2784" w:rsidRPr="007E0F01" w:rsidRDefault="002D2784" w:rsidP="009327F2">
            <w:pPr>
              <w:contextualSpacing/>
              <w:jc w:val="both"/>
              <w:rPr>
                <w:rFonts w:cs="Times New Roman"/>
                <w:sz w:val="24"/>
                <w:szCs w:val="24"/>
                <w:lang w:val="kk-KZ"/>
              </w:rPr>
            </w:pPr>
          </w:p>
        </w:tc>
        <w:tc>
          <w:tcPr>
            <w:tcW w:w="6237" w:type="dxa"/>
          </w:tcPr>
          <w:p w14:paraId="55D66E7D" w14:textId="77777777" w:rsidR="002D2784" w:rsidRPr="007E0F01" w:rsidRDefault="002D2784"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val="kk-KZ"/>
              </w:rPr>
            </w:pPr>
            <w:r w:rsidRPr="007E0F01">
              <w:rPr>
                <w:rFonts w:cs="Times New Roman"/>
                <w:sz w:val="24"/>
                <w:szCs w:val="24"/>
                <w:lang w:val="kk-KZ"/>
              </w:rPr>
              <w:t>Ч</w:t>
            </w:r>
            <w:r w:rsidR="004047AE" w:rsidRPr="007E0F01">
              <w:rPr>
                <w:rFonts w:cs="Times New Roman"/>
                <w:sz w:val="24"/>
                <w:szCs w:val="24"/>
              </w:rPr>
              <w:t>а</w:t>
            </w:r>
            <w:r w:rsidR="004047AE" w:rsidRPr="007E0F01">
              <w:rPr>
                <w:rFonts w:cs="Times New Roman"/>
                <w:sz w:val="24"/>
                <w:szCs w:val="24"/>
                <w:lang w:val="kk-KZ"/>
              </w:rPr>
              <w:t>стота</w:t>
            </w:r>
            <w:r w:rsidRPr="007E0F01">
              <w:rPr>
                <w:rFonts w:cs="Times New Roman"/>
                <w:sz w:val="24"/>
                <w:szCs w:val="24"/>
              </w:rPr>
              <w:t xml:space="preserve"> минорного аллеля SNP высока (MAF&gt; 0,2)</w:t>
            </w:r>
          </w:p>
        </w:tc>
      </w:tr>
    </w:tbl>
    <w:p w14:paraId="2C8404BD" w14:textId="77777777" w:rsidR="007E0F01" w:rsidRDefault="007E0F01" w:rsidP="009327F2">
      <w:pPr>
        <w:spacing w:after="0" w:line="240" w:lineRule="auto"/>
        <w:ind w:firstLine="709"/>
        <w:contextualSpacing/>
        <w:jc w:val="both"/>
        <w:rPr>
          <w:rFonts w:cs="Times New Roman"/>
          <w:b/>
          <w:szCs w:val="28"/>
          <w:lang w:val="kk-KZ"/>
        </w:rPr>
      </w:pPr>
    </w:p>
    <w:p w14:paraId="4B49F83F" w14:textId="42422C94" w:rsidR="00A76D0C" w:rsidRPr="002B136D" w:rsidRDefault="00EE3040" w:rsidP="007E0F01">
      <w:pPr>
        <w:spacing w:after="0" w:line="240" w:lineRule="auto"/>
        <w:ind w:firstLine="567"/>
        <w:contextualSpacing/>
        <w:jc w:val="both"/>
        <w:rPr>
          <w:rFonts w:cs="Times New Roman"/>
          <w:szCs w:val="28"/>
        </w:rPr>
      </w:pPr>
      <w:r w:rsidRPr="002B136D">
        <w:rPr>
          <w:rFonts w:cs="Times New Roman"/>
          <w:szCs w:val="28"/>
        </w:rPr>
        <w:t>В результате для тестирования</w:t>
      </w:r>
      <w:r w:rsidR="000C2C7B" w:rsidRPr="002B136D">
        <w:rPr>
          <w:rFonts w:cs="Times New Roman"/>
          <w:szCs w:val="28"/>
        </w:rPr>
        <w:t xml:space="preserve"> были отобраны три полиморфизма в генах</w:t>
      </w:r>
      <w:r w:rsidR="00952829" w:rsidRPr="002B136D">
        <w:rPr>
          <w:rFonts w:cs="Times New Roman"/>
          <w:szCs w:val="28"/>
        </w:rPr>
        <w:t>,</w:t>
      </w:r>
      <w:r w:rsidR="000C2C7B" w:rsidRPr="002B136D">
        <w:rPr>
          <w:rFonts w:cs="Times New Roman"/>
          <w:szCs w:val="28"/>
        </w:rPr>
        <w:t xml:space="preserve"> кодирующих цитокины</w:t>
      </w:r>
      <w:r w:rsidR="00BF4C9C" w:rsidRPr="002B136D">
        <w:rPr>
          <w:rFonts w:cs="Times New Roman"/>
          <w:szCs w:val="28"/>
        </w:rPr>
        <w:t xml:space="preserve"> (ИЛ17</w:t>
      </w:r>
      <w:r w:rsidR="00BF4C9C" w:rsidRPr="002B136D">
        <w:rPr>
          <w:rFonts w:cs="Times New Roman"/>
          <w:szCs w:val="28"/>
          <w:lang w:val="en-US"/>
        </w:rPr>
        <w:t>F</w:t>
      </w:r>
      <w:r w:rsidR="00BF4C9C" w:rsidRPr="002B136D">
        <w:rPr>
          <w:rFonts w:cs="Times New Roman"/>
          <w:szCs w:val="28"/>
        </w:rPr>
        <w:t xml:space="preserve"> и ИЛ38)</w:t>
      </w:r>
      <w:r w:rsidR="004A0C0A" w:rsidRPr="002B136D">
        <w:rPr>
          <w:rFonts w:cs="Times New Roman"/>
          <w:szCs w:val="28"/>
        </w:rPr>
        <w:t xml:space="preserve"> </w:t>
      </w:r>
      <w:r w:rsidR="0067708D">
        <w:rPr>
          <w:rFonts w:cs="Times New Roman"/>
          <w:szCs w:val="28"/>
        </w:rPr>
        <w:t xml:space="preserve">(таблица </w:t>
      </w:r>
      <w:r w:rsidR="00C35BFB">
        <w:rPr>
          <w:rFonts w:cs="Times New Roman"/>
          <w:szCs w:val="28"/>
        </w:rPr>
        <w:t>5</w:t>
      </w:r>
      <w:r w:rsidR="004A0C0A" w:rsidRPr="002B136D">
        <w:rPr>
          <w:rFonts w:cs="Times New Roman"/>
          <w:szCs w:val="28"/>
        </w:rPr>
        <w:t>)</w:t>
      </w:r>
      <w:r w:rsidR="00E920FF" w:rsidRPr="002B136D">
        <w:rPr>
          <w:rFonts w:cs="Times New Roman"/>
          <w:szCs w:val="28"/>
        </w:rPr>
        <w:t>.</w:t>
      </w:r>
      <w:r w:rsidRPr="002B136D">
        <w:rPr>
          <w:rFonts w:cs="Times New Roman"/>
          <w:szCs w:val="28"/>
        </w:rPr>
        <w:t xml:space="preserve"> </w:t>
      </w:r>
    </w:p>
    <w:p w14:paraId="6FC56891" w14:textId="77777777" w:rsidR="00414B9F" w:rsidRPr="002B136D" w:rsidRDefault="00414B9F" w:rsidP="009327F2">
      <w:pPr>
        <w:spacing w:after="0" w:line="240" w:lineRule="auto"/>
        <w:ind w:firstLine="709"/>
        <w:contextualSpacing/>
        <w:jc w:val="both"/>
        <w:rPr>
          <w:rFonts w:cs="Times New Roman"/>
          <w:szCs w:val="28"/>
        </w:rPr>
      </w:pPr>
    </w:p>
    <w:p w14:paraId="03498129" w14:textId="6251F0E6" w:rsidR="004A0C0A" w:rsidRDefault="004A0C0A" w:rsidP="007E0F01">
      <w:pPr>
        <w:spacing w:after="0" w:line="240" w:lineRule="auto"/>
        <w:rPr>
          <w:rFonts w:cs="Times New Roman"/>
          <w:bCs/>
          <w:szCs w:val="28"/>
        </w:rPr>
      </w:pPr>
      <w:r w:rsidRPr="007E0F01">
        <w:rPr>
          <w:rFonts w:cs="Times New Roman"/>
          <w:bCs/>
          <w:szCs w:val="28"/>
          <w:lang w:val="kk-KZ"/>
        </w:rPr>
        <w:t xml:space="preserve">Таблица </w:t>
      </w:r>
      <w:r w:rsidR="00C35BFB">
        <w:rPr>
          <w:rFonts w:cs="Times New Roman"/>
          <w:bCs/>
          <w:szCs w:val="28"/>
          <w:lang w:val="kk-KZ"/>
        </w:rPr>
        <w:t>5</w:t>
      </w:r>
      <w:r w:rsidR="007E0F01" w:rsidRPr="007E0F01">
        <w:rPr>
          <w:rFonts w:cs="Times New Roman"/>
          <w:bCs/>
          <w:szCs w:val="28"/>
          <w:lang w:val="kk-KZ"/>
        </w:rPr>
        <w:t xml:space="preserve"> - </w:t>
      </w:r>
      <w:r w:rsidR="00744288" w:rsidRPr="007E0F01">
        <w:rPr>
          <w:rFonts w:cs="Times New Roman"/>
          <w:bCs/>
          <w:szCs w:val="28"/>
          <w:lang w:val="kk-KZ"/>
        </w:rPr>
        <w:t>П</w:t>
      </w:r>
      <w:r w:rsidR="00952829" w:rsidRPr="007E0F01">
        <w:rPr>
          <w:rFonts w:cs="Times New Roman"/>
          <w:bCs/>
          <w:szCs w:val="28"/>
        </w:rPr>
        <w:t>олиморфизмы</w:t>
      </w:r>
      <w:r w:rsidR="00D77B6D" w:rsidRPr="007E0F01">
        <w:rPr>
          <w:rFonts w:cs="Times New Roman"/>
          <w:bCs/>
          <w:szCs w:val="28"/>
        </w:rPr>
        <w:t xml:space="preserve"> </w:t>
      </w:r>
      <w:r w:rsidR="00952829" w:rsidRPr="007E0F01">
        <w:rPr>
          <w:rFonts w:cs="Times New Roman"/>
          <w:bCs/>
          <w:szCs w:val="28"/>
        </w:rPr>
        <w:t>в генах, кодирующих цитокины</w:t>
      </w:r>
    </w:p>
    <w:p w14:paraId="3CDA0EFC" w14:textId="77777777" w:rsidR="007E0F01" w:rsidRPr="007E0F01" w:rsidRDefault="007E0F01" w:rsidP="007E0F01">
      <w:pPr>
        <w:spacing w:after="0" w:line="240" w:lineRule="auto"/>
        <w:rPr>
          <w:rFonts w:cs="Times New Roman"/>
          <w:bCs/>
          <w:szCs w:val="28"/>
          <w:lang w:val="kk-KZ"/>
        </w:rPr>
      </w:pPr>
    </w:p>
    <w:tbl>
      <w:tblPr>
        <w:tblStyle w:val="ad"/>
        <w:tblW w:w="9639" w:type="dxa"/>
        <w:tblInd w:w="108" w:type="dxa"/>
        <w:tblLook w:val="0000" w:firstRow="0" w:lastRow="0" w:firstColumn="0" w:lastColumn="0" w:noHBand="0" w:noVBand="0"/>
      </w:tblPr>
      <w:tblGrid>
        <w:gridCol w:w="2419"/>
        <w:gridCol w:w="2633"/>
        <w:gridCol w:w="4587"/>
      </w:tblGrid>
      <w:tr w:rsidR="00D51D40" w:rsidRPr="002B136D" w14:paraId="52B7E90D" w14:textId="77777777" w:rsidTr="007E0F01">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9639" w:type="dxa"/>
            <w:gridSpan w:val="3"/>
          </w:tcPr>
          <w:p w14:paraId="35ECA663" w14:textId="77777777" w:rsidR="004A0C0A" w:rsidRPr="007E0F01" w:rsidRDefault="004A0C0A" w:rsidP="009327F2">
            <w:pPr>
              <w:contextualSpacing/>
              <w:jc w:val="both"/>
              <w:rPr>
                <w:rFonts w:cs="Times New Roman"/>
                <w:sz w:val="24"/>
                <w:szCs w:val="24"/>
              </w:rPr>
            </w:pPr>
            <w:r w:rsidRPr="007E0F01">
              <w:rPr>
                <w:rFonts w:cs="Times New Roman"/>
                <w:sz w:val="24"/>
                <w:szCs w:val="24"/>
              </w:rPr>
              <w:t>Полиморфиз</w:t>
            </w:r>
            <w:r w:rsidR="00952829" w:rsidRPr="007E0F01">
              <w:rPr>
                <w:rFonts w:cs="Times New Roman"/>
                <w:sz w:val="24"/>
                <w:szCs w:val="24"/>
              </w:rPr>
              <w:t>м</w:t>
            </w:r>
          </w:p>
        </w:tc>
      </w:tr>
      <w:tr w:rsidR="00D51D40" w:rsidRPr="002B136D" w14:paraId="37B654F7" w14:textId="77777777" w:rsidTr="007E0F01">
        <w:trPr>
          <w:trHeight w:val="71"/>
        </w:trPr>
        <w:tc>
          <w:tcPr>
            <w:cnfStyle w:val="000010000000" w:firstRow="0" w:lastRow="0" w:firstColumn="0" w:lastColumn="0" w:oddVBand="1" w:evenVBand="0" w:oddHBand="0" w:evenHBand="0" w:firstRowFirstColumn="0" w:firstRowLastColumn="0" w:lastRowFirstColumn="0" w:lastRowLastColumn="0"/>
            <w:tcW w:w="2419" w:type="dxa"/>
          </w:tcPr>
          <w:p w14:paraId="74747455" w14:textId="77777777" w:rsidR="004A0C0A" w:rsidRPr="007E0F01" w:rsidRDefault="004A0C0A" w:rsidP="009327F2">
            <w:pPr>
              <w:contextualSpacing/>
              <w:jc w:val="both"/>
              <w:rPr>
                <w:rFonts w:cs="Times New Roman"/>
                <w:sz w:val="24"/>
                <w:szCs w:val="24"/>
                <w:lang w:val="en-US"/>
              </w:rPr>
            </w:pPr>
            <w:r w:rsidRPr="007E0F01">
              <w:rPr>
                <w:rFonts w:cs="Times New Roman"/>
                <w:sz w:val="24"/>
                <w:szCs w:val="24"/>
                <w:lang w:val="en-US"/>
              </w:rPr>
              <w:t>IL-17F</w:t>
            </w:r>
          </w:p>
        </w:tc>
        <w:tc>
          <w:tcPr>
            <w:tcW w:w="7220" w:type="dxa"/>
            <w:gridSpan w:val="2"/>
          </w:tcPr>
          <w:p w14:paraId="329FCE33" w14:textId="77777777" w:rsidR="004A0C0A" w:rsidRPr="007E0F01" w:rsidRDefault="004A0C0A" w:rsidP="009327F2">
            <w:pPr>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sidRPr="007E0F01">
              <w:rPr>
                <w:rFonts w:cs="Times New Roman"/>
                <w:sz w:val="24"/>
                <w:szCs w:val="24"/>
                <w:lang w:val="en-US"/>
              </w:rPr>
              <w:t>IL-38</w:t>
            </w:r>
          </w:p>
        </w:tc>
      </w:tr>
      <w:tr w:rsidR="00D51D40" w:rsidRPr="002B136D" w14:paraId="50332F47" w14:textId="77777777" w:rsidTr="007E0F01">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2419" w:type="dxa"/>
          </w:tcPr>
          <w:p w14:paraId="68E66AC9" w14:textId="77777777" w:rsidR="004A0C0A" w:rsidRPr="007E0F01" w:rsidRDefault="004A0C0A" w:rsidP="009327F2">
            <w:pPr>
              <w:contextualSpacing/>
              <w:jc w:val="both"/>
              <w:rPr>
                <w:rFonts w:cs="Times New Roman"/>
                <w:sz w:val="24"/>
                <w:szCs w:val="24"/>
                <w:lang w:val="en-US"/>
              </w:rPr>
            </w:pPr>
            <w:r w:rsidRPr="007E0F01">
              <w:rPr>
                <w:rFonts w:cs="Times New Roman"/>
                <w:sz w:val="24"/>
                <w:szCs w:val="24"/>
              </w:rPr>
              <w:t>rs9463772</w:t>
            </w:r>
            <w:r w:rsidRPr="007E0F01">
              <w:rPr>
                <w:rFonts w:cs="Times New Roman"/>
                <w:sz w:val="24"/>
                <w:szCs w:val="24"/>
                <w:lang w:val="en-US"/>
              </w:rPr>
              <w:t xml:space="preserve"> C</w:t>
            </w:r>
            <w:r w:rsidRPr="007E0F01">
              <w:rPr>
                <w:rFonts w:cs="Times New Roman"/>
                <w:sz w:val="24"/>
                <w:szCs w:val="24"/>
              </w:rPr>
              <w:t>/</w:t>
            </w:r>
            <w:r w:rsidRPr="007E0F01">
              <w:rPr>
                <w:rFonts w:cs="Times New Roman"/>
                <w:sz w:val="24"/>
                <w:szCs w:val="24"/>
                <w:lang w:val="en-US"/>
              </w:rPr>
              <w:t>T</w:t>
            </w:r>
          </w:p>
        </w:tc>
        <w:tc>
          <w:tcPr>
            <w:tcW w:w="2633" w:type="dxa"/>
          </w:tcPr>
          <w:p w14:paraId="6A9B7FCD" w14:textId="77777777" w:rsidR="004A0C0A" w:rsidRPr="007E0F01" w:rsidRDefault="004A0C0A" w:rsidP="009327F2">
            <w:pPr>
              <w:contextual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7E0F01">
              <w:rPr>
                <w:rFonts w:cs="Times New Roman"/>
                <w:sz w:val="24"/>
                <w:szCs w:val="24"/>
              </w:rPr>
              <w:t xml:space="preserve">rs3811058 </w:t>
            </w:r>
            <w:r w:rsidRPr="007E0F01">
              <w:rPr>
                <w:rFonts w:cs="Times New Roman"/>
                <w:sz w:val="24"/>
                <w:szCs w:val="24"/>
                <w:lang w:val="en-US"/>
              </w:rPr>
              <w:t>C</w:t>
            </w:r>
            <w:r w:rsidRPr="007E0F01">
              <w:rPr>
                <w:rFonts w:cs="Times New Roman"/>
                <w:sz w:val="24"/>
                <w:szCs w:val="24"/>
              </w:rPr>
              <w:t>/</w:t>
            </w:r>
            <w:r w:rsidRPr="007E0F01">
              <w:rPr>
                <w:rFonts w:cs="Times New Roman"/>
                <w:sz w:val="24"/>
                <w:szCs w:val="24"/>
                <w:lang w:val="en-US"/>
              </w:rPr>
              <w:t>T</w:t>
            </w:r>
          </w:p>
        </w:tc>
        <w:tc>
          <w:tcPr>
            <w:cnfStyle w:val="000010000000" w:firstRow="0" w:lastRow="0" w:firstColumn="0" w:lastColumn="0" w:oddVBand="1" w:evenVBand="0" w:oddHBand="0" w:evenHBand="0" w:firstRowFirstColumn="0" w:firstRowLastColumn="0" w:lastRowFirstColumn="0" w:lastRowLastColumn="0"/>
            <w:tcW w:w="4587" w:type="dxa"/>
          </w:tcPr>
          <w:p w14:paraId="37E7BC65" w14:textId="4372F212" w:rsidR="004A0C0A" w:rsidRPr="00AC7185" w:rsidRDefault="004A0C0A" w:rsidP="009327F2">
            <w:pPr>
              <w:contextualSpacing/>
              <w:jc w:val="both"/>
              <w:rPr>
                <w:rFonts w:cs="Times New Roman"/>
                <w:sz w:val="24"/>
                <w:szCs w:val="24"/>
              </w:rPr>
            </w:pPr>
            <w:r w:rsidRPr="007E0F01">
              <w:rPr>
                <w:rFonts w:cs="Times New Roman"/>
                <w:sz w:val="24"/>
                <w:szCs w:val="24"/>
              </w:rPr>
              <w:t xml:space="preserve">rs7570267 </w:t>
            </w:r>
            <w:r w:rsidRPr="007E0F01">
              <w:rPr>
                <w:rFonts w:cs="Times New Roman"/>
                <w:sz w:val="24"/>
                <w:szCs w:val="24"/>
                <w:lang w:val="en-US"/>
              </w:rPr>
              <w:t>A</w:t>
            </w:r>
            <w:r w:rsidRPr="007E0F01">
              <w:rPr>
                <w:rFonts w:cs="Times New Roman"/>
                <w:sz w:val="24"/>
                <w:szCs w:val="24"/>
              </w:rPr>
              <w:t>/</w:t>
            </w:r>
            <w:r w:rsidRPr="007E0F01">
              <w:rPr>
                <w:rFonts w:cs="Times New Roman"/>
                <w:sz w:val="24"/>
                <w:szCs w:val="24"/>
                <w:lang w:val="en-US"/>
              </w:rPr>
              <w:t>G</w:t>
            </w:r>
          </w:p>
        </w:tc>
      </w:tr>
    </w:tbl>
    <w:p w14:paraId="1FB52A6E" w14:textId="77777777" w:rsidR="00AC7185" w:rsidRPr="00AC7185" w:rsidRDefault="00AC7185" w:rsidP="00DD33AE">
      <w:pPr>
        <w:spacing w:after="0" w:line="240" w:lineRule="auto"/>
        <w:ind w:firstLine="709"/>
        <w:contextualSpacing/>
        <w:jc w:val="both"/>
        <w:rPr>
          <w:rFonts w:cs="Times New Roman"/>
          <w:b/>
          <w:szCs w:val="28"/>
          <w:lang w:val="kk-KZ"/>
        </w:rPr>
      </w:pPr>
    </w:p>
    <w:p w14:paraId="17A5BA61" w14:textId="1C2A61E8" w:rsidR="00254105" w:rsidRPr="002B136D" w:rsidRDefault="00EE3040" w:rsidP="00AC7185">
      <w:pPr>
        <w:spacing w:after="0" w:line="240" w:lineRule="auto"/>
        <w:ind w:firstLine="567"/>
        <w:contextualSpacing/>
        <w:jc w:val="both"/>
        <w:rPr>
          <w:rFonts w:cs="Times New Roman"/>
          <w:szCs w:val="28"/>
          <w:lang w:val="kk-KZ"/>
        </w:rPr>
      </w:pPr>
      <w:r w:rsidRPr="002B136D">
        <w:rPr>
          <w:rFonts w:cs="Times New Roman"/>
          <w:szCs w:val="28"/>
          <w:lang w:val="kk-KZ"/>
        </w:rPr>
        <w:t>ДНК выделяли из замороженных (-20°С) образцов периферической крови, содержащих в качестве антикоагуляционного агента ЭДТА. Выделение проводилось с использованием коммерческого набора GeneJet Genomic DNA Purification Kit (Thermo Fisher Scientific, USA) по протоколу</w:t>
      </w:r>
      <w:r w:rsidR="00457449" w:rsidRPr="002B136D">
        <w:rPr>
          <w:rFonts w:cs="Times New Roman"/>
          <w:szCs w:val="28"/>
          <w:lang w:val="kk-KZ"/>
        </w:rPr>
        <w:t xml:space="preserve"> </w:t>
      </w:r>
      <w:r w:rsidR="00455815">
        <w:rPr>
          <w:rFonts w:cs="Times New Roman"/>
          <w:szCs w:val="28"/>
          <w:lang w:val="kk-KZ"/>
        </w:rPr>
        <w:t>(рисунок</w:t>
      </w:r>
      <w:r w:rsidR="007B402D">
        <w:rPr>
          <w:rFonts w:cs="Times New Roman"/>
          <w:szCs w:val="28"/>
          <w:lang w:val="kk-KZ"/>
        </w:rPr>
        <w:t xml:space="preserve"> </w:t>
      </w:r>
      <w:r w:rsidR="00E920FF" w:rsidRPr="002B136D">
        <w:rPr>
          <w:rFonts w:cs="Times New Roman"/>
          <w:szCs w:val="28"/>
          <w:lang w:val="kk-KZ"/>
        </w:rPr>
        <w:t>1</w:t>
      </w:r>
      <w:r w:rsidR="007B402D">
        <w:rPr>
          <w:rFonts w:cs="Times New Roman"/>
          <w:szCs w:val="28"/>
          <w:lang w:val="kk-KZ"/>
        </w:rPr>
        <w:t>5</w:t>
      </w:r>
      <w:r w:rsidR="004A0C0A" w:rsidRPr="002B136D">
        <w:rPr>
          <w:rFonts w:cs="Times New Roman"/>
          <w:szCs w:val="28"/>
          <w:lang w:val="kk-KZ"/>
        </w:rPr>
        <w:t>)</w:t>
      </w:r>
      <w:r w:rsidRPr="002B136D">
        <w:rPr>
          <w:rFonts w:cs="Times New Roman"/>
          <w:szCs w:val="28"/>
          <w:lang w:val="kk-KZ"/>
        </w:rPr>
        <w:t>, рекомендованному фирмой производителем. Качественные и количественные характеристики образцов ДНК оценивали на спектрофотометре NanoDrop OneC (Thermo Scientific, США).</w:t>
      </w:r>
    </w:p>
    <w:p w14:paraId="4BEBE771" w14:textId="77777777" w:rsidR="004A0C0A" w:rsidRPr="002B136D" w:rsidRDefault="004A0C0A" w:rsidP="00312ADE">
      <w:pPr>
        <w:spacing w:after="0" w:line="360" w:lineRule="auto"/>
        <w:jc w:val="center"/>
        <w:rPr>
          <w:rFonts w:cs="Times New Roman"/>
          <w:szCs w:val="28"/>
          <w:lang w:val="kk-KZ"/>
        </w:rPr>
      </w:pPr>
      <w:r w:rsidRPr="002B136D">
        <w:rPr>
          <w:rFonts w:cs="Times New Roman"/>
          <w:noProof/>
          <w:szCs w:val="28"/>
          <w:lang w:eastAsia="ru-RU"/>
        </w:rPr>
        <w:drawing>
          <wp:inline distT="0" distB="0" distL="0" distR="0" wp14:anchorId="730DE7BF" wp14:editId="6CA5F8BC">
            <wp:extent cx="2484120" cy="2291624"/>
            <wp:effectExtent l="0" t="0" r="0" b="0"/>
            <wp:docPr id="40" name="Рисунок 40" descr="GeneJET Genomic DNA Purificat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eJET Genomic DNA Purification Ki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4717" cy="2292175"/>
                    </a:xfrm>
                    <a:prstGeom prst="rect">
                      <a:avLst/>
                    </a:prstGeom>
                    <a:noFill/>
                    <a:ln>
                      <a:noFill/>
                    </a:ln>
                  </pic:spPr>
                </pic:pic>
              </a:graphicData>
            </a:graphic>
          </wp:inline>
        </w:drawing>
      </w:r>
    </w:p>
    <w:p w14:paraId="341AA97A" w14:textId="2D567E45" w:rsidR="00EE3040" w:rsidRPr="00AC7185" w:rsidRDefault="00457449" w:rsidP="00AC7185">
      <w:pPr>
        <w:spacing w:after="0" w:line="240" w:lineRule="auto"/>
        <w:jc w:val="center"/>
        <w:rPr>
          <w:rFonts w:cs="Times New Roman"/>
          <w:bCs/>
          <w:szCs w:val="28"/>
          <w:lang w:val="kk-KZ"/>
        </w:rPr>
      </w:pPr>
      <w:r w:rsidRPr="00AC7185">
        <w:rPr>
          <w:rFonts w:cs="Times New Roman"/>
          <w:bCs/>
          <w:szCs w:val="28"/>
          <w:lang w:val="kk-KZ"/>
        </w:rPr>
        <w:t>Рисунок 1</w:t>
      </w:r>
      <w:r w:rsidR="007B402D">
        <w:rPr>
          <w:rFonts w:cs="Times New Roman"/>
          <w:bCs/>
          <w:szCs w:val="28"/>
          <w:lang w:val="kk-KZ"/>
        </w:rPr>
        <w:t>5</w:t>
      </w:r>
      <w:r w:rsidR="00AC7185" w:rsidRPr="00AC7185">
        <w:rPr>
          <w:rFonts w:cs="Times New Roman"/>
          <w:bCs/>
          <w:szCs w:val="28"/>
          <w:lang w:val="kk-KZ"/>
        </w:rPr>
        <w:t xml:space="preserve"> -</w:t>
      </w:r>
      <w:r w:rsidR="00952829" w:rsidRPr="00AC7185">
        <w:rPr>
          <w:rFonts w:cs="Times New Roman"/>
          <w:bCs/>
          <w:szCs w:val="28"/>
          <w:lang w:val="kk-KZ"/>
        </w:rPr>
        <w:t xml:space="preserve"> Набор для выделения ДНК «GeneJet»</w:t>
      </w:r>
    </w:p>
    <w:p w14:paraId="6EFA2D1D" w14:textId="77777777" w:rsidR="00AC7185" w:rsidRPr="00AC7185" w:rsidRDefault="00AC7185" w:rsidP="00AC7185">
      <w:pPr>
        <w:spacing w:after="0" w:line="240" w:lineRule="auto"/>
        <w:ind w:firstLine="567"/>
        <w:contextualSpacing/>
        <w:jc w:val="both"/>
        <w:rPr>
          <w:rFonts w:cs="Times New Roman"/>
          <w:szCs w:val="28"/>
          <w:lang w:val="kk-KZ"/>
        </w:rPr>
      </w:pPr>
    </w:p>
    <w:p w14:paraId="407BA016" w14:textId="245BC0A5" w:rsidR="00414B9F" w:rsidRPr="002B136D" w:rsidRDefault="00EE3040" w:rsidP="00AC7185">
      <w:pPr>
        <w:spacing w:after="0" w:line="240" w:lineRule="auto"/>
        <w:ind w:firstLine="567"/>
        <w:contextualSpacing/>
        <w:jc w:val="both"/>
        <w:rPr>
          <w:rFonts w:cs="Times New Roman"/>
          <w:szCs w:val="28"/>
          <w:lang w:val="kk-KZ"/>
        </w:rPr>
      </w:pPr>
      <w:r w:rsidRPr="002B136D">
        <w:rPr>
          <w:rFonts w:cs="Times New Roman"/>
          <w:szCs w:val="28"/>
          <w:lang w:val="kk-KZ"/>
        </w:rPr>
        <w:t xml:space="preserve">ПЦР проводили в 25-мкл реакционной смеси в 96-луночных планшетах на приборе QuantStudio™ 7 Flex Real-Time PCR System (Applied Biosystems, USA). </w:t>
      </w:r>
    </w:p>
    <w:p w14:paraId="61B95304" w14:textId="77777777" w:rsidR="00EE3040" w:rsidRDefault="00EE3040" w:rsidP="00AC7185">
      <w:pPr>
        <w:spacing w:after="0" w:line="240" w:lineRule="auto"/>
        <w:ind w:firstLine="567"/>
        <w:contextualSpacing/>
        <w:jc w:val="both"/>
        <w:rPr>
          <w:rFonts w:cs="Times New Roman"/>
          <w:szCs w:val="28"/>
          <w:lang w:val="kk-KZ"/>
        </w:rPr>
      </w:pPr>
      <w:r w:rsidRPr="002B136D">
        <w:rPr>
          <w:rFonts w:cs="Times New Roman"/>
          <w:szCs w:val="28"/>
          <w:lang w:val="kk-KZ"/>
        </w:rPr>
        <w:t xml:space="preserve">Инкубационная смесь содержала 10 ng/μl ДНК, 1.25 μl 20X TaqMan Assay Working Stock (Applied Biosystems™, USA), 12.5 μl TaqMan™ Universal PCR Master Mix (Applied Biosystems™, USA) and Nuclease-Free Water. Условия ПЦР включали Pre-Read Stage 30 с при 60 °С, Hold Stage в течение 10 мин при 95°С; затем 40 циклов 15 с при 95 °С, 1 мин при 60 °С и Post-Read Stage 30 с при 60 </w:t>
      </w:r>
      <w:r w:rsidRPr="002B136D">
        <w:rPr>
          <w:rFonts w:cs="Times New Roman"/>
          <w:szCs w:val="28"/>
          <w:lang w:val="kk-KZ"/>
        </w:rPr>
        <w:lastRenderedPageBreak/>
        <w:t>°С. Данные анализировали с использованием программного обеспечения TaqMan® Genotyper Softwar (версия 1.6.0).</w:t>
      </w:r>
    </w:p>
    <w:p w14:paraId="2E834119" w14:textId="77777777" w:rsidR="00AC7185" w:rsidRPr="00AC7185" w:rsidRDefault="00AC7185" w:rsidP="00AC7185">
      <w:pPr>
        <w:spacing w:after="0" w:line="240" w:lineRule="auto"/>
        <w:ind w:firstLine="567"/>
        <w:contextualSpacing/>
        <w:jc w:val="both"/>
        <w:rPr>
          <w:rFonts w:cs="Times New Roman"/>
          <w:szCs w:val="28"/>
          <w:lang w:val="kk-KZ"/>
        </w:rPr>
      </w:pPr>
    </w:p>
    <w:p w14:paraId="6C2E6EDE" w14:textId="227E67DF" w:rsidR="00EE3040" w:rsidRPr="002B136D" w:rsidRDefault="00F977D0" w:rsidP="00AC7185">
      <w:pPr>
        <w:spacing w:after="0" w:line="240" w:lineRule="auto"/>
        <w:ind w:firstLine="567"/>
        <w:contextualSpacing/>
        <w:jc w:val="both"/>
        <w:rPr>
          <w:rFonts w:cs="Times New Roman"/>
          <w:b/>
          <w:szCs w:val="28"/>
        </w:rPr>
      </w:pPr>
      <w:r w:rsidRPr="002B136D">
        <w:rPr>
          <w:rFonts w:cs="Times New Roman"/>
          <w:b/>
          <w:szCs w:val="28"/>
        </w:rPr>
        <w:t>2.</w:t>
      </w:r>
      <w:r w:rsidR="00023075" w:rsidRPr="002B136D">
        <w:rPr>
          <w:rFonts w:cs="Times New Roman"/>
          <w:b/>
          <w:szCs w:val="28"/>
        </w:rPr>
        <w:t>4</w:t>
      </w:r>
      <w:r w:rsidRPr="002B136D">
        <w:rPr>
          <w:rFonts w:cs="Times New Roman"/>
          <w:b/>
          <w:szCs w:val="28"/>
        </w:rPr>
        <w:t xml:space="preserve"> Статистические методы</w:t>
      </w:r>
      <w:r w:rsidR="00023075" w:rsidRPr="002B136D">
        <w:rPr>
          <w:rFonts w:cs="Times New Roman"/>
          <w:b/>
          <w:szCs w:val="28"/>
        </w:rPr>
        <w:t xml:space="preserve"> исследования</w:t>
      </w:r>
    </w:p>
    <w:p w14:paraId="4C602472" w14:textId="77777777" w:rsidR="00414B9F" w:rsidRPr="002B136D" w:rsidRDefault="00F977D0" w:rsidP="00AC7185">
      <w:pPr>
        <w:spacing w:after="0" w:line="240" w:lineRule="auto"/>
        <w:ind w:firstLine="567"/>
        <w:contextualSpacing/>
        <w:jc w:val="both"/>
        <w:rPr>
          <w:rFonts w:cs="Times New Roman"/>
          <w:szCs w:val="28"/>
        </w:rPr>
      </w:pPr>
      <w:r w:rsidRPr="002B136D">
        <w:rPr>
          <w:rFonts w:cs="Times New Roman"/>
          <w:szCs w:val="28"/>
        </w:rPr>
        <w:t xml:space="preserve">Все статистические расчеты были выполнены с использованием программы SPSS (версия 22.0, IBM SPSS Inc., Чикаго, Иллинойс, США). </w:t>
      </w:r>
      <w:proofErr w:type="gramStart"/>
      <w:r w:rsidRPr="002B136D">
        <w:rPr>
          <w:rFonts w:cs="Times New Roman"/>
          <w:szCs w:val="28"/>
        </w:rPr>
        <w:t>р</w:t>
      </w:r>
      <w:proofErr w:type="gramEnd"/>
      <w:r w:rsidRPr="002B136D">
        <w:rPr>
          <w:rFonts w:cs="Times New Roman"/>
          <w:szCs w:val="28"/>
        </w:rPr>
        <w:t xml:space="preserve"> &lt;0,05 считался статистически значимым.</w:t>
      </w:r>
    </w:p>
    <w:p w14:paraId="1F63158A" w14:textId="77777777" w:rsidR="00414B9F" w:rsidRPr="002B136D" w:rsidRDefault="00F977D0" w:rsidP="00AC7185">
      <w:pPr>
        <w:spacing w:after="0" w:line="240" w:lineRule="auto"/>
        <w:ind w:firstLine="567"/>
        <w:contextualSpacing/>
        <w:jc w:val="both"/>
        <w:rPr>
          <w:rFonts w:cs="Times New Roman"/>
          <w:szCs w:val="28"/>
        </w:rPr>
      </w:pPr>
      <w:r w:rsidRPr="002B136D">
        <w:rPr>
          <w:rFonts w:cs="Times New Roman"/>
          <w:szCs w:val="28"/>
        </w:rPr>
        <w:t xml:space="preserve">Данные были выражены как средние значения с соответствующими стандартными отклонениями. Нормальность распределения данных была подтверждена с использованием теста Колмогорова-Смирнова. Категориальные данные были проанализированы с использованием теста хи-квадрат. </w:t>
      </w:r>
    </w:p>
    <w:p w14:paraId="373E06BB" w14:textId="77777777" w:rsidR="00414B9F" w:rsidRPr="002B136D" w:rsidRDefault="00F977D0" w:rsidP="00AC7185">
      <w:pPr>
        <w:spacing w:after="0" w:line="240" w:lineRule="auto"/>
        <w:ind w:firstLine="567"/>
        <w:contextualSpacing/>
        <w:jc w:val="both"/>
        <w:rPr>
          <w:rFonts w:cs="Times New Roman"/>
          <w:szCs w:val="28"/>
        </w:rPr>
      </w:pPr>
      <w:r w:rsidRPr="002B136D">
        <w:rPr>
          <w:rFonts w:cs="Times New Roman"/>
          <w:szCs w:val="28"/>
        </w:rPr>
        <w:t>Для непараметрических данных тест Крускал-Уоллиса использовался для проведения статистических сравнений между тремя группами, и U-тест Манна-Уитни использовался для проведения статистических сравнений между двумя группами.</w:t>
      </w:r>
    </w:p>
    <w:p w14:paraId="6195053B" w14:textId="64C42688" w:rsidR="00414B9F" w:rsidRPr="002B136D" w:rsidRDefault="00F977D0" w:rsidP="00AC7185">
      <w:pPr>
        <w:spacing w:after="0" w:line="240" w:lineRule="auto"/>
        <w:ind w:firstLine="567"/>
        <w:contextualSpacing/>
        <w:jc w:val="both"/>
        <w:rPr>
          <w:rFonts w:cs="Times New Roman"/>
          <w:szCs w:val="28"/>
        </w:rPr>
      </w:pPr>
      <w:r w:rsidRPr="002B136D">
        <w:rPr>
          <w:rFonts w:cs="Times New Roman"/>
          <w:szCs w:val="28"/>
        </w:rPr>
        <w:t xml:space="preserve">Связь между уровнями интерлейкина 17/38 и клиническими проявлениями ЭОП была проанализирована с использованием корреляции Спирмена и множественного регрессионного анализа. Статистическая значимость была определена как </w:t>
      </w:r>
      <w:proofErr w:type="gramStart"/>
      <w:r w:rsidRPr="002B136D">
        <w:rPr>
          <w:rFonts w:cs="Times New Roman"/>
          <w:szCs w:val="28"/>
        </w:rPr>
        <w:t>р</w:t>
      </w:r>
      <w:proofErr w:type="gramEnd"/>
      <w:r w:rsidRPr="002B136D">
        <w:rPr>
          <w:rFonts w:cs="Times New Roman"/>
          <w:szCs w:val="28"/>
        </w:rPr>
        <w:t xml:space="preserve"> &lt;0,05.</w:t>
      </w:r>
    </w:p>
    <w:p w14:paraId="40E23493" w14:textId="1FB1AE27" w:rsidR="006D536A" w:rsidRPr="002B136D" w:rsidRDefault="00317C92" w:rsidP="00AC7185">
      <w:pPr>
        <w:spacing w:after="0" w:line="240" w:lineRule="auto"/>
        <w:ind w:firstLine="567"/>
        <w:contextualSpacing/>
        <w:jc w:val="both"/>
        <w:rPr>
          <w:rFonts w:cs="Times New Roman"/>
          <w:b/>
          <w:szCs w:val="28"/>
        </w:rPr>
      </w:pPr>
      <w:r w:rsidRPr="002B136D">
        <w:rPr>
          <w:rFonts w:cs="Times New Roman"/>
          <w:szCs w:val="28"/>
        </w:rPr>
        <w:t xml:space="preserve">Для проверки соответствия распределения генотипов закону Харди–Вайнберга и значимости различий в частотах генотипов и аллелей по рецессивной модели наследования между группами использовался χ2-критерий. Отношение шансов (ОШ) с 95% доверительным интервалом служило показателем ассоциации. </w:t>
      </w:r>
      <w:r w:rsidR="00F977D0" w:rsidRPr="002B136D">
        <w:rPr>
          <w:rFonts w:cs="Times New Roman"/>
          <w:szCs w:val="28"/>
        </w:rPr>
        <w:t xml:space="preserve">Был проведен логистический регрессионный анализ для оценки независимой роли генотипов как фактора риска. p &lt; 0,05 считали статистически значимым. Для множественных сравнений использовали метод Бонферонни для корректировки p-значений. </w:t>
      </w:r>
      <w:r w:rsidR="00193EE3" w:rsidRPr="002B136D">
        <w:rPr>
          <w:rFonts w:cs="Times New Roman"/>
          <w:szCs w:val="28"/>
        </w:rPr>
        <w:t>Прогностическая модель создана с использованием многомерной классификации методом дерева решений.</w:t>
      </w:r>
    </w:p>
    <w:p w14:paraId="4107C385" w14:textId="77777777" w:rsidR="006D536A" w:rsidRPr="002B136D" w:rsidRDefault="006D536A" w:rsidP="00AC7185">
      <w:pPr>
        <w:spacing w:after="0" w:line="240" w:lineRule="auto"/>
        <w:ind w:firstLine="567"/>
        <w:contextualSpacing/>
        <w:jc w:val="both"/>
        <w:rPr>
          <w:rFonts w:cs="Times New Roman"/>
          <w:b/>
          <w:szCs w:val="28"/>
        </w:rPr>
      </w:pPr>
    </w:p>
    <w:p w14:paraId="61E4902B" w14:textId="77777777" w:rsidR="006D536A" w:rsidRPr="002B136D" w:rsidRDefault="006D536A" w:rsidP="00AC7185">
      <w:pPr>
        <w:spacing w:after="0" w:line="240" w:lineRule="auto"/>
        <w:ind w:firstLine="567"/>
        <w:contextualSpacing/>
        <w:jc w:val="both"/>
        <w:rPr>
          <w:rFonts w:cs="Times New Roman"/>
          <w:b/>
          <w:szCs w:val="28"/>
        </w:rPr>
      </w:pPr>
    </w:p>
    <w:p w14:paraId="187BAD12" w14:textId="77777777" w:rsidR="006D536A" w:rsidRPr="002B136D" w:rsidRDefault="006D536A" w:rsidP="00AC7185">
      <w:pPr>
        <w:spacing w:after="0" w:line="240" w:lineRule="auto"/>
        <w:ind w:firstLine="567"/>
        <w:contextualSpacing/>
        <w:jc w:val="both"/>
        <w:rPr>
          <w:rFonts w:cs="Times New Roman"/>
          <w:b/>
          <w:szCs w:val="28"/>
        </w:rPr>
      </w:pPr>
    </w:p>
    <w:p w14:paraId="5BAB5125" w14:textId="77777777" w:rsidR="006D536A" w:rsidRPr="002B136D" w:rsidRDefault="006D536A" w:rsidP="00AC7185">
      <w:pPr>
        <w:spacing w:after="0" w:line="240" w:lineRule="auto"/>
        <w:ind w:firstLine="567"/>
        <w:contextualSpacing/>
        <w:jc w:val="both"/>
        <w:rPr>
          <w:rFonts w:cs="Times New Roman"/>
          <w:b/>
          <w:szCs w:val="28"/>
        </w:rPr>
      </w:pPr>
    </w:p>
    <w:p w14:paraId="5654EED4" w14:textId="77777777" w:rsidR="006D536A" w:rsidRPr="002B136D" w:rsidRDefault="006D536A" w:rsidP="00AC7185">
      <w:pPr>
        <w:spacing w:after="0" w:line="240" w:lineRule="auto"/>
        <w:ind w:firstLine="567"/>
        <w:contextualSpacing/>
        <w:jc w:val="both"/>
        <w:rPr>
          <w:rFonts w:cs="Times New Roman"/>
          <w:b/>
          <w:szCs w:val="28"/>
        </w:rPr>
      </w:pPr>
    </w:p>
    <w:p w14:paraId="5F6EF0FA" w14:textId="77777777" w:rsidR="00C73267" w:rsidRPr="002B136D" w:rsidRDefault="00C73267" w:rsidP="00DD33AE">
      <w:pPr>
        <w:spacing w:after="0" w:line="240" w:lineRule="auto"/>
        <w:ind w:firstLine="709"/>
        <w:contextualSpacing/>
        <w:jc w:val="both"/>
        <w:rPr>
          <w:rFonts w:cs="Times New Roman"/>
          <w:b/>
          <w:szCs w:val="28"/>
        </w:rPr>
      </w:pPr>
    </w:p>
    <w:p w14:paraId="3E1F7DE3" w14:textId="77777777" w:rsidR="00C73267" w:rsidRPr="002B136D" w:rsidRDefault="00C73267" w:rsidP="00DD33AE">
      <w:pPr>
        <w:spacing w:after="0" w:line="240" w:lineRule="auto"/>
        <w:ind w:firstLine="709"/>
        <w:contextualSpacing/>
        <w:jc w:val="both"/>
        <w:rPr>
          <w:rFonts w:cs="Times New Roman"/>
          <w:b/>
          <w:szCs w:val="28"/>
        </w:rPr>
      </w:pPr>
    </w:p>
    <w:p w14:paraId="592D49DA" w14:textId="77777777" w:rsidR="00C73267" w:rsidRPr="002B136D" w:rsidRDefault="00C73267" w:rsidP="00DD33AE">
      <w:pPr>
        <w:spacing w:after="0" w:line="240" w:lineRule="auto"/>
        <w:ind w:firstLine="709"/>
        <w:contextualSpacing/>
        <w:jc w:val="both"/>
        <w:rPr>
          <w:rFonts w:cs="Times New Roman"/>
          <w:b/>
          <w:szCs w:val="28"/>
        </w:rPr>
      </w:pPr>
    </w:p>
    <w:p w14:paraId="3977089D" w14:textId="77777777" w:rsidR="00C73267" w:rsidRPr="002B136D" w:rsidRDefault="00C73267" w:rsidP="00DD33AE">
      <w:pPr>
        <w:spacing w:after="0" w:line="240" w:lineRule="auto"/>
        <w:ind w:firstLine="709"/>
        <w:contextualSpacing/>
        <w:jc w:val="both"/>
        <w:rPr>
          <w:rFonts w:cs="Times New Roman"/>
          <w:b/>
          <w:szCs w:val="28"/>
        </w:rPr>
      </w:pPr>
    </w:p>
    <w:p w14:paraId="26922F67" w14:textId="77777777" w:rsidR="00C73267" w:rsidRPr="002B136D" w:rsidRDefault="00C73267" w:rsidP="00DD33AE">
      <w:pPr>
        <w:spacing w:after="0" w:line="240" w:lineRule="auto"/>
        <w:ind w:firstLine="709"/>
        <w:contextualSpacing/>
        <w:jc w:val="both"/>
        <w:rPr>
          <w:rFonts w:cs="Times New Roman"/>
          <w:b/>
          <w:szCs w:val="28"/>
        </w:rPr>
      </w:pPr>
    </w:p>
    <w:p w14:paraId="51313704" w14:textId="77777777" w:rsidR="00C73267" w:rsidRPr="002B136D" w:rsidRDefault="00C73267" w:rsidP="00DD33AE">
      <w:pPr>
        <w:spacing w:after="0" w:line="240" w:lineRule="auto"/>
        <w:ind w:firstLine="709"/>
        <w:contextualSpacing/>
        <w:jc w:val="both"/>
        <w:rPr>
          <w:rFonts w:cs="Times New Roman"/>
          <w:b/>
          <w:szCs w:val="28"/>
        </w:rPr>
      </w:pPr>
    </w:p>
    <w:p w14:paraId="681881EC" w14:textId="77777777" w:rsidR="00C73267" w:rsidRPr="002B136D" w:rsidRDefault="00C73267" w:rsidP="00DD33AE">
      <w:pPr>
        <w:spacing w:after="0" w:line="240" w:lineRule="auto"/>
        <w:ind w:firstLine="709"/>
        <w:contextualSpacing/>
        <w:jc w:val="both"/>
        <w:rPr>
          <w:rFonts w:cs="Times New Roman"/>
          <w:b/>
          <w:szCs w:val="28"/>
        </w:rPr>
      </w:pPr>
    </w:p>
    <w:p w14:paraId="0F3D230A" w14:textId="77777777" w:rsidR="00C73267" w:rsidRPr="002B136D" w:rsidRDefault="00C73267" w:rsidP="00DD33AE">
      <w:pPr>
        <w:spacing w:after="0" w:line="240" w:lineRule="auto"/>
        <w:ind w:firstLine="709"/>
        <w:contextualSpacing/>
        <w:jc w:val="both"/>
        <w:rPr>
          <w:rFonts w:cs="Times New Roman"/>
          <w:b/>
          <w:szCs w:val="28"/>
        </w:rPr>
      </w:pPr>
    </w:p>
    <w:p w14:paraId="3775E41D" w14:textId="77777777" w:rsidR="00C73267" w:rsidRPr="002B136D" w:rsidRDefault="00C73267" w:rsidP="00DD33AE">
      <w:pPr>
        <w:spacing w:after="0" w:line="240" w:lineRule="auto"/>
        <w:ind w:firstLine="709"/>
        <w:contextualSpacing/>
        <w:jc w:val="both"/>
        <w:rPr>
          <w:rFonts w:cs="Times New Roman"/>
          <w:b/>
          <w:szCs w:val="28"/>
        </w:rPr>
      </w:pPr>
    </w:p>
    <w:p w14:paraId="40BD1031" w14:textId="77777777" w:rsidR="00C73267" w:rsidRPr="002B136D" w:rsidRDefault="00C73267" w:rsidP="00DD33AE">
      <w:pPr>
        <w:spacing w:after="0" w:line="240" w:lineRule="auto"/>
        <w:ind w:firstLine="709"/>
        <w:contextualSpacing/>
        <w:jc w:val="both"/>
        <w:rPr>
          <w:rFonts w:cs="Times New Roman"/>
          <w:b/>
          <w:szCs w:val="28"/>
        </w:rPr>
      </w:pPr>
    </w:p>
    <w:p w14:paraId="3022F19B" w14:textId="77777777" w:rsidR="00C73267" w:rsidRPr="002B136D" w:rsidRDefault="00C73267" w:rsidP="00DD33AE">
      <w:pPr>
        <w:spacing w:after="0" w:line="240" w:lineRule="auto"/>
        <w:ind w:firstLine="709"/>
        <w:contextualSpacing/>
        <w:jc w:val="both"/>
        <w:rPr>
          <w:rFonts w:cs="Times New Roman"/>
          <w:b/>
          <w:szCs w:val="28"/>
        </w:rPr>
      </w:pPr>
    </w:p>
    <w:p w14:paraId="5B0F795A" w14:textId="2E3024DA" w:rsidR="006F58B1" w:rsidRDefault="006F58B1" w:rsidP="00AC7185">
      <w:pPr>
        <w:spacing w:after="0" w:line="240" w:lineRule="auto"/>
        <w:ind w:firstLine="567"/>
        <w:contextualSpacing/>
        <w:jc w:val="both"/>
        <w:rPr>
          <w:rFonts w:cs="Times New Roman"/>
          <w:b/>
          <w:szCs w:val="28"/>
        </w:rPr>
      </w:pPr>
      <w:r w:rsidRPr="002B136D">
        <w:rPr>
          <w:rFonts w:cs="Times New Roman"/>
          <w:b/>
          <w:szCs w:val="28"/>
        </w:rPr>
        <w:lastRenderedPageBreak/>
        <w:t>3</w:t>
      </w:r>
      <w:r w:rsidR="00AC7185">
        <w:rPr>
          <w:rFonts w:cs="Times New Roman"/>
          <w:b/>
          <w:szCs w:val="28"/>
        </w:rPr>
        <w:t xml:space="preserve"> </w:t>
      </w:r>
      <w:r w:rsidRPr="002B136D">
        <w:rPr>
          <w:rFonts w:cs="Times New Roman"/>
          <w:b/>
          <w:szCs w:val="28"/>
        </w:rPr>
        <w:t>РЕЗУЛЬТАТЫ СОБСТВЕННЫХ ИССЛЕДОВАНИЙ</w:t>
      </w:r>
    </w:p>
    <w:p w14:paraId="7145E01C" w14:textId="77777777" w:rsidR="00AC7185" w:rsidRPr="002B136D" w:rsidRDefault="00AC7185" w:rsidP="00AC7185">
      <w:pPr>
        <w:spacing w:after="0" w:line="240" w:lineRule="auto"/>
        <w:ind w:firstLine="567"/>
        <w:contextualSpacing/>
        <w:jc w:val="both"/>
        <w:rPr>
          <w:rFonts w:cs="Times New Roman"/>
          <w:b/>
          <w:szCs w:val="28"/>
        </w:rPr>
      </w:pPr>
    </w:p>
    <w:p w14:paraId="546387EF" w14:textId="77777777" w:rsidR="004101E7" w:rsidRPr="002B136D" w:rsidRDefault="006F58B1" w:rsidP="00AC7185">
      <w:pPr>
        <w:spacing w:after="0" w:line="240" w:lineRule="auto"/>
        <w:ind w:firstLine="567"/>
        <w:contextualSpacing/>
        <w:jc w:val="both"/>
        <w:rPr>
          <w:rFonts w:cs="Times New Roman"/>
          <w:b/>
          <w:szCs w:val="28"/>
        </w:rPr>
      </w:pPr>
      <w:r w:rsidRPr="002B136D">
        <w:rPr>
          <w:rFonts w:cs="Times New Roman"/>
          <w:b/>
          <w:szCs w:val="28"/>
        </w:rPr>
        <w:t xml:space="preserve">3.1 </w:t>
      </w:r>
      <w:r w:rsidR="004101E7" w:rsidRPr="002B136D">
        <w:rPr>
          <w:rFonts w:cs="Times New Roman"/>
          <w:b/>
          <w:szCs w:val="28"/>
        </w:rPr>
        <w:t xml:space="preserve">Клинические проявления эндокринной офтальмопатии с учетом половых и возрастных особенностей, активности и тяжести заболевания. </w:t>
      </w:r>
    </w:p>
    <w:p w14:paraId="1B02C037" w14:textId="547D5441" w:rsidR="00E97BF6" w:rsidRPr="002B136D" w:rsidRDefault="00E97BF6" w:rsidP="00AC7185">
      <w:pPr>
        <w:spacing w:after="0" w:line="240" w:lineRule="auto"/>
        <w:ind w:firstLine="567"/>
        <w:contextualSpacing/>
        <w:jc w:val="both"/>
        <w:rPr>
          <w:rFonts w:cs="Times New Roman"/>
          <w:szCs w:val="28"/>
        </w:rPr>
      </w:pPr>
      <w:r w:rsidRPr="002B136D">
        <w:rPr>
          <w:rFonts w:cs="Times New Roman"/>
          <w:szCs w:val="28"/>
        </w:rPr>
        <w:t xml:space="preserve">У большинства пациентов (78,8%) с эндокринной офтальмопатией (ЭОП) наблюдалась гиперфункция щитовидной железы (ЩЖ) </w:t>
      </w:r>
      <w:r w:rsidR="00AF31F3">
        <w:rPr>
          <w:rFonts w:cs="Times New Roman"/>
          <w:szCs w:val="28"/>
        </w:rPr>
        <w:t>(рисунок</w:t>
      </w:r>
      <w:r w:rsidR="00283211">
        <w:rPr>
          <w:rFonts w:cs="Times New Roman"/>
          <w:szCs w:val="28"/>
        </w:rPr>
        <w:t xml:space="preserve"> </w:t>
      </w:r>
      <w:r w:rsidRPr="002B136D">
        <w:rPr>
          <w:rFonts w:cs="Times New Roman"/>
          <w:szCs w:val="28"/>
        </w:rPr>
        <w:t>15). Это указывает на возможную связь между повышенной функцией щитовидной железы и развитием ЭОП. Однако</w:t>
      </w:r>
      <w:proofErr w:type="gramStart"/>
      <w:r w:rsidRPr="002B136D">
        <w:rPr>
          <w:rFonts w:cs="Times New Roman"/>
          <w:szCs w:val="28"/>
        </w:rPr>
        <w:t>,</w:t>
      </w:r>
      <w:proofErr w:type="gramEnd"/>
      <w:r w:rsidRPr="002B136D">
        <w:rPr>
          <w:rFonts w:cs="Times New Roman"/>
          <w:szCs w:val="28"/>
        </w:rPr>
        <w:t xml:space="preserve"> у 15,4% пациентов ЭОП была диагностирована при нормальной функции щитовидной железы, что говорит о многофакторности заболевания и необходимости дальнейших исследований.</w:t>
      </w:r>
    </w:p>
    <w:p w14:paraId="5394CA55" w14:textId="77777777" w:rsidR="00E97BF6" w:rsidRPr="002B136D" w:rsidRDefault="00E97BF6" w:rsidP="00AC7185">
      <w:pPr>
        <w:spacing w:after="0" w:line="240" w:lineRule="auto"/>
        <w:ind w:firstLine="567"/>
        <w:contextualSpacing/>
        <w:jc w:val="both"/>
        <w:rPr>
          <w:rFonts w:cs="Times New Roman"/>
          <w:szCs w:val="28"/>
        </w:rPr>
      </w:pPr>
      <w:r w:rsidRPr="002B136D">
        <w:rPr>
          <w:rFonts w:cs="Times New Roman"/>
          <w:szCs w:val="28"/>
        </w:rPr>
        <w:t xml:space="preserve">Частота ЭОП у женщин в два раза выше, чем у мужчин. У женщин пик заболеваемости приходится на репродуктивный возраст и период менопаузы. Это может указывать на влияние гормональных </w:t>
      </w:r>
      <w:proofErr w:type="gramStart"/>
      <w:r w:rsidRPr="002B136D">
        <w:rPr>
          <w:rFonts w:cs="Times New Roman"/>
          <w:szCs w:val="28"/>
        </w:rPr>
        <w:t>изменений</w:t>
      </w:r>
      <w:proofErr w:type="gramEnd"/>
      <w:r w:rsidRPr="002B136D">
        <w:rPr>
          <w:rFonts w:cs="Times New Roman"/>
          <w:szCs w:val="28"/>
        </w:rPr>
        <w:t xml:space="preserve"> на развитие и течение ЭОП и требует дальнейшего изучения роли гормонов в развитии этого заболевания.</w:t>
      </w:r>
    </w:p>
    <w:p w14:paraId="0E22FC3E" w14:textId="77777777" w:rsidR="00E97BF6" w:rsidRPr="002B136D" w:rsidRDefault="00E97BF6" w:rsidP="00AC7185">
      <w:pPr>
        <w:spacing w:after="0" w:line="240" w:lineRule="auto"/>
        <w:ind w:firstLine="567"/>
        <w:contextualSpacing/>
        <w:jc w:val="both"/>
        <w:rPr>
          <w:rFonts w:cs="Times New Roman"/>
          <w:szCs w:val="28"/>
        </w:rPr>
      </w:pPr>
      <w:r w:rsidRPr="002B136D">
        <w:rPr>
          <w:rFonts w:cs="Times New Roman"/>
          <w:szCs w:val="28"/>
        </w:rPr>
        <w:t>Среди женщин с гиперфункцией ЩЖ чаще всего ЭОП встречалась в возрасте 25-35 лет (28%, n=30). У мужчин с гипертиреозом заболеваемость ЭОП возрастала в возрасте 47-57 лет (32%).</w:t>
      </w:r>
    </w:p>
    <w:p w14:paraId="6F33966F" w14:textId="77777777" w:rsidR="00E97BF6" w:rsidRPr="002B136D" w:rsidRDefault="00E97BF6" w:rsidP="00AC7185">
      <w:pPr>
        <w:spacing w:after="0" w:line="240" w:lineRule="auto"/>
        <w:ind w:firstLine="567"/>
        <w:contextualSpacing/>
        <w:jc w:val="both"/>
        <w:rPr>
          <w:rFonts w:cs="Times New Roman"/>
          <w:szCs w:val="28"/>
        </w:rPr>
      </w:pPr>
      <w:r w:rsidRPr="002B136D">
        <w:rPr>
          <w:rFonts w:cs="Times New Roman"/>
          <w:szCs w:val="28"/>
        </w:rPr>
        <w:t>У женщин также наблюдался второй пик заболеваемости ЭОП в пременопаузальном периоде (25%, n=27).</w:t>
      </w:r>
    </w:p>
    <w:p w14:paraId="291F1E35" w14:textId="77777777" w:rsidR="00E97BF6" w:rsidRPr="002B136D" w:rsidRDefault="00E97BF6" w:rsidP="00AC7185">
      <w:pPr>
        <w:spacing w:after="0" w:line="240" w:lineRule="auto"/>
        <w:ind w:firstLine="567"/>
        <w:contextualSpacing/>
        <w:jc w:val="both"/>
        <w:rPr>
          <w:rFonts w:cs="Times New Roman"/>
          <w:szCs w:val="28"/>
        </w:rPr>
      </w:pPr>
      <w:r w:rsidRPr="002B136D">
        <w:rPr>
          <w:rFonts w:cs="Times New Roman"/>
          <w:szCs w:val="28"/>
        </w:rPr>
        <w:t>При нормальной функции щитовидной железы (эутиреозе) у женщин ЭОП чаще выявлялась в возрасте 47-57 лет (41%), а у мужчин – в возрасте 58-73 лет (46%).</w:t>
      </w:r>
    </w:p>
    <w:p w14:paraId="29D690BA" w14:textId="77777777" w:rsidR="00E97BF6" w:rsidRPr="002B136D" w:rsidRDefault="00E97BF6" w:rsidP="00AC7185">
      <w:pPr>
        <w:spacing w:after="0" w:line="240" w:lineRule="auto"/>
        <w:ind w:firstLine="567"/>
        <w:contextualSpacing/>
        <w:jc w:val="both"/>
        <w:rPr>
          <w:rFonts w:cs="Times New Roman"/>
          <w:szCs w:val="28"/>
        </w:rPr>
      </w:pPr>
      <w:r w:rsidRPr="002B136D">
        <w:rPr>
          <w:rFonts w:cs="Times New Roman"/>
          <w:szCs w:val="28"/>
        </w:rPr>
        <w:t>В 27,6% случаев ЭОП развивалась до появления нарушений функции щитовидной железы. Это означает, что ЭОП может быть ранним признаком проблем с эндокринной системой и требует пересмотра теорий о причинах и механизмах развития ЭОП. Этот факт может быть полезен для ранней диагностики и профилактики заболеваний щитовидной железы.</w:t>
      </w:r>
    </w:p>
    <w:p w14:paraId="5312A59A" w14:textId="67163201" w:rsidR="000028E8" w:rsidRPr="002B136D" w:rsidRDefault="000028E8" w:rsidP="00AC7185">
      <w:pPr>
        <w:spacing w:after="0" w:line="240" w:lineRule="auto"/>
        <w:ind w:firstLine="567"/>
        <w:contextualSpacing/>
        <w:jc w:val="both"/>
        <w:rPr>
          <w:rFonts w:cs="Times New Roman"/>
          <w:szCs w:val="28"/>
          <w:lang w:val="kk-KZ"/>
        </w:rPr>
      </w:pPr>
      <w:r w:rsidRPr="002B136D">
        <w:rPr>
          <w:rFonts w:cs="Times New Roman"/>
          <w:szCs w:val="28"/>
          <w:lang w:val="kk-KZ"/>
        </w:rPr>
        <w:t xml:space="preserve">В 31,6% случаев ЭОП развилось на фоне уже имеющейся дисфункции ЩЖ. Это подтверждает известные данные о взаимосвязи этих двух состояний и может служить основой для более интенсивного мониторинга пациентов с известными нарушениями функции ЩЖ в целях раннего выявления и лечения ЭОП </w:t>
      </w:r>
      <w:r w:rsidR="00AF31F3">
        <w:rPr>
          <w:rFonts w:cs="Times New Roman"/>
          <w:szCs w:val="28"/>
          <w:lang w:val="kk-KZ"/>
        </w:rPr>
        <w:t>(рисунок</w:t>
      </w:r>
      <w:r w:rsidR="00283211">
        <w:rPr>
          <w:rFonts w:cs="Times New Roman"/>
          <w:szCs w:val="28"/>
          <w:lang w:val="kk-KZ"/>
        </w:rPr>
        <w:t xml:space="preserve"> </w:t>
      </w:r>
      <w:r w:rsidRPr="002B136D">
        <w:rPr>
          <w:rFonts w:cs="Times New Roman"/>
          <w:szCs w:val="28"/>
          <w:lang w:val="kk-KZ"/>
        </w:rPr>
        <w:t>16).</w:t>
      </w:r>
    </w:p>
    <w:p w14:paraId="57630FDB" w14:textId="77777777" w:rsidR="00210A21" w:rsidRPr="002B136D" w:rsidRDefault="00210A21" w:rsidP="00AC7185">
      <w:pPr>
        <w:spacing w:after="0" w:line="240" w:lineRule="auto"/>
        <w:ind w:firstLine="567"/>
        <w:contextualSpacing/>
        <w:jc w:val="both"/>
        <w:rPr>
          <w:rFonts w:cs="Times New Roman"/>
          <w:szCs w:val="28"/>
        </w:rPr>
      </w:pPr>
      <w:r w:rsidRPr="002B136D">
        <w:rPr>
          <w:rFonts w:cs="Times New Roman"/>
          <w:szCs w:val="28"/>
        </w:rPr>
        <w:t>У 12,3% пациентов симптомы ЭОП проявились через 6-10 месяцев после первичной диагностики заболевания ЩЖ, что предполагает наличие "окна" для диагностики и профилактики.</w:t>
      </w:r>
    </w:p>
    <w:p w14:paraId="524F0080" w14:textId="77777777" w:rsidR="00210A21" w:rsidRPr="002B136D" w:rsidRDefault="00210A21" w:rsidP="00210A21">
      <w:pPr>
        <w:spacing w:after="0" w:line="240" w:lineRule="auto"/>
        <w:ind w:firstLine="709"/>
        <w:contextualSpacing/>
        <w:jc w:val="both"/>
        <w:rPr>
          <w:rFonts w:cs="Times New Roman"/>
          <w:szCs w:val="28"/>
        </w:rPr>
      </w:pPr>
    </w:p>
    <w:p w14:paraId="7E181446" w14:textId="77777777" w:rsidR="00143D08" w:rsidRPr="002B136D" w:rsidRDefault="00143D08" w:rsidP="00AC7185">
      <w:pPr>
        <w:spacing w:after="0" w:line="360" w:lineRule="auto"/>
        <w:jc w:val="center"/>
        <w:rPr>
          <w:rFonts w:cs="Times New Roman"/>
          <w:szCs w:val="28"/>
        </w:rPr>
      </w:pPr>
      <w:r w:rsidRPr="002B136D">
        <w:rPr>
          <w:rFonts w:cs="Times New Roman"/>
          <w:noProof/>
          <w:szCs w:val="28"/>
          <w:lang w:eastAsia="ru-RU"/>
        </w:rPr>
        <w:lastRenderedPageBreak/>
        <w:drawing>
          <wp:inline distT="0" distB="0" distL="0" distR="0" wp14:anchorId="1979D2CB" wp14:editId="67A30103">
            <wp:extent cx="5391150" cy="32385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690F90" w14:textId="77777777" w:rsidR="00AC7185" w:rsidRPr="00AC7185" w:rsidRDefault="00AC7185" w:rsidP="00AC7185">
      <w:pPr>
        <w:spacing w:after="0" w:line="240" w:lineRule="auto"/>
        <w:jc w:val="both"/>
        <w:rPr>
          <w:rFonts w:cs="Times New Roman"/>
          <w:bCs/>
          <w:sz w:val="16"/>
          <w:szCs w:val="16"/>
          <w:lang w:val="kk-KZ"/>
        </w:rPr>
      </w:pPr>
    </w:p>
    <w:p w14:paraId="33D326F4" w14:textId="67765746" w:rsidR="00AC7185" w:rsidRPr="00AC7185" w:rsidRDefault="00283211" w:rsidP="00AC7185">
      <w:pPr>
        <w:spacing w:after="0" w:line="240" w:lineRule="auto"/>
        <w:jc w:val="center"/>
        <w:rPr>
          <w:rFonts w:cs="Times New Roman"/>
          <w:bCs/>
          <w:szCs w:val="28"/>
        </w:rPr>
      </w:pPr>
      <w:r>
        <w:rPr>
          <w:rFonts w:cs="Times New Roman"/>
          <w:bCs/>
          <w:szCs w:val="28"/>
          <w:lang w:val="kk-KZ"/>
        </w:rPr>
        <w:t xml:space="preserve">   </w:t>
      </w:r>
      <w:r w:rsidR="00AC7185" w:rsidRPr="00AC7185">
        <w:rPr>
          <w:rFonts w:cs="Times New Roman"/>
          <w:bCs/>
          <w:szCs w:val="28"/>
          <w:lang w:val="kk-KZ"/>
        </w:rPr>
        <w:t>Рисунок 1</w:t>
      </w:r>
      <w:r w:rsidR="007B402D">
        <w:rPr>
          <w:rFonts w:cs="Times New Roman"/>
          <w:bCs/>
          <w:szCs w:val="28"/>
          <w:lang w:val="kk-KZ"/>
        </w:rPr>
        <w:t>6</w:t>
      </w:r>
      <w:r w:rsidR="00F35C00">
        <w:rPr>
          <w:rFonts w:cs="Times New Roman"/>
          <w:bCs/>
          <w:szCs w:val="28"/>
          <w:lang w:val="kk-KZ"/>
        </w:rPr>
        <w:t xml:space="preserve"> - </w:t>
      </w:r>
      <w:r w:rsidR="00AC7185" w:rsidRPr="00AC7185">
        <w:rPr>
          <w:rFonts w:cs="Times New Roman"/>
          <w:bCs/>
          <w:szCs w:val="28"/>
        </w:rPr>
        <w:t>Распределение ЭОП по возрастным группам</w:t>
      </w:r>
    </w:p>
    <w:p w14:paraId="1406F70D" w14:textId="77777777" w:rsidR="000028E8" w:rsidRPr="00AC7185" w:rsidRDefault="000028E8" w:rsidP="00AC7185">
      <w:pPr>
        <w:spacing w:after="0" w:line="240" w:lineRule="auto"/>
        <w:ind w:firstLine="709"/>
        <w:contextualSpacing/>
        <w:jc w:val="both"/>
        <w:rPr>
          <w:rFonts w:cs="Times New Roman"/>
          <w:szCs w:val="28"/>
        </w:rPr>
      </w:pPr>
    </w:p>
    <w:p w14:paraId="5009B247" w14:textId="7B04F639" w:rsidR="000210B8" w:rsidRPr="002B136D" w:rsidRDefault="00261F62" w:rsidP="00AC7185">
      <w:pPr>
        <w:spacing w:after="0" w:line="240" w:lineRule="auto"/>
        <w:ind w:firstLine="567"/>
        <w:contextualSpacing/>
        <w:jc w:val="both"/>
        <w:rPr>
          <w:rFonts w:cs="Times New Roman"/>
          <w:szCs w:val="28"/>
          <w:lang w:val="kk-KZ"/>
        </w:rPr>
      </w:pPr>
      <w:r w:rsidRPr="002B136D">
        <w:rPr>
          <w:rFonts w:cs="Times New Roman"/>
          <w:szCs w:val="28"/>
          <w:lang w:val="kk-KZ"/>
        </w:rPr>
        <w:t>По клинической картине ЭОП, в основном, у</w:t>
      </w:r>
      <w:r w:rsidR="00C926C5" w:rsidRPr="002B136D">
        <w:rPr>
          <w:rFonts w:cs="Times New Roman"/>
          <w:szCs w:val="28"/>
          <w:lang w:val="kk-KZ"/>
        </w:rPr>
        <w:t xml:space="preserve"> большинства пациентов основными жалобами были </w:t>
      </w:r>
      <w:r w:rsidR="00876459" w:rsidRPr="002B136D">
        <w:rPr>
          <w:rFonts w:cs="Times New Roman"/>
          <w:szCs w:val="28"/>
          <w:lang w:val="kk-KZ"/>
        </w:rPr>
        <w:t xml:space="preserve">на </w:t>
      </w:r>
      <w:r w:rsidR="00C926C5" w:rsidRPr="002B136D">
        <w:rPr>
          <w:rFonts w:cs="Times New Roman"/>
          <w:szCs w:val="28"/>
          <w:lang w:val="kk-KZ"/>
        </w:rPr>
        <w:t>сухость, слезотечение (95,3%), отек периорбитальных тканей</w:t>
      </w:r>
      <w:r w:rsidR="00876459" w:rsidRPr="002B136D">
        <w:rPr>
          <w:rFonts w:cs="Times New Roman"/>
          <w:szCs w:val="28"/>
          <w:lang w:val="kk-KZ"/>
        </w:rPr>
        <w:t xml:space="preserve"> </w:t>
      </w:r>
      <w:r w:rsidR="00876459" w:rsidRPr="002B136D">
        <w:rPr>
          <w:rFonts w:cs="Times New Roman"/>
          <w:szCs w:val="28"/>
        </w:rPr>
        <w:t>(90 %)</w:t>
      </w:r>
      <w:r w:rsidR="00C926C5" w:rsidRPr="002B136D">
        <w:rPr>
          <w:rFonts w:cs="Times New Roman"/>
          <w:szCs w:val="28"/>
          <w:lang w:val="kk-KZ"/>
        </w:rPr>
        <w:t>.</w:t>
      </w:r>
      <w:r w:rsidR="00876459" w:rsidRPr="002B136D">
        <w:rPr>
          <w:rFonts w:cs="Times New Roman"/>
          <w:szCs w:val="28"/>
          <w:lang w:val="kk-KZ"/>
        </w:rPr>
        <w:t xml:space="preserve"> Выраженный экзофтальм отмечен у 60% </w:t>
      </w:r>
      <w:r w:rsidR="0038552C" w:rsidRPr="002B136D">
        <w:rPr>
          <w:rFonts w:cs="Times New Roman"/>
          <w:szCs w:val="28"/>
          <w:lang w:val="kk-KZ"/>
        </w:rPr>
        <w:t>пациентов</w:t>
      </w:r>
      <w:r w:rsidR="00876459" w:rsidRPr="002B136D">
        <w:rPr>
          <w:rFonts w:cs="Times New Roman"/>
          <w:szCs w:val="28"/>
          <w:lang w:val="kk-KZ"/>
        </w:rPr>
        <w:t xml:space="preserve"> (20,7±3,4 мм), </w:t>
      </w:r>
      <w:r w:rsidR="00FC1A05" w:rsidRPr="002B136D">
        <w:rPr>
          <w:rFonts w:cs="Times New Roman"/>
          <w:szCs w:val="28"/>
          <w:lang w:val="kk-KZ"/>
        </w:rPr>
        <w:t xml:space="preserve">максимальные </w:t>
      </w:r>
      <w:r w:rsidR="00532035" w:rsidRPr="002B136D">
        <w:rPr>
          <w:rFonts w:cs="Times New Roman"/>
          <w:szCs w:val="28"/>
          <w:lang w:val="kk-KZ"/>
        </w:rPr>
        <w:t xml:space="preserve">показатели экзофтальмометрии (26-34 мм) определены </w:t>
      </w:r>
      <w:r w:rsidR="00FC1A05" w:rsidRPr="002B136D">
        <w:rPr>
          <w:rFonts w:cs="Times New Roman"/>
          <w:szCs w:val="28"/>
          <w:lang w:val="kk-KZ"/>
        </w:rPr>
        <w:t>у</w:t>
      </w:r>
      <w:r w:rsidR="00532035" w:rsidRPr="002B136D">
        <w:rPr>
          <w:rFonts w:cs="Times New Roman"/>
          <w:szCs w:val="28"/>
          <w:lang w:val="kk-KZ"/>
        </w:rPr>
        <w:t xml:space="preserve"> 5,6 % </w:t>
      </w:r>
      <w:r w:rsidR="00FC1A05" w:rsidRPr="002B136D">
        <w:rPr>
          <w:rFonts w:cs="Times New Roman"/>
          <w:szCs w:val="28"/>
          <w:lang w:val="kk-KZ"/>
        </w:rPr>
        <w:t xml:space="preserve">пациентов. </w:t>
      </w:r>
      <w:r w:rsidR="00532035" w:rsidRPr="002B136D">
        <w:rPr>
          <w:rFonts w:cs="Times New Roman"/>
          <w:szCs w:val="28"/>
          <w:lang w:val="kk-KZ"/>
        </w:rPr>
        <w:t>Ре</w:t>
      </w:r>
      <w:r w:rsidR="00876459" w:rsidRPr="002B136D">
        <w:rPr>
          <w:rFonts w:cs="Times New Roman"/>
          <w:szCs w:val="28"/>
          <w:lang w:val="kk-KZ"/>
        </w:rPr>
        <w:t>тракцией</w:t>
      </w:r>
      <w:r w:rsidR="00C926C5" w:rsidRPr="002B136D">
        <w:rPr>
          <w:rFonts w:cs="Times New Roman"/>
          <w:szCs w:val="28"/>
          <w:lang w:val="kk-KZ"/>
        </w:rPr>
        <w:t xml:space="preserve"> верхних век </w:t>
      </w:r>
      <w:r w:rsidR="00876459" w:rsidRPr="002B136D">
        <w:rPr>
          <w:rFonts w:cs="Times New Roman"/>
          <w:szCs w:val="28"/>
          <w:lang w:val="kk-KZ"/>
        </w:rPr>
        <w:t>страдали 56,5 % пациентов</w:t>
      </w:r>
      <w:r w:rsidR="00C926C5" w:rsidRPr="002B136D">
        <w:rPr>
          <w:rFonts w:cs="Times New Roman"/>
          <w:szCs w:val="28"/>
          <w:lang w:val="kk-KZ"/>
        </w:rPr>
        <w:t>, а постоянным или периодическим двоением страдали 26 % пациентов с ЭОП</w:t>
      </w:r>
      <w:r w:rsidR="007B402D">
        <w:rPr>
          <w:rFonts w:cs="Times New Roman"/>
          <w:szCs w:val="28"/>
          <w:lang w:val="kk-KZ"/>
        </w:rPr>
        <w:t xml:space="preserve"> (рисунок 17)</w:t>
      </w:r>
      <w:r w:rsidR="00C926C5" w:rsidRPr="002B136D">
        <w:rPr>
          <w:rFonts w:cs="Times New Roman"/>
          <w:szCs w:val="28"/>
          <w:lang w:val="kk-KZ"/>
        </w:rPr>
        <w:t xml:space="preserve">. </w:t>
      </w:r>
    </w:p>
    <w:p w14:paraId="1F093EA3" w14:textId="77777777" w:rsidR="000210B8" w:rsidRPr="002B136D" w:rsidRDefault="000210B8" w:rsidP="00DD33AE">
      <w:pPr>
        <w:spacing w:after="0" w:line="240" w:lineRule="auto"/>
        <w:ind w:firstLine="709"/>
        <w:contextualSpacing/>
        <w:jc w:val="both"/>
        <w:rPr>
          <w:rFonts w:cs="Times New Roman"/>
          <w:szCs w:val="28"/>
          <w:lang w:val="kk-KZ"/>
        </w:rPr>
      </w:pPr>
    </w:p>
    <w:p w14:paraId="2C75D04D" w14:textId="77777777" w:rsidR="00143D08" w:rsidRPr="002B136D" w:rsidRDefault="00143D08" w:rsidP="00AC7185">
      <w:pPr>
        <w:spacing w:after="0" w:line="360" w:lineRule="auto"/>
        <w:jc w:val="center"/>
        <w:rPr>
          <w:rFonts w:cs="Times New Roman"/>
          <w:szCs w:val="28"/>
          <w:lang w:val="kk-KZ"/>
        </w:rPr>
      </w:pPr>
      <w:r w:rsidRPr="002B136D">
        <w:rPr>
          <w:rFonts w:cs="Times New Roman"/>
          <w:noProof/>
          <w:szCs w:val="28"/>
          <w:lang w:eastAsia="ru-RU"/>
        </w:rPr>
        <w:drawing>
          <wp:inline distT="0" distB="0" distL="0" distR="0" wp14:anchorId="02E09527" wp14:editId="186AACF9">
            <wp:extent cx="4705350" cy="26289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6B58CD" w14:textId="77777777" w:rsidR="00AC7185" w:rsidRDefault="00AC7185" w:rsidP="00AC7185">
      <w:pPr>
        <w:pStyle w:val="af9"/>
        <w:spacing w:before="0" w:beforeAutospacing="0" w:after="0" w:afterAutospacing="0"/>
        <w:jc w:val="center"/>
      </w:pPr>
      <w:r w:rsidRPr="002B136D">
        <w:t xml:space="preserve">0: одновременное начало тиреотоксикоза и ЭОП; 0-15 </w:t>
      </w:r>
      <w:proofErr w:type="gramStart"/>
      <w:r w:rsidRPr="002B136D">
        <w:t>мес</w:t>
      </w:r>
      <w:proofErr w:type="gramEnd"/>
      <w:r w:rsidRPr="002B136D">
        <w:t>: ЭОП предшествует дисфункции ЩЖ; 0-(-10) мес: ЭОП развивается после дисфункции ЩЖ</w:t>
      </w:r>
    </w:p>
    <w:p w14:paraId="59F7EDEB" w14:textId="77777777" w:rsidR="00AC7185" w:rsidRPr="002B136D" w:rsidRDefault="00AC7185" w:rsidP="00AC7185">
      <w:pPr>
        <w:pStyle w:val="af9"/>
        <w:spacing w:before="0" w:beforeAutospacing="0" w:after="0" w:afterAutospacing="0"/>
        <w:jc w:val="center"/>
      </w:pPr>
    </w:p>
    <w:p w14:paraId="757831F3" w14:textId="01AFA3AC" w:rsidR="00AC7185" w:rsidRPr="00AC7185" w:rsidRDefault="00210A21" w:rsidP="00AC7185">
      <w:pPr>
        <w:pStyle w:val="af9"/>
        <w:spacing w:before="0" w:beforeAutospacing="0" w:after="0" w:afterAutospacing="0"/>
        <w:jc w:val="center"/>
        <w:rPr>
          <w:bCs/>
          <w:sz w:val="28"/>
          <w:szCs w:val="28"/>
        </w:rPr>
      </w:pPr>
      <w:r w:rsidRPr="00AC7185">
        <w:rPr>
          <w:bCs/>
          <w:sz w:val="28"/>
          <w:szCs w:val="28"/>
        </w:rPr>
        <w:t>Рисунок 1</w:t>
      </w:r>
      <w:r w:rsidR="007B402D">
        <w:rPr>
          <w:bCs/>
          <w:sz w:val="28"/>
          <w:szCs w:val="28"/>
        </w:rPr>
        <w:t>7</w:t>
      </w:r>
      <w:r w:rsidR="00AC7185" w:rsidRPr="00AC7185">
        <w:rPr>
          <w:bCs/>
          <w:sz w:val="28"/>
          <w:szCs w:val="28"/>
        </w:rPr>
        <w:t xml:space="preserve"> -</w:t>
      </w:r>
      <w:r w:rsidRPr="00AC7185">
        <w:rPr>
          <w:bCs/>
          <w:sz w:val="28"/>
          <w:szCs w:val="28"/>
        </w:rPr>
        <w:t xml:space="preserve"> Хронология манифестации дисфункции ЩЖ и ЭОП</w:t>
      </w:r>
    </w:p>
    <w:p w14:paraId="22B8ED11" w14:textId="176F3740" w:rsidR="000210B8" w:rsidRPr="002B136D" w:rsidRDefault="000210B8" w:rsidP="00AC7185">
      <w:pPr>
        <w:spacing w:after="0" w:line="240" w:lineRule="auto"/>
        <w:ind w:firstLine="567"/>
        <w:contextualSpacing/>
        <w:jc w:val="both"/>
        <w:rPr>
          <w:rFonts w:cs="Times New Roman"/>
          <w:szCs w:val="28"/>
          <w:lang w:val="kk-KZ"/>
        </w:rPr>
      </w:pPr>
      <w:r w:rsidRPr="002B136D">
        <w:rPr>
          <w:rFonts w:cs="Times New Roman"/>
          <w:szCs w:val="28"/>
          <w:lang w:val="kk-KZ"/>
        </w:rPr>
        <w:lastRenderedPageBreak/>
        <w:t xml:space="preserve">Заболевание обычно протекало с двусторонним поражением орбит и придаточных аппаратов глазных яблок (87%), однако у 13 % пациентов были односторонние симптомы ЭОП. </w:t>
      </w:r>
    </w:p>
    <w:p w14:paraId="7D9D1612" w14:textId="16B0A6FE" w:rsidR="003E0278" w:rsidRPr="002B136D" w:rsidRDefault="00950449" w:rsidP="00AC7185">
      <w:pPr>
        <w:spacing w:after="0" w:line="240" w:lineRule="auto"/>
        <w:ind w:firstLine="567"/>
        <w:contextualSpacing/>
        <w:jc w:val="both"/>
        <w:rPr>
          <w:rFonts w:cs="Times New Roman"/>
          <w:szCs w:val="28"/>
          <w:lang w:val="kk-KZ"/>
        </w:rPr>
      </w:pPr>
      <w:r w:rsidRPr="002B136D">
        <w:rPr>
          <w:rFonts w:cs="Times New Roman"/>
          <w:szCs w:val="28"/>
          <w:lang w:val="kk-KZ"/>
        </w:rPr>
        <w:t xml:space="preserve">В таблице </w:t>
      </w:r>
      <w:r w:rsidR="00C35BFB">
        <w:rPr>
          <w:rFonts w:cs="Times New Roman"/>
          <w:szCs w:val="28"/>
          <w:lang w:val="kk-KZ"/>
        </w:rPr>
        <w:t>6</w:t>
      </w:r>
      <w:r w:rsidR="003E0278" w:rsidRPr="002B136D">
        <w:rPr>
          <w:rFonts w:cs="Times New Roman"/>
          <w:szCs w:val="28"/>
          <w:lang w:val="kk-KZ"/>
        </w:rPr>
        <w:t xml:space="preserve"> представлены офтальмологические показатели у пациентов с эндокринной офтальмопатией (ЭОП) в рамках нашего исследования. Исследована выборка из 193 пациентов, включая мужчин и женщин, с целью оценки различий в офтальмологических характеристиках между полами и общим состоянием ЭОП.</w:t>
      </w:r>
    </w:p>
    <w:p w14:paraId="49315DF5" w14:textId="4EB19BD8" w:rsidR="003E0278" w:rsidRPr="002B136D" w:rsidRDefault="003E0278" w:rsidP="00AC7185">
      <w:pPr>
        <w:spacing w:after="0" w:line="240" w:lineRule="auto"/>
        <w:ind w:firstLine="567"/>
        <w:contextualSpacing/>
        <w:jc w:val="both"/>
        <w:rPr>
          <w:rFonts w:cs="Times New Roman"/>
          <w:szCs w:val="28"/>
          <w:lang w:val="kk-KZ"/>
        </w:rPr>
      </w:pPr>
      <w:r w:rsidRPr="002B136D">
        <w:rPr>
          <w:rFonts w:cs="Times New Roman"/>
          <w:szCs w:val="28"/>
          <w:lang w:val="kk-KZ"/>
        </w:rPr>
        <w:t>Односторонняя ЭОП наблюдалась у 13 (6,7%) пациентов, включая 4 мужчин и 9 женщин. Значение p=0.16 указывает на отсутствие статистически значимой разницы между полами в распределении односторонней ЭОП.</w:t>
      </w:r>
    </w:p>
    <w:p w14:paraId="6BBD3AC2" w14:textId="77777777" w:rsidR="00E13E3F" w:rsidRPr="002B136D" w:rsidRDefault="00E13E3F" w:rsidP="00AC7185">
      <w:pPr>
        <w:spacing w:after="0" w:line="240" w:lineRule="auto"/>
        <w:ind w:firstLine="567"/>
        <w:contextualSpacing/>
        <w:jc w:val="both"/>
        <w:rPr>
          <w:rFonts w:cs="Times New Roman"/>
          <w:szCs w:val="28"/>
          <w:lang w:val="kk-KZ"/>
        </w:rPr>
      </w:pPr>
      <w:r w:rsidRPr="002B136D">
        <w:rPr>
          <w:rFonts w:cs="Times New Roman"/>
          <w:szCs w:val="28"/>
          <w:lang w:val="kk-KZ"/>
        </w:rPr>
        <w:t>Среднее внутриглазное давление составило 18,5±6 мм рт. ст., с различиями между мужчинами (17±4,8 мм рт. ст.) и женщинами; p=0,05 указывает на возможные половые различия. Средние значения экзофтальма для правого (20,7±3,4 мм) и левого глаза (20,1±3,6 мм) показали статистически значимые различия между полами (p&lt;0,001), что может свидетельствовать о более выраженном экзофтальме у мужчин. Диплопия отсутствовала у 142 пациентов, однако у 44 (22,7%) случаев была постоянной, чаще у мужчин (41,4%) по сравнению с женщинами (15,6%), подчеркивая половые различия этого симптома. Ретракция верхнего века обнаружена у 108 (56,5%) пациентов, с более высоким процентом среди женщин; p=0,002 указывает на статистически значимые различия.</w:t>
      </w:r>
    </w:p>
    <w:p w14:paraId="497D1903" w14:textId="77777777" w:rsidR="00E13E3F" w:rsidRPr="002B136D" w:rsidRDefault="00E13E3F" w:rsidP="00DD33AE">
      <w:pPr>
        <w:spacing w:after="0" w:line="240" w:lineRule="auto"/>
        <w:ind w:firstLine="709"/>
        <w:contextualSpacing/>
        <w:jc w:val="both"/>
        <w:rPr>
          <w:rFonts w:cs="Times New Roman"/>
          <w:szCs w:val="28"/>
          <w:lang w:val="kk-KZ"/>
        </w:rPr>
      </w:pPr>
    </w:p>
    <w:p w14:paraId="1FA13054" w14:textId="5E6F21F2" w:rsidR="00952829" w:rsidRPr="00AC7185" w:rsidRDefault="00E920FF" w:rsidP="006E7629">
      <w:pPr>
        <w:spacing w:after="0" w:line="240" w:lineRule="auto"/>
        <w:jc w:val="both"/>
        <w:rPr>
          <w:rFonts w:cs="Times New Roman"/>
          <w:bCs/>
          <w:szCs w:val="28"/>
          <w:lang w:val="kk-KZ"/>
        </w:rPr>
      </w:pPr>
      <w:r w:rsidRPr="00AC7185">
        <w:rPr>
          <w:rFonts w:cs="Times New Roman"/>
          <w:bCs/>
          <w:szCs w:val="28"/>
          <w:lang w:val="kk-KZ"/>
        </w:rPr>
        <w:t xml:space="preserve">Таблица </w:t>
      </w:r>
      <w:r w:rsidR="00C35BFB">
        <w:rPr>
          <w:rFonts w:cs="Times New Roman"/>
          <w:bCs/>
          <w:szCs w:val="28"/>
          <w:lang w:val="kk-KZ"/>
        </w:rPr>
        <w:t>6</w:t>
      </w:r>
      <w:r w:rsidR="00AC7185" w:rsidRPr="00AC7185">
        <w:rPr>
          <w:rFonts w:cs="Times New Roman"/>
          <w:bCs/>
          <w:szCs w:val="28"/>
          <w:lang w:val="kk-KZ"/>
        </w:rPr>
        <w:t xml:space="preserve"> -</w:t>
      </w:r>
      <w:r w:rsidR="00143D08" w:rsidRPr="00AC7185">
        <w:rPr>
          <w:rFonts w:cs="Times New Roman"/>
          <w:bCs/>
          <w:szCs w:val="28"/>
          <w:lang w:val="kk-KZ"/>
        </w:rPr>
        <w:t xml:space="preserve"> Офтальмологические п</w:t>
      </w:r>
      <w:r w:rsidR="00C26773" w:rsidRPr="00AC7185">
        <w:rPr>
          <w:rFonts w:cs="Times New Roman"/>
          <w:bCs/>
          <w:szCs w:val="28"/>
          <w:lang w:val="kk-KZ"/>
        </w:rPr>
        <w:t xml:space="preserve">оказатели </w:t>
      </w:r>
      <w:r w:rsidR="0038552C" w:rsidRPr="00AC7185">
        <w:rPr>
          <w:rFonts w:cs="Times New Roman"/>
          <w:bCs/>
          <w:szCs w:val="28"/>
          <w:lang w:val="kk-KZ"/>
        </w:rPr>
        <w:t>пациентов</w:t>
      </w:r>
      <w:r w:rsidR="00C26773" w:rsidRPr="00AC7185">
        <w:rPr>
          <w:rFonts w:cs="Times New Roman"/>
          <w:bCs/>
          <w:szCs w:val="28"/>
          <w:lang w:val="kk-KZ"/>
        </w:rPr>
        <w:t xml:space="preserve"> с ЭОП (n=193</w:t>
      </w:r>
      <w:r w:rsidR="00952829" w:rsidRPr="00AC7185">
        <w:rPr>
          <w:rFonts w:cs="Times New Roman"/>
          <w:bCs/>
          <w:szCs w:val="28"/>
          <w:lang w:val="kk-KZ"/>
        </w:rPr>
        <w:t>)</w:t>
      </w:r>
    </w:p>
    <w:p w14:paraId="4D435C0E" w14:textId="77777777" w:rsidR="00AC7185" w:rsidRPr="002B136D" w:rsidRDefault="00AC7185" w:rsidP="006E7629">
      <w:pPr>
        <w:spacing w:after="0" w:line="240" w:lineRule="auto"/>
        <w:jc w:val="both"/>
        <w:rPr>
          <w:rFonts w:cs="Times New Roman"/>
          <w:b/>
          <w:szCs w:val="28"/>
          <w:lang w:val="kk-KZ"/>
        </w:rPr>
      </w:pPr>
    </w:p>
    <w:tbl>
      <w:tblPr>
        <w:tblStyle w:val="ac"/>
        <w:tblW w:w="0" w:type="auto"/>
        <w:tblInd w:w="108" w:type="dxa"/>
        <w:tblLayout w:type="fixed"/>
        <w:tblLook w:val="04A0" w:firstRow="1" w:lastRow="0" w:firstColumn="1" w:lastColumn="0" w:noHBand="0" w:noVBand="1"/>
      </w:tblPr>
      <w:tblGrid>
        <w:gridCol w:w="2364"/>
        <w:gridCol w:w="2906"/>
        <w:gridCol w:w="1672"/>
        <w:gridCol w:w="1544"/>
        <w:gridCol w:w="1153"/>
      </w:tblGrid>
      <w:tr w:rsidR="00D51D40" w:rsidRPr="002B136D" w14:paraId="7F2B00E9" w14:textId="77777777" w:rsidTr="00AC7185">
        <w:tc>
          <w:tcPr>
            <w:tcW w:w="2364" w:type="dxa"/>
            <w:vAlign w:val="center"/>
          </w:tcPr>
          <w:p w14:paraId="05C7CB01" w14:textId="77777777" w:rsidR="004B38A6" w:rsidRPr="002B136D" w:rsidRDefault="004B38A6" w:rsidP="00DD33AE">
            <w:pPr>
              <w:contextualSpacing/>
              <w:jc w:val="both"/>
              <w:rPr>
                <w:rFonts w:cs="Times New Roman"/>
                <w:sz w:val="24"/>
                <w:szCs w:val="28"/>
              </w:rPr>
            </w:pPr>
            <w:r w:rsidRPr="002B136D">
              <w:rPr>
                <w:rFonts w:cs="Times New Roman"/>
                <w:sz w:val="24"/>
                <w:szCs w:val="28"/>
              </w:rPr>
              <w:t>Характеристики</w:t>
            </w:r>
          </w:p>
        </w:tc>
        <w:tc>
          <w:tcPr>
            <w:tcW w:w="2906" w:type="dxa"/>
            <w:vAlign w:val="center"/>
          </w:tcPr>
          <w:p w14:paraId="5CC39996" w14:textId="77777777" w:rsidR="004B38A6" w:rsidRPr="002B136D" w:rsidRDefault="00414B9F" w:rsidP="00DD33AE">
            <w:pPr>
              <w:contextualSpacing/>
              <w:jc w:val="both"/>
              <w:rPr>
                <w:rFonts w:cs="Times New Roman"/>
                <w:sz w:val="24"/>
                <w:szCs w:val="28"/>
              </w:rPr>
            </w:pPr>
            <w:r w:rsidRPr="002B136D">
              <w:rPr>
                <w:rFonts w:cs="Times New Roman"/>
                <w:sz w:val="24"/>
                <w:szCs w:val="28"/>
              </w:rPr>
              <w:t>К</w:t>
            </w:r>
            <w:r w:rsidR="004B38A6" w:rsidRPr="002B136D">
              <w:rPr>
                <w:rFonts w:cs="Times New Roman"/>
                <w:sz w:val="24"/>
                <w:szCs w:val="28"/>
              </w:rPr>
              <w:t>оличество пациентов n=193</w:t>
            </w:r>
          </w:p>
        </w:tc>
        <w:tc>
          <w:tcPr>
            <w:tcW w:w="1672" w:type="dxa"/>
            <w:vAlign w:val="center"/>
          </w:tcPr>
          <w:p w14:paraId="56E8007C" w14:textId="77777777" w:rsidR="004B38A6" w:rsidRPr="002B136D" w:rsidRDefault="004B38A6" w:rsidP="00DD33AE">
            <w:pPr>
              <w:contextualSpacing/>
              <w:jc w:val="both"/>
              <w:rPr>
                <w:rFonts w:cs="Times New Roman"/>
                <w:sz w:val="24"/>
                <w:szCs w:val="28"/>
              </w:rPr>
            </w:pPr>
            <w:r w:rsidRPr="002B136D">
              <w:rPr>
                <w:rFonts w:cs="Times New Roman"/>
                <w:sz w:val="24"/>
                <w:szCs w:val="28"/>
              </w:rPr>
              <w:t>Мужчины</w:t>
            </w:r>
          </w:p>
        </w:tc>
        <w:tc>
          <w:tcPr>
            <w:tcW w:w="1544" w:type="dxa"/>
            <w:vAlign w:val="center"/>
          </w:tcPr>
          <w:p w14:paraId="1D676B97" w14:textId="77777777" w:rsidR="004B38A6" w:rsidRPr="002B136D" w:rsidRDefault="004B38A6" w:rsidP="00DD33AE">
            <w:pPr>
              <w:contextualSpacing/>
              <w:jc w:val="both"/>
              <w:rPr>
                <w:rFonts w:cs="Times New Roman"/>
                <w:sz w:val="24"/>
                <w:szCs w:val="28"/>
              </w:rPr>
            </w:pPr>
            <w:r w:rsidRPr="002B136D">
              <w:rPr>
                <w:rFonts w:cs="Times New Roman"/>
                <w:sz w:val="24"/>
                <w:szCs w:val="28"/>
              </w:rPr>
              <w:t>Ж</w:t>
            </w:r>
            <w:r w:rsidR="00414B9F" w:rsidRPr="002B136D">
              <w:rPr>
                <w:rFonts w:cs="Times New Roman"/>
                <w:sz w:val="24"/>
                <w:szCs w:val="28"/>
              </w:rPr>
              <w:t>е</w:t>
            </w:r>
            <w:r w:rsidRPr="002B136D">
              <w:rPr>
                <w:rFonts w:cs="Times New Roman"/>
                <w:sz w:val="24"/>
                <w:szCs w:val="28"/>
              </w:rPr>
              <w:t>нщины</w:t>
            </w:r>
          </w:p>
        </w:tc>
        <w:tc>
          <w:tcPr>
            <w:tcW w:w="1153" w:type="dxa"/>
            <w:vAlign w:val="center"/>
          </w:tcPr>
          <w:p w14:paraId="239751D4" w14:textId="77777777" w:rsidR="004B38A6" w:rsidRPr="002B136D" w:rsidRDefault="004B38A6" w:rsidP="00DD33AE">
            <w:pPr>
              <w:contextualSpacing/>
              <w:jc w:val="both"/>
              <w:rPr>
                <w:rFonts w:cs="Times New Roman"/>
                <w:sz w:val="24"/>
                <w:szCs w:val="28"/>
              </w:rPr>
            </w:pPr>
            <w:proofErr w:type="gramStart"/>
            <w:r w:rsidRPr="002B136D">
              <w:rPr>
                <w:rFonts w:cs="Times New Roman"/>
                <w:sz w:val="24"/>
                <w:szCs w:val="28"/>
              </w:rPr>
              <w:t>р</w:t>
            </w:r>
            <w:proofErr w:type="gramEnd"/>
          </w:p>
        </w:tc>
      </w:tr>
      <w:tr w:rsidR="00D51D40" w:rsidRPr="002B136D" w14:paraId="0B9A8A16" w14:textId="77777777" w:rsidTr="00AC7185">
        <w:tc>
          <w:tcPr>
            <w:tcW w:w="2364" w:type="dxa"/>
            <w:vAlign w:val="center"/>
          </w:tcPr>
          <w:p w14:paraId="2FCEF51D" w14:textId="77777777" w:rsidR="004B38A6" w:rsidRPr="002B136D" w:rsidRDefault="004B38A6" w:rsidP="00DD33AE">
            <w:pPr>
              <w:contextualSpacing/>
              <w:jc w:val="both"/>
              <w:rPr>
                <w:rFonts w:cs="Times New Roman"/>
                <w:sz w:val="24"/>
                <w:szCs w:val="28"/>
              </w:rPr>
            </w:pPr>
            <w:r w:rsidRPr="002B136D">
              <w:rPr>
                <w:rFonts w:cs="Times New Roman"/>
                <w:bCs/>
                <w:sz w:val="24"/>
                <w:szCs w:val="28"/>
              </w:rPr>
              <w:t>Односторонняя ЭОП</w:t>
            </w:r>
          </w:p>
        </w:tc>
        <w:tc>
          <w:tcPr>
            <w:tcW w:w="2906" w:type="dxa"/>
            <w:vAlign w:val="center"/>
          </w:tcPr>
          <w:p w14:paraId="319E26CA" w14:textId="77777777" w:rsidR="004B38A6" w:rsidRPr="002B136D" w:rsidRDefault="004B38A6" w:rsidP="00DD33AE">
            <w:pPr>
              <w:contextualSpacing/>
              <w:jc w:val="both"/>
              <w:rPr>
                <w:rFonts w:cs="Times New Roman"/>
                <w:sz w:val="24"/>
                <w:szCs w:val="28"/>
              </w:rPr>
            </w:pPr>
            <w:r w:rsidRPr="002B136D">
              <w:rPr>
                <w:rFonts w:cs="Times New Roman"/>
                <w:sz w:val="24"/>
                <w:szCs w:val="28"/>
              </w:rPr>
              <w:t>13 (6,7%)</w:t>
            </w:r>
          </w:p>
        </w:tc>
        <w:tc>
          <w:tcPr>
            <w:tcW w:w="1672" w:type="dxa"/>
            <w:vAlign w:val="center"/>
          </w:tcPr>
          <w:p w14:paraId="1B42D147" w14:textId="77777777" w:rsidR="004B38A6" w:rsidRPr="002B136D" w:rsidRDefault="004B38A6" w:rsidP="00DD33AE">
            <w:pPr>
              <w:contextualSpacing/>
              <w:jc w:val="both"/>
              <w:rPr>
                <w:rFonts w:cs="Times New Roman"/>
                <w:sz w:val="24"/>
                <w:szCs w:val="28"/>
              </w:rPr>
            </w:pPr>
            <w:r w:rsidRPr="002B136D">
              <w:rPr>
                <w:rFonts w:cs="Times New Roman"/>
                <w:sz w:val="24"/>
                <w:szCs w:val="28"/>
                <w:lang w:val="en-US"/>
              </w:rPr>
              <w:t>4</w:t>
            </w:r>
          </w:p>
        </w:tc>
        <w:tc>
          <w:tcPr>
            <w:tcW w:w="1544" w:type="dxa"/>
            <w:vAlign w:val="center"/>
          </w:tcPr>
          <w:p w14:paraId="6D63459D" w14:textId="77777777" w:rsidR="004B38A6" w:rsidRPr="002B136D" w:rsidRDefault="004B38A6" w:rsidP="00DD33AE">
            <w:pPr>
              <w:contextualSpacing/>
              <w:jc w:val="both"/>
              <w:rPr>
                <w:rFonts w:cs="Times New Roman"/>
                <w:sz w:val="24"/>
                <w:szCs w:val="28"/>
              </w:rPr>
            </w:pPr>
            <w:r w:rsidRPr="002B136D">
              <w:rPr>
                <w:rFonts w:cs="Times New Roman"/>
                <w:sz w:val="24"/>
                <w:szCs w:val="28"/>
              </w:rPr>
              <w:t>9</w:t>
            </w:r>
          </w:p>
        </w:tc>
        <w:tc>
          <w:tcPr>
            <w:tcW w:w="1153" w:type="dxa"/>
            <w:vAlign w:val="center"/>
          </w:tcPr>
          <w:p w14:paraId="14729A6A" w14:textId="77777777" w:rsidR="004B38A6" w:rsidRPr="002B136D" w:rsidRDefault="004B38A6" w:rsidP="00DD33AE">
            <w:pPr>
              <w:contextualSpacing/>
              <w:jc w:val="both"/>
              <w:rPr>
                <w:rFonts w:cs="Times New Roman"/>
                <w:sz w:val="24"/>
                <w:szCs w:val="28"/>
              </w:rPr>
            </w:pPr>
            <w:r w:rsidRPr="002B136D">
              <w:rPr>
                <w:rFonts w:cs="Times New Roman"/>
                <w:sz w:val="24"/>
                <w:szCs w:val="28"/>
                <w:lang w:val="en-US"/>
              </w:rPr>
              <w:t>0.16</w:t>
            </w:r>
          </w:p>
        </w:tc>
      </w:tr>
      <w:tr w:rsidR="00D51D40" w:rsidRPr="002B136D" w14:paraId="4898142E" w14:textId="77777777" w:rsidTr="00AC7185">
        <w:tc>
          <w:tcPr>
            <w:tcW w:w="2364" w:type="dxa"/>
            <w:vAlign w:val="center"/>
          </w:tcPr>
          <w:p w14:paraId="42B01C99" w14:textId="77777777" w:rsidR="004B38A6" w:rsidRPr="002B136D" w:rsidRDefault="004B38A6" w:rsidP="00DD33AE">
            <w:pPr>
              <w:contextualSpacing/>
              <w:jc w:val="both"/>
              <w:rPr>
                <w:rFonts w:cs="Times New Roman"/>
                <w:sz w:val="24"/>
                <w:szCs w:val="28"/>
              </w:rPr>
            </w:pPr>
            <w:r w:rsidRPr="002B136D">
              <w:rPr>
                <w:rFonts w:cs="Times New Roman"/>
                <w:sz w:val="24"/>
                <w:szCs w:val="28"/>
              </w:rPr>
              <w:t>Внутриглазное давление</w:t>
            </w:r>
            <w:r w:rsidR="00414B9F" w:rsidRPr="002B136D">
              <w:rPr>
                <w:rFonts w:cs="Times New Roman"/>
                <w:sz w:val="24"/>
                <w:szCs w:val="28"/>
              </w:rPr>
              <w:t>/ мм</w:t>
            </w:r>
            <w:proofErr w:type="gramStart"/>
            <w:r w:rsidR="00414B9F" w:rsidRPr="002B136D">
              <w:rPr>
                <w:rFonts w:cs="Times New Roman"/>
                <w:sz w:val="24"/>
                <w:szCs w:val="28"/>
              </w:rPr>
              <w:t>.р</w:t>
            </w:r>
            <w:proofErr w:type="gramEnd"/>
            <w:r w:rsidR="00414B9F" w:rsidRPr="002B136D">
              <w:rPr>
                <w:rFonts w:cs="Times New Roman"/>
                <w:sz w:val="24"/>
                <w:szCs w:val="28"/>
              </w:rPr>
              <w:t xml:space="preserve">т. </w:t>
            </w:r>
            <w:proofErr w:type="gramStart"/>
            <w:r w:rsidR="00414B9F" w:rsidRPr="002B136D">
              <w:rPr>
                <w:rFonts w:cs="Times New Roman"/>
                <w:sz w:val="24"/>
                <w:szCs w:val="28"/>
              </w:rPr>
              <w:t>Ст</w:t>
            </w:r>
            <w:proofErr w:type="gramEnd"/>
          </w:p>
        </w:tc>
        <w:tc>
          <w:tcPr>
            <w:tcW w:w="2906" w:type="dxa"/>
            <w:vAlign w:val="center"/>
          </w:tcPr>
          <w:p w14:paraId="7945F2AB" w14:textId="77777777" w:rsidR="004B38A6" w:rsidRPr="002B136D" w:rsidRDefault="004B38A6" w:rsidP="00DD33AE">
            <w:pPr>
              <w:contextualSpacing/>
              <w:jc w:val="both"/>
              <w:rPr>
                <w:rFonts w:cs="Times New Roman"/>
                <w:sz w:val="24"/>
                <w:szCs w:val="28"/>
              </w:rPr>
            </w:pPr>
          </w:p>
        </w:tc>
        <w:tc>
          <w:tcPr>
            <w:tcW w:w="1672" w:type="dxa"/>
            <w:vAlign w:val="center"/>
          </w:tcPr>
          <w:p w14:paraId="0B7B8934" w14:textId="77777777" w:rsidR="004B38A6" w:rsidRPr="002B136D" w:rsidRDefault="004B38A6" w:rsidP="00DD33AE">
            <w:pPr>
              <w:contextualSpacing/>
              <w:jc w:val="both"/>
              <w:rPr>
                <w:rFonts w:cs="Times New Roman"/>
                <w:sz w:val="24"/>
                <w:szCs w:val="28"/>
              </w:rPr>
            </w:pPr>
            <w:r w:rsidRPr="002B136D">
              <w:rPr>
                <w:rFonts w:cs="Times New Roman"/>
                <w:sz w:val="24"/>
                <w:szCs w:val="28"/>
              </w:rPr>
              <w:t>18,5±6</w:t>
            </w:r>
          </w:p>
        </w:tc>
        <w:tc>
          <w:tcPr>
            <w:tcW w:w="1544" w:type="dxa"/>
            <w:vAlign w:val="center"/>
          </w:tcPr>
          <w:p w14:paraId="1D4B45C4" w14:textId="77777777" w:rsidR="004B38A6" w:rsidRPr="002B136D" w:rsidRDefault="004B38A6" w:rsidP="00DD33AE">
            <w:pPr>
              <w:contextualSpacing/>
              <w:jc w:val="both"/>
              <w:rPr>
                <w:rFonts w:cs="Times New Roman"/>
                <w:sz w:val="24"/>
                <w:szCs w:val="28"/>
              </w:rPr>
            </w:pPr>
            <w:r w:rsidRPr="002B136D">
              <w:rPr>
                <w:rFonts w:cs="Times New Roman"/>
                <w:sz w:val="24"/>
                <w:szCs w:val="28"/>
              </w:rPr>
              <w:t>17±4,8</w:t>
            </w:r>
          </w:p>
        </w:tc>
        <w:tc>
          <w:tcPr>
            <w:tcW w:w="1153" w:type="dxa"/>
            <w:vAlign w:val="center"/>
          </w:tcPr>
          <w:p w14:paraId="6BC03AAE" w14:textId="2237108F" w:rsidR="004B38A6" w:rsidRPr="002B136D" w:rsidRDefault="004B38A6" w:rsidP="00DD33AE">
            <w:pPr>
              <w:contextualSpacing/>
              <w:jc w:val="both"/>
              <w:rPr>
                <w:rFonts w:cs="Times New Roman"/>
                <w:sz w:val="24"/>
                <w:szCs w:val="28"/>
              </w:rPr>
            </w:pPr>
            <w:r w:rsidRPr="002B136D">
              <w:rPr>
                <w:rFonts w:cs="Times New Roman"/>
                <w:i/>
                <w:sz w:val="24"/>
                <w:szCs w:val="28"/>
              </w:rPr>
              <w:t>0,05</w:t>
            </w:r>
            <w:r w:rsidR="00A02090" w:rsidRPr="002B136D">
              <w:rPr>
                <w:rFonts w:cs="Times New Roman"/>
                <w:i/>
                <w:sz w:val="24"/>
                <w:szCs w:val="28"/>
              </w:rPr>
              <w:t>*</w:t>
            </w:r>
          </w:p>
        </w:tc>
      </w:tr>
      <w:tr w:rsidR="00D51D40" w:rsidRPr="002B136D" w14:paraId="11BEEC1F" w14:textId="77777777" w:rsidTr="00AC7185">
        <w:tc>
          <w:tcPr>
            <w:tcW w:w="9639" w:type="dxa"/>
            <w:gridSpan w:val="5"/>
            <w:vAlign w:val="center"/>
          </w:tcPr>
          <w:p w14:paraId="0D4B0301" w14:textId="77777777" w:rsidR="004B38A6" w:rsidRPr="002B136D" w:rsidRDefault="004B38A6" w:rsidP="00DD33AE">
            <w:pPr>
              <w:contextualSpacing/>
              <w:jc w:val="both"/>
              <w:rPr>
                <w:rFonts w:cs="Times New Roman"/>
                <w:sz w:val="24"/>
                <w:szCs w:val="28"/>
              </w:rPr>
            </w:pPr>
            <w:r w:rsidRPr="002B136D">
              <w:rPr>
                <w:rFonts w:cs="Times New Roman"/>
                <w:bCs/>
                <w:sz w:val="24"/>
                <w:szCs w:val="28"/>
              </w:rPr>
              <w:t>Экзофтальмометрия</w:t>
            </w:r>
          </w:p>
        </w:tc>
      </w:tr>
      <w:tr w:rsidR="00D51D40" w:rsidRPr="002B136D" w14:paraId="23055D67" w14:textId="77777777" w:rsidTr="00AC7185">
        <w:tc>
          <w:tcPr>
            <w:tcW w:w="2364" w:type="dxa"/>
            <w:vAlign w:val="center"/>
          </w:tcPr>
          <w:p w14:paraId="647521EC" w14:textId="2C058A87" w:rsidR="004B38A6" w:rsidRPr="002B136D" w:rsidRDefault="00A02090" w:rsidP="00AC7185">
            <w:pPr>
              <w:contextualSpacing/>
              <w:rPr>
                <w:rFonts w:cs="Times New Roman"/>
                <w:sz w:val="24"/>
                <w:szCs w:val="28"/>
              </w:rPr>
            </w:pPr>
            <w:r w:rsidRPr="002B136D">
              <w:rPr>
                <w:rFonts w:cs="Times New Roman"/>
                <w:sz w:val="24"/>
                <w:szCs w:val="28"/>
              </w:rPr>
              <w:t xml:space="preserve">     </w:t>
            </w:r>
            <w:r w:rsidR="004B38A6" w:rsidRPr="002B136D">
              <w:rPr>
                <w:rFonts w:cs="Times New Roman"/>
                <w:sz w:val="24"/>
                <w:szCs w:val="28"/>
              </w:rPr>
              <w:t>OD</w:t>
            </w:r>
          </w:p>
        </w:tc>
        <w:tc>
          <w:tcPr>
            <w:tcW w:w="2906" w:type="dxa"/>
            <w:vAlign w:val="center"/>
          </w:tcPr>
          <w:p w14:paraId="7CA35191" w14:textId="77777777" w:rsidR="004B38A6" w:rsidRPr="002B136D" w:rsidRDefault="004B38A6" w:rsidP="00DD33AE">
            <w:pPr>
              <w:contextualSpacing/>
              <w:jc w:val="both"/>
              <w:rPr>
                <w:rFonts w:cs="Times New Roman"/>
                <w:sz w:val="24"/>
                <w:szCs w:val="28"/>
              </w:rPr>
            </w:pPr>
            <w:r w:rsidRPr="002B136D">
              <w:rPr>
                <w:rFonts w:cs="Times New Roman"/>
                <w:sz w:val="24"/>
                <w:szCs w:val="28"/>
              </w:rPr>
              <w:t>20,7±3,4 мм</w:t>
            </w:r>
          </w:p>
        </w:tc>
        <w:tc>
          <w:tcPr>
            <w:tcW w:w="1672" w:type="dxa"/>
            <w:vAlign w:val="center"/>
          </w:tcPr>
          <w:p w14:paraId="207D2B07" w14:textId="77777777" w:rsidR="004B38A6" w:rsidRPr="002B136D" w:rsidRDefault="004B38A6" w:rsidP="00DD33AE">
            <w:pPr>
              <w:contextualSpacing/>
              <w:jc w:val="both"/>
              <w:rPr>
                <w:rFonts w:cs="Times New Roman"/>
                <w:sz w:val="24"/>
                <w:szCs w:val="28"/>
              </w:rPr>
            </w:pPr>
            <w:r w:rsidRPr="002B136D">
              <w:rPr>
                <w:rFonts w:cs="Times New Roman"/>
                <w:sz w:val="24"/>
                <w:szCs w:val="28"/>
              </w:rPr>
              <w:t>22,74±3,7мм.</w:t>
            </w:r>
          </w:p>
        </w:tc>
        <w:tc>
          <w:tcPr>
            <w:tcW w:w="1544" w:type="dxa"/>
            <w:vAlign w:val="center"/>
          </w:tcPr>
          <w:p w14:paraId="7CE86F0D" w14:textId="77777777" w:rsidR="004B38A6" w:rsidRPr="002B136D" w:rsidRDefault="004B38A6" w:rsidP="00DD33AE">
            <w:pPr>
              <w:contextualSpacing/>
              <w:jc w:val="both"/>
              <w:rPr>
                <w:rFonts w:cs="Times New Roman"/>
                <w:sz w:val="24"/>
                <w:szCs w:val="28"/>
              </w:rPr>
            </w:pPr>
            <w:r w:rsidRPr="002B136D">
              <w:rPr>
                <w:rFonts w:cs="Times New Roman"/>
                <w:sz w:val="24"/>
                <w:szCs w:val="28"/>
              </w:rPr>
              <w:t>19,8±2,9 мм</w:t>
            </w:r>
          </w:p>
        </w:tc>
        <w:tc>
          <w:tcPr>
            <w:tcW w:w="1153" w:type="dxa"/>
            <w:vAlign w:val="center"/>
          </w:tcPr>
          <w:p w14:paraId="7BF938CF" w14:textId="27181DA7" w:rsidR="004B38A6" w:rsidRPr="002B136D" w:rsidRDefault="004B38A6" w:rsidP="00DD33AE">
            <w:pPr>
              <w:contextualSpacing/>
              <w:jc w:val="both"/>
              <w:rPr>
                <w:rFonts w:cs="Times New Roman"/>
                <w:sz w:val="24"/>
                <w:szCs w:val="28"/>
              </w:rPr>
            </w:pPr>
            <w:r w:rsidRPr="002B136D">
              <w:rPr>
                <w:rFonts w:cs="Times New Roman"/>
                <w:sz w:val="24"/>
                <w:szCs w:val="28"/>
              </w:rPr>
              <w:t>&lt;0,001</w:t>
            </w:r>
            <w:r w:rsidR="00A02090" w:rsidRPr="002B136D">
              <w:rPr>
                <w:rFonts w:cs="Times New Roman"/>
                <w:sz w:val="24"/>
                <w:szCs w:val="28"/>
              </w:rPr>
              <w:t>*</w:t>
            </w:r>
          </w:p>
        </w:tc>
      </w:tr>
      <w:tr w:rsidR="00D51D40" w:rsidRPr="002B136D" w14:paraId="446F640C" w14:textId="77777777" w:rsidTr="00AC7185">
        <w:tc>
          <w:tcPr>
            <w:tcW w:w="2364" w:type="dxa"/>
            <w:vAlign w:val="center"/>
          </w:tcPr>
          <w:p w14:paraId="1FDD0A2B" w14:textId="2A94A512" w:rsidR="004B38A6" w:rsidRPr="002B136D" w:rsidRDefault="00A02090" w:rsidP="00AC7185">
            <w:pPr>
              <w:contextualSpacing/>
              <w:rPr>
                <w:rFonts w:cs="Times New Roman"/>
                <w:sz w:val="24"/>
                <w:szCs w:val="28"/>
              </w:rPr>
            </w:pPr>
            <w:r w:rsidRPr="002B136D">
              <w:rPr>
                <w:rFonts w:cs="Times New Roman"/>
                <w:sz w:val="24"/>
                <w:szCs w:val="28"/>
              </w:rPr>
              <w:t xml:space="preserve">     </w:t>
            </w:r>
            <w:r w:rsidR="004B38A6" w:rsidRPr="002B136D">
              <w:rPr>
                <w:rFonts w:cs="Times New Roman"/>
                <w:sz w:val="24"/>
                <w:szCs w:val="28"/>
              </w:rPr>
              <w:t>OS</w:t>
            </w:r>
          </w:p>
        </w:tc>
        <w:tc>
          <w:tcPr>
            <w:tcW w:w="2906" w:type="dxa"/>
            <w:vAlign w:val="center"/>
          </w:tcPr>
          <w:p w14:paraId="7DDBCD9D" w14:textId="77777777" w:rsidR="004B38A6" w:rsidRPr="002B136D" w:rsidRDefault="004B38A6" w:rsidP="00DD33AE">
            <w:pPr>
              <w:contextualSpacing/>
              <w:jc w:val="both"/>
              <w:rPr>
                <w:rFonts w:cs="Times New Roman"/>
                <w:sz w:val="24"/>
                <w:szCs w:val="28"/>
              </w:rPr>
            </w:pPr>
            <w:r w:rsidRPr="002B136D">
              <w:rPr>
                <w:rFonts w:cs="Times New Roman"/>
                <w:sz w:val="24"/>
                <w:szCs w:val="28"/>
              </w:rPr>
              <w:t>20,1±3,6 мм</w:t>
            </w:r>
          </w:p>
        </w:tc>
        <w:tc>
          <w:tcPr>
            <w:tcW w:w="1672" w:type="dxa"/>
            <w:vAlign w:val="center"/>
          </w:tcPr>
          <w:p w14:paraId="746BF080" w14:textId="77777777" w:rsidR="004B38A6" w:rsidRPr="002B136D" w:rsidRDefault="004B38A6" w:rsidP="00DD33AE">
            <w:pPr>
              <w:contextualSpacing/>
              <w:jc w:val="both"/>
              <w:rPr>
                <w:rFonts w:cs="Times New Roman"/>
                <w:sz w:val="24"/>
                <w:szCs w:val="28"/>
              </w:rPr>
            </w:pPr>
            <w:r w:rsidRPr="002B136D">
              <w:rPr>
                <w:rFonts w:cs="Times New Roman"/>
                <w:sz w:val="24"/>
                <w:szCs w:val="28"/>
              </w:rPr>
              <w:t>21,93±4,08мм.</w:t>
            </w:r>
          </w:p>
        </w:tc>
        <w:tc>
          <w:tcPr>
            <w:tcW w:w="1544" w:type="dxa"/>
            <w:vAlign w:val="center"/>
          </w:tcPr>
          <w:p w14:paraId="6BF65110" w14:textId="77777777" w:rsidR="004B38A6" w:rsidRPr="002B136D" w:rsidRDefault="004B38A6" w:rsidP="00DD33AE">
            <w:pPr>
              <w:contextualSpacing/>
              <w:jc w:val="both"/>
              <w:rPr>
                <w:rFonts w:cs="Times New Roman"/>
                <w:sz w:val="24"/>
                <w:szCs w:val="28"/>
              </w:rPr>
            </w:pPr>
            <w:r w:rsidRPr="002B136D">
              <w:rPr>
                <w:rFonts w:cs="Times New Roman"/>
                <w:sz w:val="24"/>
                <w:szCs w:val="28"/>
              </w:rPr>
              <w:t>19,3±3 мм</w:t>
            </w:r>
          </w:p>
        </w:tc>
        <w:tc>
          <w:tcPr>
            <w:tcW w:w="1153" w:type="dxa"/>
            <w:vAlign w:val="center"/>
          </w:tcPr>
          <w:p w14:paraId="6390C8AC" w14:textId="633659C5" w:rsidR="004B38A6" w:rsidRPr="002B136D" w:rsidRDefault="004B38A6" w:rsidP="00DD33AE">
            <w:pPr>
              <w:contextualSpacing/>
              <w:jc w:val="both"/>
              <w:rPr>
                <w:rFonts w:cs="Times New Roman"/>
                <w:sz w:val="24"/>
                <w:szCs w:val="28"/>
              </w:rPr>
            </w:pPr>
            <w:r w:rsidRPr="002B136D">
              <w:rPr>
                <w:rFonts w:cs="Times New Roman"/>
                <w:sz w:val="24"/>
                <w:szCs w:val="28"/>
              </w:rPr>
              <w:t>&lt;0,001</w:t>
            </w:r>
            <w:r w:rsidR="00A02090" w:rsidRPr="002B136D">
              <w:rPr>
                <w:rFonts w:cs="Times New Roman"/>
                <w:sz w:val="24"/>
                <w:szCs w:val="28"/>
              </w:rPr>
              <w:t>*</w:t>
            </w:r>
          </w:p>
        </w:tc>
      </w:tr>
      <w:tr w:rsidR="00D51D40" w:rsidRPr="002B136D" w14:paraId="304BA897" w14:textId="77777777" w:rsidTr="00AC7185">
        <w:tc>
          <w:tcPr>
            <w:tcW w:w="9639" w:type="dxa"/>
            <w:gridSpan w:val="5"/>
            <w:vAlign w:val="center"/>
          </w:tcPr>
          <w:p w14:paraId="005DF9FA" w14:textId="77777777" w:rsidR="004B38A6" w:rsidRPr="002B136D" w:rsidRDefault="004B38A6" w:rsidP="00AC7185">
            <w:pPr>
              <w:contextualSpacing/>
              <w:rPr>
                <w:rFonts w:cs="Times New Roman"/>
                <w:sz w:val="24"/>
                <w:szCs w:val="28"/>
              </w:rPr>
            </w:pPr>
            <w:r w:rsidRPr="002B136D">
              <w:rPr>
                <w:rFonts w:cs="Times New Roman"/>
                <w:bCs/>
                <w:sz w:val="24"/>
                <w:szCs w:val="28"/>
              </w:rPr>
              <w:t>Диплопия</w:t>
            </w:r>
          </w:p>
        </w:tc>
      </w:tr>
      <w:tr w:rsidR="00D51D40" w:rsidRPr="002B136D" w14:paraId="3DCDF0AB" w14:textId="77777777" w:rsidTr="00AC7185">
        <w:tc>
          <w:tcPr>
            <w:tcW w:w="2364" w:type="dxa"/>
            <w:vAlign w:val="center"/>
          </w:tcPr>
          <w:p w14:paraId="618F683F" w14:textId="5A83CE4E" w:rsidR="004B38A6" w:rsidRPr="002B136D" w:rsidRDefault="00A02090" w:rsidP="00AC7185">
            <w:pPr>
              <w:contextualSpacing/>
              <w:rPr>
                <w:rFonts w:cs="Times New Roman"/>
                <w:sz w:val="24"/>
                <w:szCs w:val="28"/>
              </w:rPr>
            </w:pPr>
            <w:r w:rsidRPr="002B136D">
              <w:rPr>
                <w:rFonts w:cs="Times New Roman"/>
                <w:sz w:val="24"/>
                <w:szCs w:val="28"/>
              </w:rPr>
              <w:t xml:space="preserve">     </w:t>
            </w:r>
            <w:r w:rsidR="004B38A6" w:rsidRPr="002B136D">
              <w:rPr>
                <w:rFonts w:cs="Times New Roman"/>
                <w:sz w:val="24"/>
                <w:szCs w:val="28"/>
              </w:rPr>
              <w:t>нет</w:t>
            </w:r>
          </w:p>
        </w:tc>
        <w:tc>
          <w:tcPr>
            <w:tcW w:w="2906" w:type="dxa"/>
            <w:vAlign w:val="center"/>
          </w:tcPr>
          <w:p w14:paraId="559F1460" w14:textId="77777777" w:rsidR="004B38A6" w:rsidRPr="002B136D" w:rsidRDefault="004B38A6" w:rsidP="00DD33AE">
            <w:pPr>
              <w:contextualSpacing/>
              <w:jc w:val="both"/>
              <w:rPr>
                <w:rFonts w:cs="Times New Roman"/>
                <w:sz w:val="24"/>
                <w:szCs w:val="28"/>
              </w:rPr>
            </w:pPr>
            <w:r w:rsidRPr="002B136D">
              <w:rPr>
                <w:rFonts w:cs="Times New Roman"/>
                <w:sz w:val="24"/>
                <w:szCs w:val="28"/>
              </w:rPr>
              <w:t>142</w:t>
            </w:r>
          </w:p>
        </w:tc>
        <w:tc>
          <w:tcPr>
            <w:tcW w:w="1672" w:type="dxa"/>
            <w:vAlign w:val="center"/>
          </w:tcPr>
          <w:p w14:paraId="52DD7865" w14:textId="77777777" w:rsidR="004B38A6" w:rsidRPr="002B136D" w:rsidRDefault="004B38A6" w:rsidP="00DD33AE">
            <w:pPr>
              <w:contextualSpacing/>
              <w:jc w:val="both"/>
              <w:rPr>
                <w:rFonts w:cs="Times New Roman"/>
                <w:sz w:val="24"/>
                <w:szCs w:val="28"/>
              </w:rPr>
            </w:pPr>
            <w:r w:rsidRPr="002B136D">
              <w:rPr>
                <w:rFonts w:cs="Times New Roman"/>
                <w:sz w:val="24"/>
                <w:szCs w:val="28"/>
              </w:rPr>
              <w:t>32 (55,2%)</w:t>
            </w:r>
          </w:p>
        </w:tc>
        <w:tc>
          <w:tcPr>
            <w:tcW w:w="1544" w:type="dxa"/>
            <w:vAlign w:val="center"/>
          </w:tcPr>
          <w:p w14:paraId="1560AC83" w14:textId="77777777" w:rsidR="004B38A6" w:rsidRPr="002B136D" w:rsidRDefault="004B38A6" w:rsidP="00DD33AE">
            <w:pPr>
              <w:contextualSpacing/>
              <w:jc w:val="both"/>
              <w:rPr>
                <w:rFonts w:cs="Times New Roman"/>
                <w:sz w:val="24"/>
                <w:szCs w:val="28"/>
              </w:rPr>
            </w:pPr>
            <w:r w:rsidRPr="002B136D">
              <w:rPr>
                <w:rFonts w:cs="Times New Roman"/>
                <w:sz w:val="24"/>
                <w:szCs w:val="28"/>
              </w:rPr>
              <w:t>110 (81,5%)</w:t>
            </w:r>
          </w:p>
        </w:tc>
        <w:tc>
          <w:tcPr>
            <w:tcW w:w="1153" w:type="dxa"/>
            <w:vAlign w:val="center"/>
          </w:tcPr>
          <w:p w14:paraId="38C6CDB2" w14:textId="371ECD0F" w:rsidR="004B38A6" w:rsidRPr="002B136D" w:rsidRDefault="004B38A6" w:rsidP="00DD33AE">
            <w:pPr>
              <w:contextualSpacing/>
              <w:jc w:val="both"/>
              <w:rPr>
                <w:rFonts w:cs="Times New Roman"/>
                <w:sz w:val="24"/>
                <w:szCs w:val="28"/>
              </w:rPr>
            </w:pPr>
            <w:r w:rsidRPr="002B136D">
              <w:rPr>
                <w:rFonts w:cs="Times New Roman"/>
                <w:sz w:val="24"/>
                <w:szCs w:val="28"/>
              </w:rPr>
              <w:t>&lt;0,001</w:t>
            </w:r>
            <w:r w:rsidR="00A02090" w:rsidRPr="002B136D">
              <w:rPr>
                <w:rFonts w:cs="Times New Roman"/>
                <w:sz w:val="24"/>
                <w:szCs w:val="28"/>
              </w:rPr>
              <w:t>*</w:t>
            </w:r>
          </w:p>
        </w:tc>
      </w:tr>
      <w:tr w:rsidR="00D51D40" w:rsidRPr="002B136D" w14:paraId="6C822D42" w14:textId="77777777" w:rsidTr="00AC7185">
        <w:tc>
          <w:tcPr>
            <w:tcW w:w="2364" w:type="dxa"/>
            <w:vAlign w:val="center"/>
          </w:tcPr>
          <w:p w14:paraId="2096A325" w14:textId="168E8DB7" w:rsidR="004B38A6" w:rsidRPr="002B136D" w:rsidRDefault="00A02090" w:rsidP="00AC7185">
            <w:pPr>
              <w:contextualSpacing/>
              <w:rPr>
                <w:rFonts w:cs="Times New Roman"/>
                <w:sz w:val="24"/>
                <w:szCs w:val="28"/>
              </w:rPr>
            </w:pPr>
            <w:r w:rsidRPr="002B136D">
              <w:rPr>
                <w:rFonts w:cs="Times New Roman"/>
                <w:sz w:val="24"/>
                <w:szCs w:val="28"/>
              </w:rPr>
              <w:t xml:space="preserve">     </w:t>
            </w:r>
            <w:r w:rsidR="004B38A6" w:rsidRPr="002B136D">
              <w:rPr>
                <w:rFonts w:cs="Times New Roman"/>
                <w:sz w:val="24"/>
                <w:szCs w:val="28"/>
              </w:rPr>
              <w:t>Периодическая</w:t>
            </w:r>
          </w:p>
        </w:tc>
        <w:tc>
          <w:tcPr>
            <w:tcW w:w="2906" w:type="dxa"/>
            <w:vAlign w:val="center"/>
          </w:tcPr>
          <w:p w14:paraId="4DFD7FCF" w14:textId="77777777" w:rsidR="004B38A6" w:rsidRPr="002B136D" w:rsidRDefault="004B38A6" w:rsidP="00DD33AE">
            <w:pPr>
              <w:contextualSpacing/>
              <w:jc w:val="both"/>
              <w:rPr>
                <w:rFonts w:cs="Times New Roman"/>
                <w:sz w:val="24"/>
                <w:szCs w:val="28"/>
              </w:rPr>
            </w:pPr>
            <w:r w:rsidRPr="002B136D">
              <w:rPr>
                <w:rFonts w:cs="Times New Roman"/>
                <w:sz w:val="24"/>
                <w:szCs w:val="28"/>
              </w:rPr>
              <w:t>6 (3,1%)</w:t>
            </w:r>
          </w:p>
        </w:tc>
        <w:tc>
          <w:tcPr>
            <w:tcW w:w="1672" w:type="dxa"/>
            <w:vAlign w:val="center"/>
          </w:tcPr>
          <w:p w14:paraId="111CF8FA" w14:textId="77777777" w:rsidR="004B38A6" w:rsidRPr="002B136D" w:rsidRDefault="004B38A6" w:rsidP="00DD33AE">
            <w:pPr>
              <w:contextualSpacing/>
              <w:jc w:val="both"/>
              <w:rPr>
                <w:rFonts w:cs="Times New Roman"/>
                <w:sz w:val="24"/>
                <w:szCs w:val="28"/>
              </w:rPr>
            </w:pPr>
            <w:r w:rsidRPr="002B136D">
              <w:rPr>
                <w:rFonts w:cs="Times New Roman"/>
                <w:sz w:val="24"/>
                <w:szCs w:val="28"/>
              </w:rPr>
              <w:t>2 (3,4%)</w:t>
            </w:r>
          </w:p>
        </w:tc>
        <w:tc>
          <w:tcPr>
            <w:tcW w:w="1544" w:type="dxa"/>
            <w:vAlign w:val="center"/>
          </w:tcPr>
          <w:p w14:paraId="1F883AF5" w14:textId="77777777" w:rsidR="004B38A6" w:rsidRPr="002B136D" w:rsidRDefault="004B38A6" w:rsidP="00DD33AE">
            <w:pPr>
              <w:contextualSpacing/>
              <w:jc w:val="both"/>
              <w:rPr>
                <w:rFonts w:cs="Times New Roman"/>
                <w:sz w:val="24"/>
                <w:szCs w:val="28"/>
              </w:rPr>
            </w:pPr>
            <w:r w:rsidRPr="002B136D">
              <w:rPr>
                <w:rFonts w:cs="Times New Roman"/>
                <w:sz w:val="24"/>
                <w:szCs w:val="28"/>
              </w:rPr>
              <w:t>4 (3%)</w:t>
            </w:r>
          </w:p>
        </w:tc>
        <w:tc>
          <w:tcPr>
            <w:tcW w:w="1153" w:type="dxa"/>
            <w:vAlign w:val="center"/>
          </w:tcPr>
          <w:p w14:paraId="484A7BF4" w14:textId="77777777" w:rsidR="004B38A6" w:rsidRPr="002B136D" w:rsidRDefault="004B38A6" w:rsidP="00DD33AE">
            <w:pPr>
              <w:contextualSpacing/>
              <w:jc w:val="both"/>
              <w:rPr>
                <w:rFonts w:cs="Times New Roman"/>
                <w:sz w:val="24"/>
                <w:szCs w:val="28"/>
              </w:rPr>
            </w:pPr>
            <w:r w:rsidRPr="002B136D">
              <w:rPr>
                <w:rFonts w:cs="Times New Roman"/>
                <w:sz w:val="24"/>
                <w:szCs w:val="28"/>
              </w:rPr>
              <w:t>0,4</w:t>
            </w:r>
          </w:p>
        </w:tc>
      </w:tr>
      <w:tr w:rsidR="00D51D40" w:rsidRPr="002B136D" w14:paraId="34CA4CC6" w14:textId="77777777" w:rsidTr="00AC7185">
        <w:tc>
          <w:tcPr>
            <w:tcW w:w="2364" w:type="dxa"/>
            <w:vAlign w:val="center"/>
          </w:tcPr>
          <w:p w14:paraId="590F3336" w14:textId="1FDA5D87" w:rsidR="004B38A6" w:rsidRPr="002B136D" w:rsidRDefault="00A02090" w:rsidP="00AC7185">
            <w:pPr>
              <w:contextualSpacing/>
              <w:rPr>
                <w:rFonts w:cs="Times New Roman"/>
                <w:sz w:val="24"/>
                <w:szCs w:val="28"/>
              </w:rPr>
            </w:pPr>
            <w:r w:rsidRPr="002B136D">
              <w:rPr>
                <w:rFonts w:cs="Times New Roman"/>
                <w:sz w:val="24"/>
                <w:szCs w:val="28"/>
              </w:rPr>
              <w:t xml:space="preserve">     </w:t>
            </w:r>
            <w:r w:rsidR="004B38A6" w:rsidRPr="002B136D">
              <w:rPr>
                <w:rFonts w:cs="Times New Roman"/>
                <w:sz w:val="24"/>
                <w:szCs w:val="28"/>
              </w:rPr>
              <w:t>Постоянная</w:t>
            </w:r>
          </w:p>
        </w:tc>
        <w:tc>
          <w:tcPr>
            <w:tcW w:w="2906" w:type="dxa"/>
            <w:vAlign w:val="center"/>
          </w:tcPr>
          <w:p w14:paraId="372C90BC" w14:textId="77777777" w:rsidR="004B38A6" w:rsidRPr="002B136D" w:rsidRDefault="004B38A6" w:rsidP="00DD33AE">
            <w:pPr>
              <w:contextualSpacing/>
              <w:jc w:val="both"/>
              <w:rPr>
                <w:rFonts w:cs="Times New Roman"/>
                <w:sz w:val="24"/>
                <w:szCs w:val="28"/>
              </w:rPr>
            </w:pPr>
            <w:r w:rsidRPr="002B136D">
              <w:rPr>
                <w:rFonts w:cs="Times New Roman"/>
                <w:sz w:val="24"/>
                <w:szCs w:val="28"/>
              </w:rPr>
              <w:t>44 (22,7%)</w:t>
            </w:r>
          </w:p>
        </w:tc>
        <w:tc>
          <w:tcPr>
            <w:tcW w:w="1672" w:type="dxa"/>
            <w:vAlign w:val="center"/>
          </w:tcPr>
          <w:p w14:paraId="43B94846" w14:textId="77777777" w:rsidR="004B38A6" w:rsidRPr="002B136D" w:rsidRDefault="004B38A6" w:rsidP="00DD33AE">
            <w:pPr>
              <w:contextualSpacing/>
              <w:jc w:val="both"/>
              <w:rPr>
                <w:rFonts w:cs="Times New Roman"/>
                <w:sz w:val="24"/>
                <w:szCs w:val="28"/>
              </w:rPr>
            </w:pPr>
            <w:r w:rsidRPr="002B136D">
              <w:rPr>
                <w:rFonts w:cs="Times New Roman"/>
                <w:sz w:val="24"/>
                <w:szCs w:val="28"/>
              </w:rPr>
              <w:t>23 (41,4%)</w:t>
            </w:r>
          </w:p>
        </w:tc>
        <w:tc>
          <w:tcPr>
            <w:tcW w:w="1544" w:type="dxa"/>
            <w:vAlign w:val="center"/>
          </w:tcPr>
          <w:p w14:paraId="36168650" w14:textId="77777777" w:rsidR="004B38A6" w:rsidRPr="002B136D" w:rsidRDefault="004B38A6" w:rsidP="00DD33AE">
            <w:pPr>
              <w:contextualSpacing/>
              <w:jc w:val="both"/>
              <w:rPr>
                <w:rFonts w:cs="Times New Roman"/>
                <w:sz w:val="24"/>
                <w:szCs w:val="28"/>
              </w:rPr>
            </w:pPr>
            <w:r w:rsidRPr="002B136D">
              <w:rPr>
                <w:rFonts w:cs="Times New Roman"/>
                <w:sz w:val="24"/>
                <w:szCs w:val="28"/>
              </w:rPr>
              <w:t>21 (15,6%)</w:t>
            </w:r>
          </w:p>
        </w:tc>
        <w:tc>
          <w:tcPr>
            <w:tcW w:w="1153" w:type="dxa"/>
            <w:vAlign w:val="center"/>
          </w:tcPr>
          <w:p w14:paraId="192B7F96" w14:textId="77777777" w:rsidR="004B38A6" w:rsidRPr="002B136D" w:rsidRDefault="004B38A6" w:rsidP="00DD33AE">
            <w:pPr>
              <w:contextualSpacing/>
              <w:jc w:val="both"/>
              <w:rPr>
                <w:rFonts w:cs="Times New Roman"/>
                <w:sz w:val="24"/>
                <w:szCs w:val="28"/>
              </w:rPr>
            </w:pPr>
            <w:r w:rsidRPr="002B136D">
              <w:rPr>
                <w:rFonts w:cs="Times New Roman"/>
                <w:sz w:val="24"/>
                <w:szCs w:val="28"/>
              </w:rPr>
              <w:t>0,7</w:t>
            </w:r>
          </w:p>
        </w:tc>
      </w:tr>
      <w:tr w:rsidR="00D51D40" w:rsidRPr="002B136D" w14:paraId="79AC67D0" w14:textId="77777777" w:rsidTr="00AC7185">
        <w:tc>
          <w:tcPr>
            <w:tcW w:w="2364" w:type="dxa"/>
            <w:vAlign w:val="center"/>
          </w:tcPr>
          <w:p w14:paraId="4FF01302" w14:textId="77777777" w:rsidR="004B38A6" w:rsidRPr="002B136D" w:rsidRDefault="004B38A6" w:rsidP="00DD33AE">
            <w:pPr>
              <w:contextualSpacing/>
              <w:jc w:val="both"/>
              <w:rPr>
                <w:rFonts w:cs="Times New Roman"/>
                <w:sz w:val="24"/>
                <w:szCs w:val="28"/>
              </w:rPr>
            </w:pPr>
            <w:r w:rsidRPr="002B136D">
              <w:rPr>
                <w:rFonts w:cs="Times New Roman"/>
                <w:sz w:val="24"/>
                <w:szCs w:val="28"/>
              </w:rPr>
              <w:t>Ретракция верхнего века</w:t>
            </w:r>
          </w:p>
        </w:tc>
        <w:tc>
          <w:tcPr>
            <w:tcW w:w="2906" w:type="dxa"/>
            <w:vAlign w:val="center"/>
          </w:tcPr>
          <w:p w14:paraId="48160DB7" w14:textId="77777777" w:rsidR="004B38A6" w:rsidRPr="002B136D" w:rsidRDefault="004B38A6" w:rsidP="00DD33AE">
            <w:pPr>
              <w:contextualSpacing/>
              <w:jc w:val="both"/>
              <w:rPr>
                <w:rFonts w:cs="Times New Roman"/>
                <w:sz w:val="24"/>
                <w:szCs w:val="28"/>
              </w:rPr>
            </w:pPr>
            <w:r w:rsidRPr="002B136D">
              <w:rPr>
                <w:rFonts w:cs="Times New Roman"/>
                <w:sz w:val="24"/>
                <w:szCs w:val="28"/>
              </w:rPr>
              <w:t>108 (56,5 %)</w:t>
            </w:r>
          </w:p>
        </w:tc>
        <w:tc>
          <w:tcPr>
            <w:tcW w:w="1672" w:type="dxa"/>
            <w:vAlign w:val="center"/>
          </w:tcPr>
          <w:p w14:paraId="11190518" w14:textId="77777777" w:rsidR="004B38A6" w:rsidRPr="002B136D" w:rsidRDefault="004B38A6" w:rsidP="00DD33AE">
            <w:pPr>
              <w:contextualSpacing/>
              <w:jc w:val="both"/>
              <w:rPr>
                <w:rFonts w:cs="Times New Roman"/>
                <w:sz w:val="24"/>
                <w:szCs w:val="28"/>
              </w:rPr>
            </w:pPr>
            <w:r w:rsidRPr="002B136D">
              <w:rPr>
                <w:rFonts w:cs="Times New Roman"/>
                <w:sz w:val="24"/>
                <w:szCs w:val="28"/>
              </w:rPr>
              <w:t>38</w:t>
            </w:r>
          </w:p>
        </w:tc>
        <w:tc>
          <w:tcPr>
            <w:tcW w:w="1544" w:type="dxa"/>
            <w:vAlign w:val="center"/>
          </w:tcPr>
          <w:p w14:paraId="07E51482" w14:textId="77777777" w:rsidR="004B38A6" w:rsidRPr="002B136D" w:rsidRDefault="004B38A6" w:rsidP="00DD33AE">
            <w:pPr>
              <w:contextualSpacing/>
              <w:jc w:val="both"/>
              <w:rPr>
                <w:rFonts w:cs="Times New Roman"/>
                <w:sz w:val="24"/>
                <w:szCs w:val="28"/>
              </w:rPr>
            </w:pPr>
            <w:r w:rsidRPr="002B136D">
              <w:rPr>
                <w:rFonts w:cs="Times New Roman"/>
                <w:sz w:val="24"/>
                <w:szCs w:val="28"/>
              </w:rPr>
              <w:t>70</w:t>
            </w:r>
          </w:p>
        </w:tc>
        <w:tc>
          <w:tcPr>
            <w:tcW w:w="1153" w:type="dxa"/>
            <w:vAlign w:val="center"/>
          </w:tcPr>
          <w:p w14:paraId="7A5067D6" w14:textId="33AD80E8" w:rsidR="004B38A6" w:rsidRPr="002B136D" w:rsidRDefault="004B38A6" w:rsidP="00DD33AE">
            <w:pPr>
              <w:contextualSpacing/>
              <w:jc w:val="both"/>
              <w:rPr>
                <w:rFonts w:cs="Times New Roman"/>
                <w:sz w:val="24"/>
                <w:szCs w:val="28"/>
              </w:rPr>
            </w:pPr>
            <w:r w:rsidRPr="002B136D">
              <w:rPr>
                <w:rFonts w:cs="Times New Roman"/>
                <w:sz w:val="24"/>
                <w:szCs w:val="28"/>
              </w:rPr>
              <w:t>0,002</w:t>
            </w:r>
            <w:r w:rsidR="00A02090" w:rsidRPr="002B136D">
              <w:rPr>
                <w:rFonts w:cs="Times New Roman"/>
                <w:sz w:val="24"/>
                <w:szCs w:val="28"/>
              </w:rPr>
              <w:t>*</w:t>
            </w:r>
          </w:p>
        </w:tc>
      </w:tr>
      <w:tr w:rsidR="001A2E09" w:rsidRPr="002B136D" w14:paraId="4B69BEDF" w14:textId="77777777" w:rsidTr="002B5069">
        <w:tc>
          <w:tcPr>
            <w:tcW w:w="9639" w:type="dxa"/>
            <w:gridSpan w:val="5"/>
            <w:vAlign w:val="center"/>
          </w:tcPr>
          <w:p w14:paraId="16F8372F" w14:textId="5C978DC8" w:rsidR="001A2E09" w:rsidRPr="002B136D" w:rsidRDefault="001A2E09" w:rsidP="001A2E09">
            <w:pPr>
              <w:ind w:firstLine="462"/>
              <w:jc w:val="both"/>
              <w:rPr>
                <w:rFonts w:cs="Times New Roman"/>
                <w:sz w:val="24"/>
                <w:szCs w:val="28"/>
              </w:rPr>
            </w:pPr>
            <w:r>
              <w:rPr>
                <w:rFonts w:cs="Times New Roman"/>
                <w:sz w:val="24"/>
                <w:szCs w:val="28"/>
              </w:rPr>
              <w:t xml:space="preserve">Примечание – Источник </w:t>
            </w:r>
            <w:r w:rsidRPr="002B136D">
              <w:rPr>
                <w:rFonts w:cs="Times New Roman"/>
                <w:sz w:val="24"/>
                <w:szCs w:val="28"/>
              </w:rPr>
              <w:t xml:space="preserve">* </w:t>
            </w:r>
            <w:proofErr w:type="gramStart"/>
            <w:r w:rsidRPr="002B136D">
              <w:rPr>
                <w:rFonts w:cs="Times New Roman"/>
                <w:sz w:val="24"/>
                <w:szCs w:val="28"/>
              </w:rPr>
              <w:t>р</w:t>
            </w:r>
            <w:proofErr w:type="gramEnd"/>
            <w:r w:rsidRPr="002B136D">
              <w:rPr>
                <w:rFonts w:cs="Times New Roman"/>
                <w:sz w:val="24"/>
                <w:szCs w:val="28"/>
              </w:rPr>
              <w:t>≤0,05</w:t>
            </w:r>
          </w:p>
        </w:tc>
      </w:tr>
    </w:tbl>
    <w:p w14:paraId="1B050A58" w14:textId="77777777" w:rsidR="001A2E09" w:rsidRDefault="001A2E09" w:rsidP="00DD33AE">
      <w:pPr>
        <w:spacing w:after="0" w:line="240" w:lineRule="auto"/>
        <w:ind w:firstLine="709"/>
        <w:contextualSpacing/>
        <w:jc w:val="both"/>
        <w:rPr>
          <w:rFonts w:cs="Times New Roman"/>
          <w:szCs w:val="28"/>
        </w:rPr>
      </w:pPr>
    </w:p>
    <w:p w14:paraId="6294A988" w14:textId="1EBAD729" w:rsidR="00A02090" w:rsidRPr="002B136D" w:rsidRDefault="00A02090" w:rsidP="001A2E09">
      <w:pPr>
        <w:spacing w:after="0" w:line="240" w:lineRule="auto"/>
        <w:ind w:firstLine="567"/>
        <w:contextualSpacing/>
        <w:jc w:val="both"/>
        <w:rPr>
          <w:rFonts w:cs="Times New Roman"/>
          <w:szCs w:val="28"/>
        </w:rPr>
      </w:pPr>
      <w:r w:rsidRPr="002B136D">
        <w:rPr>
          <w:rFonts w:cs="Times New Roman"/>
          <w:szCs w:val="28"/>
        </w:rPr>
        <w:t>Результаты оценки форм эндо</w:t>
      </w:r>
      <w:r w:rsidR="00950449" w:rsidRPr="002B136D">
        <w:rPr>
          <w:rFonts w:cs="Times New Roman"/>
          <w:szCs w:val="28"/>
        </w:rPr>
        <w:t xml:space="preserve">кринной офтальмопатии </w:t>
      </w:r>
      <w:r w:rsidR="0067708D">
        <w:rPr>
          <w:rFonts w:cs="Times New Roman"/>
          <w:szCs w:val="28"/>
        </w:rPr>
        <w:t xml:space="preserve">(таблица </w:t>
      </w:r>
      <w:r w:rsidR="00C35BFB">
        <w:rPr>
          <w:rFonts w:cs="Times New Roman"/>
          <w:szCs w:val="28"/>
        </w:rPr>
        <w:t>7</w:t>
      </w:r>
      <w:r w:rsidRPr="002B136D">
        <w:rPr>
          <w:rFonts w:cs="Times New Roman"/>
          <w:szCs w:val="28"/>
        </w:rPr>
        <w:t xml:space="preserve">), показали, что липогенная форма ЭОП, характеризующаяся отложением жировой ткани в орбите, встречалась у 33,60% пациентов. </w:t>
      </w:r>
    </w:p>
    <w:p w14:paraId="21D65B80" w14:textId="7BF434A5" w:rsidR="00A02090" w:rsidRPr="002B136D" w:rsidRDefault="00A02090" w:rsidP="001A2E09">
      <w:pPr>
        <w:spacing w:after="0" w:line="240" w:lineRule="auto"/>
        <w:ind w:firstLine="567"/>
        <w:contextualSpacing/>
        <w:jc w:val="both"/>
        <w:rPr>
          <w:rFonts w:cs="Times New Roman"/>
          <w:szCs w:val="28"/>
        </w:rPr>
      </w:pPr>
      <w:r w:rsidRPr="002B136D">
        <w:rPr>
          <w:rFonts w:cs="Times New Roman"/>
          <w:szCs w:val="28"/>
        </w:rPr>
        <w:lastRenderedPageBreak/>
        <w:t>Преобладание этой формы было более выражено у женщин (36,3%), по сравнению с мужчинами (27,6%), что подтверждается значением p&lt;0,001 и значением хи-квадрат (χ²=16,75), указывающим на статистическую значимость различий между полами.</w:t>
      </w:r>
    </w:p>
    <w:p w14:paraId="772C5CE2" w14:textId="77777777" w:rsidR="00A02090" w:rsidRPr="002B136D" w:rsidRDefault="00A02090" w:rsidP="001A2E09">
      <w:pPr>
        <w:spacing w:after="0" w:line="240" w:lineRule="auto"/>
        <w:ind w:firstLine="567"/>
        <w:contextualSpacing/>
        <w:jc w:val="both"/>
        <w:rPr>
          <w:rFonts w:cs="Times New Roman"/>
          <w:szCs w:val="28"/>
        </w:rPr>
      </w:pPr>
      <w:r w:rsidRPr="002B136D">
        <w:rPr>
          <w:rFonts w:cs="Times New Roman"/>
          <w:szCs w:val="28"/>
        </w:rPr>
        <w:t xml:space="preserve">Смешанная форма ЭОП, представляющая собой комбинацию воспалительных и фиброзных изменений, была идентифицирована у 34,10% пациентов. </w:t>
      </w:r>
    </w:p>
    <w:p w14:paraId="3780F16D" w14:textId="4E1B47CE" w:rsidR="00A02090" w:rsidRPr="002B136D" w:rsidRDefault="00744288" w:rsidP="001A2E09">
      <w:pPr>
        <w:spacing w:after="0" w:line="240" w:lineRule="auto"/>
        <w:ind w:firstLine="567"/>
        <w:contextualSpacing/>
        <w:jc w:val="both"/>
        <w:rPr>
          <w:rFonts w:cs="Times New Roman"/>
          <w:szCs w:val="28"/>
        </w:rPr>
      </w:pPr>
      <w:r w:rsidRPr="002B136D">
        <w:rPr>
          <w:rFonts w:cs="Times New Roman"/>
          <w:szCs w:val="28"/>
        </w:rPr>
        <w:t>Ч</w:t>
      </w:r>
      <w:r w:rsidR="00A02090" w:rsidRPr="002B136D">
        <w:rPr>
          <w:rFonts w:cs="Times New Roman"/>
          <w:szCs w:val="28"/>
        </w:rPr>
        <w:t>астота встречаемости среди женщин (37%) оказалась выше, чем среди мужчин (27,6%), с p&lt;0,001 и, что также свидетельствует о значимом половом различии.</w:t>
      </w:r>
    </w:p>
    <w:p w14:paraId="68BAB7B7" w14:textId="3F374456" w:rsidR="00A02090" w:rsidRPr="002B136D" w:rsidRDefault="00A02090" w:rsidP="001A2E09">
      <w:pPr>
        <w:spacing w:after="0" w:line="240" w:lineRule="auto"/>
        <w:ind w:firstLine="567"/>
        <w:contextualSpacing/>
        <w:jc w:val="both"/>
        <w:rPr>
          <w:rFonts w:cs="Times New Roman"/>
          <w:szCs w:val="28"/>
        </w:rPr>
      </w:pPr>
      <w:r w:rsidRPr="002B136D">
        <w:rPr>
          <w:rFonts w:cs="Times New Roman"/>
          <w:szCs w:val="28"/>
        </w:rPr>
        <w:t>Миогенная форма ЭОП, связанная с поражением глазных мышц, наблюдалась у 22,70% пациентов. Здесь уже наблюдается преобладание среди мужчин (39,7%) в сравнении с женщинами (15,6%), однако различие не является статистически значимым, что подтверждается p-значением 0,07.</w:t>
      </w:r>
    </w:p>
    <w:p w14:paraId="5E26CE81" w14:textId="77777777" w:rsidR="00A02090" w:rsidRPr="002B136D" w:rsidRDefault="00A02090" w:rsidP="001A2E09">
      <w:pPr>
        <w:spacing w:after="0" w:line="240" w:lineRule="auto"/>
        <w:ind w:firstLine="567"/>
        <w:contextualSpacing/>
        <w:jc w:val="both"/>
        <w:rPr>
          <w:rFonts w:cs="Times New Roman"/>
          <w:szCs w:val="28"/>
        </w:rPr>
      </w:pPr>
      <w:r w:rsidRPr="002B136D">
        <w:rPr>
          <w:rFonts w:cs="Times New Roman"/>
          <w:szCs w:val="28"/>
        </w:rPr>
        <w:t>Тиреотоксический спазм верхнего века был отмечен у 9,60% пациентов, при этом в таблице не представлены данные по половому распределению для этого показателя.</w:t>
      </w:r>
    </w:p>
    <w:p w14:paraId="5B0ED913" w14:textId="77777777" w:rsidR="00BE0CC3" w:rsidRPr="002B136D" w:rsidRDefault="00BE0CC3" w:rsidP="00DD33AE">
      <w:pPr>
        <w:spacing w:after="0" w:line="240" w:lineRule="auto"/>
        <w:ind w:firstLine="709"/>
        <w:contextualSpacing/>
        <w:jc w:val="both"/>
        <w:rPr>
          <w:rFonts w:cs="Times New Roman"/>
          <w:szCs w:val="28"/>
        </w:rPr>
      </w:pPr>
    </w:p>
    <w:p w14:paraId="72A53682" w14:textId="39B03B52" w:rsidR="003E0278" w:rsidRPr="001A2E09" w:rsidRDefault="00950449" w:rsidP="001A2E09">
      <w:pPr>
        <w:spacing w:after="0" w:line="240" w:lineRule="auto"/>
        <w:contextualSpacing/>
        <w:jc w:val="both"/>
        <w:rPr>
          <w:rFonts w:cs="Times New Roman"/>
          <w:bCs/>
          <w:szCs w:val="28"/>
        </w:rPr>
      </w:pPr>
      <w:r w:rsidRPr="001A2E09">
        <w:rPr>
          <w:rFonts w:cs="Times New Roman"/>
          <w:bCs/>
          <w:szCs w:val="28"/>
          <w:lang w:val="kk-KZ"/>
        </w:rPr>
        <w:t xml:space="preserve">Таблица </w:t>
      </w:r>
      <w:r w:rsidR="00C35BFB">
        <w:rPr>
          <w:rFonts w:cs="Times New Roman"/>
          <w:bCs/>
          <w:szCs w:val="28"/>
          <w:lang w:val="kk-KZ"/>
        </w:rPr>
        <w:t>7</w:t>
      </w:r>
      <w:r w:rsidR="001A2E09" w:rsidRPr="001A2E09">
        <w:rPr>
          <w:rFonts w:cs="Times New Roman"/>
          <w:bCs/>
          <w:szCs w:val="28"/>
          <w:lang w:val="kk-KZ"/>
        </w:rPr>
        <w:t xml:space="preserve"> - </w:t>
      </w:r>
      <w:r w:rsidR="003E0278" w:rsidRPr="001A2E09">
        <w:rPr>
          <w:rFonts w:cs="Times New Roman"/>
          <w:bCs/>
          <w:szCs w:val="28"/>
        </w:rPr>
        <w:t>Результаты оценки различных форм эндокринной офтальмопатии</w:t>
      </w:r>
    </w:p>
    <w:p w14:paraId="61F949D1" w14:textId="77777777" w:rsidR="001A2E09" w:rsidRPr="002B136D" w:rsidRDefault="001A2E09" w:rsidP="001A2E09">
      <w:pPr>
        <w:spacing w:after="0" w:line="240" w:lineRule="auto"/>
        <w:contextualSpacing/>
        <w:jc w:val="both"/>
        <w:rPr>
          <w:rFonts w:cs="Times New Roman"/>
          <w:b/>
          <w:szCs w:val="28"/>
        </w:rPr>
      </w:pPr>
    </w:p>
    <w:tbl>
      <w:tblPr>
        <w:tblStyle w:val="ac"/>
        <w:tblW w:w="0" w:type="auto"/>
        <w:tblInd w:w="108" w:type="dxa"/>
        <w:tblLook w:val="04A0" w:firstRow="1" w:lastRow="0" w:firstColumn="1" w:lastColumn="0" w:noHBand="0" w:noVBand="1"/>
      </w:tblPr>
      <w:tblGrid>
        <w:gridCol w:w="3544"/>
        <w:gridCol w:w="2018"/>
        <w:gridCol w:w="1418"/>
        <w:gridCol w:w="1417"/>
        <w:gridCol w:w="1242"/>
      </w:tblGrid>
      <w:tr w:rsidR="00D51D40" w:rsidRPr="002B136D" w14:paraId="703E82E6" w14:textId="77777777" w:rsidTr="001A2E09">
        <w:tc>
          <w:tcPr>
            <w:tcW w:w="3544" w:type="dxa"/>
          </w:tcPr>
          <w:p w14:paraId="16750F2A" w14:textId="77777777" w:rsidR="003E0278" w:rsidRPr="002B136D" w:rsidRDefault="003E0278" w:rsidP="00DD33AE">
            <w:pPr>
              <w:contextualSpacing/>
              <w:jc w:val="both"/>
              <w:rPr>
                <w:rFonts w:cs="Times New Roman"/>
                <w:sz w:val="24"/>
                <w:szCs w:val="28"/>
              </w:rPr>
            </w:pPr>
            <w:r w:rsidRPr="002B136D">
              <w:rPr>
                <w:rFonts w:cs="Times New Roman"/>
                <w:sz w:val="24"/>
                <w:szCs w:val="28"/>
              </w:rPr>
              <w:t>Характеристики</w:t>
            </w:r>
          </w:p>
        </w:tc>
        <w:tc>
          <w:tcPr>
            <w:tcW w:w="2018" w:type="dxa"/>
          </w:tcPr>
          <w:p w14:paraId="23D369DE" w14:textId="77777777" w:rsidR="003E0278" w:rsidRPr="002B136D" w:rsidRDefault="003E0278" w:rsidP="00DD33AE">
            <w:pPr>
              <w:contextualSpacing/>
              <w:jc w:val="both"/>
              <w:rPr>
                <w:rFonts w:cs="Times New Roman"/>
                <w:sz w:val="24"/>
                <w:szCs w:val="28"/>
              </w:rPr>
            </w:pPr>
            <w:r w:rsidRPr="002B136D">
              <w:rPr>
                <w:rFonts w:cs="Times New Roman"/>
                <w:sz w:val="24"/>
                <w:szCs w:val="28"/>
              </w:rPr>
              <w:t>Количество пациентов n=193</w:t>
            </w:r>
          </w:p>
        </w:tc>
        <w:tc>
          <w:tcPr>
            <w:tcW w:w="1418" w:type="dxa"/>
          </w:tcPr>
          <w:p w14:paraId="0091388D" w14:textId="77777777" w:rsidR="003E0278" w:rsidRPr="002B136D" w:rsidRDefault="003E0278" w:rsidP="00DD33AE">
            <w:pPr>
              <w:contextualSpacing/>
              <w:jc w:val="both"/>
              <w:rPr>
                <w:rFonts w:cs="Times New Roman"/>
                <w:sz w:val="24"/>
                <w:szCs w:val="28"/>
              </w:rPr>
            </w:pPr>
            <w:r w:rsidRPr="002B136D">
              <w:rPr>
                <w:rFonts w:cs="Times New Roman"/>
                <w:sz w:val="24"/>
                <w:szCs w:val="28"/>
              </w:rPr>
              <w:t>Мужчины</w:t>
            </w:r>
          </w:p>
        </w:tc>
        <w:tc>
          <w:tcPr>
            <w:tcW w:w="1417" w:type="dxa"/>
          </w:tcPr>
          <w:p w14:paraId="5E3336F6" w14:textId="77777777" w:rsidR="003E0278" w:rsidRPr="002B136D" w:rsidRDefault="003E0278" w:rsidP="00DD33AE">
            <w:pPr>
              <w:contextualSpacing/>
              <w:jc w:val="both"/>
              <w:rPr>
                <w:rFonts w:cs="Times New Roman"/>
                <w:sz w:val="24"/>
                <w:szCs w:val="28"/>
              </w:rPr>
            </w:pPr>
            <w:r w:rsidRPr="002B136D">
              <w:rPr>
                <w:rFonts w:cs="Times New Roman"/>
                <w:sz w:val="24"/>
                <w:szCs w:val="28"/>
              </w:rPr>
              <w:t>Женщины</w:t>
            </w:r>
          </w:p>
        </w:tc>
        <w:tc>
          <w:tcPr>
            <w:tcW w:w="1242" w:type="dxa"/>
          </w:tcPr>
          <w:p w14:paraId="6DD06EFB" w14:textId="19831906" w:rsidR="003E0278" w:rsidRPr="002B136D" w:rsidRDefault="003E0278" w:rsidP="00DD33AE">
            <w:pPr>
              <w:contextualSpacing/>
              <w:jc w:val="both"/>
              <w:rPr>
                <w:rFonts w:cs="Times New Roman"/>
                <w:sz w:val="24"/>
                <w:szCs w:val="28"/>
              </w:rPr>
            </w:pPr>
            <w:proofErr w:type="gramStart"/>
            <w:r w:rsidRPr="002B136D">
              <w:rPr>
                <w:rFonts w:cs="Times New Roman"/>
                <w:sz w:val="24"/>
                <w:szCs w:val="28"/>
              </w:rPr>
              <w:t>р</w:t>
            </w:r>
            <w:proofErr w:type="gramEnd"/>
          </w:p>
        </w:tc>
      </w:tr>
      <w:tr w:rsidR="00D51D40" w:rsidRPr="002B136D" w14:paraId="7950D535" w14:textId="77777777" w:rsidTr="001A2E09">
        <w:trPr>
          <w:trHeight w:val="70"/>
        </w:trPr>
        <w:tc>
          <w:tcPr>
            <w:tcW w:w="3544" w:type="dxa"/>
          </w:tcPr>
          <w:p w14:paraId="2930AB2A" w14:textId="77777777" w:rsidR="003E0278" w:rsidRPr="002B136D" w:rsidRDefault="003E0278" w:rsidP="00DD33AE">
            <w:pPr>
              <w:contextualSpacing/>
              <w:jc w:val="both"/>
              <w:rPr>
                <w:rFonts w:cs="Times New Roman"/>
                <w:sz w:val="24"/>
                <w:szCs w:val="28"/>
              </w:rPr>
            </w:pPr>
            <w:r w:rsidRPr="002B136D">
              <w:rPr>
                <w:rFonts w:cs="Times New Roman"/>
                <w:sz w:val="24"/>
                <w:szCs w:val="28"/>
              </w:rPr>
              <w:t>Липогенная</w:t>
            </w:r>
          </w:p>
        </w:tc>
        <w:tc>
          <w:tcPr>
            <w:tcW w:w="2018" w:type="dxa"/>
          </w:tcPr>
          <w:p w14:paraId="4B233C9B" w14:textId="77777777" w:rsidR="003E0278" w:rsidRPr="002B136D" w:rsidRDefault="003E0278" w:rsidP="00DD33AE">
            <w:pPr>
              <w:contextualSpacing/>
              <w:jc w:val="both"/>
              <w:rPr>
                <w:rFonts w:cs="Times New Roman"/>
                <w:sz w:val="24"/>
                <w:szCs w:val="28"/>
              </w:rPr>
            </w:pPr>
            <w:r w:rsidRPr="002B136D">
              <w:rPr>
                <w:rFonts w:cs="Times New Roman"/>
                <w:sz w:val="24"/>
                <w:szCs w:val="28"/>
              </w:rPr>
              <w:t>33,6%</w:t>
            </w:r>
          </w:p>
        </w:tc>
        <w:tc>
          <w:tcPr>
            <w:tcW w:w="1418" w:type="dxa"/>
          </w:tcPr>
          <w:p w14:paraId="21D8D1B0" w14:textId="77777777" w:rsidR="003E0278" w:rsidRPr="002B136D" w:rsidRDefault="003E0278" w:rsidP="00DD33AE">
            <w:pPr>
              <w:contextualSpacing/>
              <w:jc w:val="both"/>
              <w:rPr>
                <w:rFonts w:cs="Times New Roman"/>
                <w:sz w:val="24"/>
                <w:szCs w:val="28"/>
              </w:rPr>
            </w:pPr>
            <w:r w:rsidRPr="002B136D">
              <w:rPr>
                <w:rFonts w:cs="Times New Roman"/>
                <w:sz w:val="24"/>
                <w:szCs w:val="28"/>
              </w:rPr>
              <w:t>16 (27,6 %)</w:t>
            </w:r>
          </w:p>
        </w:tc>
        <w:tc>
          <w:tcPr>
            <w:tcW w:w="1417" w:type="dxa"/>
          </w:tcPr>
          <w:p w14:paraId="15F11C70" w14:textId="77777777" w:rsidR="003E0278" w:rsidRPr="002B136D" w:rsidRDefault="003E0278" w:rsidP="00DD33AE">
            <w:pPr>
              <w:contextualSpacing/>
              <w:jc w:val="both"/>
              <w:rPr>
                <w:rFonts w:cs="Times New Roman"/>
                <w:sz w:val="24"/>
                <w:szCs w:val="28"/>
              </w:rPr>
            </w:pPr>
            <w:r w:rsidRPr="002B136D">
              <w:rPr>
                <w:rFonts w:cs="Times New Roman"/>
                <w:sz w:val="24"/>
                <w:szCs w:val="28"/>
              </w:rPr>
              <w:t>49 (36,3%)</w:t>
            </w:r>
          </w:p>
        </w:tc>
        <w:tc>
          <w:tcPr>
            <w:tcW w:w="1242" w:type="dxa"/>
          </w:tcPr>
          <w:p w14:paraId="5DDCC3CF" w14:textId="5B293300" w:rsidR="003E0278" w:rsidRPr="002B136D" w:rsidRDefault="003E0278" w:rsidP="00DD33AE">
            <w:pPr>
              <w:contextualSpacing/>
              <w:jc w:val="both"/>
              <w:rPr>
                <w:rFonts w:cs="Times New Roman"/>
                <w:sz w:val="24"/>
                <w:szCs w:val="28"/>
              </w:rPr>
            </w:pPr>
            <w:r w:rsidRPr="002B136D">
              <w:rPr>
                <w:rFonts w:cs="Times New Roman"/>
                <w:sz w:val="24"/>
                <w:szCs w:val="28"/>
              </w:rPr>
              <w:t>&lt;0,001*</w:t>
            </w:r>
          </w:p>
        </w:tc>
      </w:tr>
      <w:tr w:rsidR="00D51D40" w:rsidRPr="002B136D" w14:paraId="32C8DE37" w14:textId="77777777" w:rsidTr="001A2E09">
        <w:tc>
          <w:tcPr>
            <w:tcW w:w="3544" w:type="dxa"/>
          </w:tcPr>
          <w:p w14:paraId="2D103982" w14:textId="77777777" w:rsidR="003E0278" w:rsidRPr="002B136D" w:rsidRDefault="003E0278" w:rsidP="00DD33AE">
            <w:pPr>
              <w:contextualSpacing/>
              <w:jc w:val="both"/>
              <w:rPr>
                <w:rFonts w:cs="Times New Roman"/>
                <w:sz w:val="24"/>
                <w:szCs w:val="28"/>
              </w:rPr>
            </w:pPr>
            <w:r w:rsidRPr="002B136D">
              <w:rPr>
                <w:rFonts w:cs="Times New Roman"/>
                <w:sz w:val="24"/>
                <w:szCs w:val="28"/>
              </w:rPr>
              <w:t>Смешанная</w:t>
            </w:r>
          </w:p>
        </w:tc>
        <w:tc>
          <w:tcPr>
            <w:tcW w:w="2018" w:type="dxa"/>
          </w:tcPr>
          <w:p w14:paraId="627AEF64" w14:textId="77777777" w:rsidR="003E0278" w:rsidRPr="002B136D" w:rsidRDefault="003E0278" w:rsidP="00DD33AE">
            <w:pPr>
              <w:contextualSpacing/>
              <w:jc w:val="both"/>
              <w:rPr>
                <w:rFonts w:cs="Times New Roman"/>
                <w:sz w:val="24"/>
                <w:szCs w:val="28"/>
              </w:rPr>
            </w:pPr>
            <w:r w:rsidRPr="002B136D">
              <w:rPr>
                <w:rFonts w:cs="Times New Roman"/>
                <w:sz w:val="24"/>
                <w:szCs w:val="28"/>
              </w:rPr>
              <w:t>34,1%</w:t>
            </w:r>
          </w:p>
        </w:tc>
        <w:tc>
          <w:tcPr>
            <w:tcW w:w="1418" w:type="dxa"/>
          </w:tcPr>
          <w:p w14:paraId="213EADE4" w14:textId="77777777" w:rsidR="003E0278" w:rsidRPr="002B136D" w:rsidRDefault="003E0278" w:rsidP="00DD33AE">
            <w:pPr>
              <w:contextualSpacing/>
              <w:jc w:val="both"/>
              <w:rPr>
                <w:rFonts w:cs="Times New Roman"/>
                <w:sz w:val="24"/>
                <w:szCs w:val="28"/>
              </w:rPr>
            </w:pPr>
            <w:r w:rsidRPr="002B136D">
              <w:rPr>
                <w:rFonts w:cs="Times New Roman"/>
                <w:sz w:val="24"/>
                <w:szCs w:val="28"/>
              </w:rPr>
              <w:t>16 (27,6 %)</w:t>
            </w:r>
          </w:p>
        </w:tc>
        <w:tc>
          <w:tcPr>
            <w:tcW w:w="1417" w:type="dxa"/>
          </w:tcPr>
          <w:p w14:paraId="7CA1C024" w14:textId="77777777" w:rsidR="003E0278" w:rsidRPr="002B136D" w:rsidRDefault="003E0278" w:rsidP="00DD33AE">
            <w:pPr>
              <w:contextualSpacing/>
              <w:jc w:val="both"/>
              <w:rPr>
                <w:rFonts w:cs="Times New Roman"/>
                <w:sz w:val="24"/>
                <w:szCs w:val="28"/>
              </w:rPr>
            </w:pPr>
            <w:r w:rsidRPr="002B136D">
              <w:rPr>
                <w:rFonts w:cs="Times New Roman"/>
                <w:sz w:val="24"/>
                <w:szCs w:val="28"/>
              </w:rPr>
              <w:t>50 (37 %)</w:t>
            </w:r>
          </w:p>
        </w:tc>
        <w:tc>
          <w:tcPr>
            <w:tcW w:w="1242" w:type="dxa"/>
          </w:tcPr>
          <w:p w14:paraId="64552DBF" w14:textId="718F988C" w:rsidR="003E0278" w:rsidRPr="002B136D" w:rsidRDefault="003E0278" w:rsidP="00DD33AE">
            <w:pPr>
              <w:contextualSpacing/>
              <w:jc w:val="both"/>
              <w:rPr>
                <w:rFonts w:cs="Times New Roman"/>
                <w:sz w:val="24"/>
                <w:szCs w:val="28"/>
              </w:rPr>
            </w:pPr>
            <w:r w:rsidRPr="002B136D">
              <w:rPr>
                <w:rFonts w:cs="Times New Roman"/>
                <w:sz w:val="24"/>
                <w:szCs w:val="28"/>
              </w:rPr>
              <w:t xml:space="preserve">&lt;0,001* </w:t>
            </w:r>
          </w:p>
        </w:tc>
      </w:tr>
      <w:tr w:rsidR="00D51D40" w:rsidRPr="002B136D" w14:paraId="25F18A8E" w14:textId="77777777" w:rsidTr="001A2E09">
        <w:tc>
          <w:tcPr>
            <w:tcW w:w="3544" w:type="dxa"/>
          </w:tcPr>
          <w:p w14:paraId="5F01B80C" w14:textId="77777777" w:rsidR="003E0278" w:rsidRPr="002B136D" w:rsidRDefault="003E0278" w:rsidP="00DD33AE">
            <w:pPr>
              <w:contextualSpacing/>
              <w:jc w:val="both"/>
              <w:rPr>
                <w:rFonts w:cs="Times New Roman"/>
                <w:sz w:val="24"/>
                <w:szCs w:val="28"/>
              </w:rPr>
            </w:pPr>
            <w:r w:rsidRPr="002B136D">
              <w:rPr>
                <w:rFonts w:cs="Times New Roman"/>
                <w:sz w:val="24"/>
                <w:szCs w:val="28"/>
              </w:rPr>
              <w:t>Миогенная</w:t>
            </w:r>
          </w:p>
        </w:tc>
        <w:tc>
          <w:tcPr>
            <w:tcW w:w="2018" w:type="dxa"/>
          </w:tcPr>
          <w:p w14:paraId="5FFE9CEB" w14:textId="77777777" w:rsidR="003E0278" w:rsidRPr="002B136D" w:rsidRDefault="003E0278" w:rsidP="00DD33AE">
            <w:pPr>
              <w:contextualSpacing/>
              <w:jc w:val="both"/>
              <w:rPr>
                <w:rFonts w:cs="Times New Roman"/>
                <w:sz w:val="24"/>
                <w:szCs w:val="28"/>
              </w:rPr>
            </w:pPr>
            <w:r w:rsidRPr="002B136D">
              <w:rPr>
                <w:rFonts w:cs="Times New Roman"/>
                <w:sz w:val="24"/>
                <w:szCs w:val="28"/>
              </w:rPr>
              <w:t>22,7%</w:t>
            </w:r>
          </w:p>
        </w:tc>
        <w:tc>
          <w:tcPr>
            <w:tcW w:w="1418" w:type="dxa"/>
          </w:tcPr>
          <w:p w14:paraId="45D6C72D" w14:textId="77777777" w:rsidR="003E0278" w:rsidRPr="002B136D" w:rsidRDefault="003E0278" w:rsidP="00DD33AE">
            <w:pPr>
              <w:contextualSpacing/>
              <w:jc w:val="both"/>
              <w:rPr>
                <w:rFonts w:cs="Times New Roman"/>
                <w:sz w:val="24"/>
                <w:szCs w:val="28"/>
              </w:rPr>
            </w:pPr>
            <w:r w:rsidRPr="002B136D">
              <w:rPr>
                <w:rFonts w:cs="Times New Roman"/>
                <w:sz w:val="24"/>
                <w:szCs w:val="28"/>
              </w:rPr>
              <w:t>28 (39,7 %)</w:t>
            </w:r>
          </w:p>
        </w:tc>
        <w:tc>
          <w:tcPr>
            <w:tcW w:w="1417" w:type="dxa"/>
          </w:tcPr>
          <w:p w14:paraId="5BA3E116" w14:textId="77777777" w:rsidR="003E0278" w:rsidRPr="002B136D" w:rsidRDefault="003E0278" w:rsidP="00DD33AE">
            <w:pPr>
              <w:contextualSpacing/>
              <w:jc w:val="both"/>
              <w:rPr>
                <w:rFonts w:cs="Times New Roman"/>
                <w:sz w:val="24"/>
                <w:szCs w:val="28"/>
              </w:rPr>
            </w:pPr>
            <w:r w:rsidRPr="002B136D">
              <w:rPr>
                <w:rFonts w:cs="Times New Roman"/>
                <w:sz w:val="24"/>
                <w:szCs w:val="28"/>
              </w:rPr>
              <w:t>16 (15,6 %)</w:t>
            </w:r>
          </w:p>
        </w:tc>
        <w:tc>
          <w:tcPr>
            <w:tcW w:w="1242" w:type="dxa"/>
          </w:tcPr>
          <w:p w14:paraId="4E1565DC" w14:textId="56966A0E" w:rsidR="003E0278" w:rsidRPr="002B136D" w:rsidRDefault="003E0278" w:rsidP="00DD33AE">
            <w:pPr>
              <w:contextualSpacing/>
              <w:jc w:val="both"/>
              <w:rPr>
                <w:rFonts w:cs="Times New Roman"/>
                <w:sz w:val="24"/>
                <w:szCs w:val="28"/>
              </w:rPr>
            </w:pPr>
            <w:r w:rsidRPr="002B136D">
              <w:rPr>
                <w:rFonts w:cs="Times New Roman"/>
                <w:sz w:val="24"/>
                <w:szCs w:val="28"/>
              </w:rPr>
              <w:t>0,07</w:t>
            </w:r>
          </w:p>
        </w:tc>
      </w:tr>
      <w:tr w:rsidR="00D51D40" w:rsidRPr="002B136D" w14:paraId="6E644D80" w14:textId="77777777" w:rsidTr="001A2E09">
        <w:tc>
          <w:tcPr>
            <w:tcW w:w="3544" w:type="dxa"/>
          </w:tcPr>
          <w:p w14:paraId="3E5D3710" w14:textId="77777777" w:rsidR="003E0278" w:rsidRPr="002B136D" w:rsidRDefault="003E0278" w:rsidP="00DD33AE">
            <w:pPr>
              <w:contextualSpacing/>
              <w:jc w:val="both"/>
              <w:rPr>
                <w:rFonts w:cs="Times New Roman"/>
                <w:sz w:val="24"/>
                <w:szCs w:val="28"/>
              </w:rPr>
            </w:pPr>
            <w:r w:rsidRPr="002B136D">
              <w:rPr>
                <w:rFonts w:cs="Times New Roman"/>
                <w:sz w:val="24"/>
                <w:szCs w:val="28"/>
              </w:rPr>
              <w:t>Тиреотоксический спазм мышцы в/века</w:t>
            </w:r>
          </w:p>
        </w:tc>
        <w:tc>
          <w:tcPr>
            <w:tcW w:w="2018" w:type="dxa"/>
          </w:tcPr>
          <w:p w14:paraId="1916339C" w14:textId="77777777" w:rsidR="003E0278" w:rsidRPr="002B136D" w:rsidRDefault="003E0278" w:rsidP="00DD33AE">
            <w:pPr>
              <w:contextualSpacing/>
              <w:jc w:val="both"/>
              <w:rPr>
                <w:rFonts w:cs="Times New Roman"/>
                <w:sz w:val="24"/>
                <w:szCs w:val="28"/>
              </w:rPr>
            </w:pPr>
            <w:r w:rsidRPr="002B136D">
              <w:rPr>
                <w:rFonts w:cs="Times New Roman"/>
                <w:sz w:val="24"/>
                <w:szCs w:val="28"/>
              </w:rPr>
              <w:t>9,6%</w:t>
            </w:r>
          </w:p>
        </w:tc>
        <w:tc>
          <w:tcPr>
            <w:tcW w:w="1418" w:type="dxa"/>
          </w:tcPr>
          <w:p w14:paraId="03C6B680" w14:textId="77777777" w:rsidR="003E0278" w:rsidRPr="002B136D" w:rsidRDefault="003E0278" w:rsidP="00DD33AE">
            <w:pPr>
              <w:contextualSpacing/>
              <w:jc w:val="both"/>
              <w:rPr>
                <w:rFonts w:cs="Times New Roman"/>
                <w:sz w:val="24"/>
                <w:szCs w:val="28"/>
              </w:rPr>
            </w:pPr>
          </w:p>
        </w:tc>
        <w:tc>
          <w:tcPr>
            <w:tcW w:w="1417" w:type="dxa"/>
          </w:tcPr>
          <w:p w14:paraId="79540345" w14:textId="77777777" w:rsidR="003E0278" w:rsidRPr="002B136D" w:rsidRDefault="003E0278" w:rsidP="00DD33AE">
            <w:pPr>
              <w:contextualSpacing/>
              <w:jc w:val="both"/>
              <w:rPr>
                <w:rFonts w:cs="Times New Roman"/>
                <w:sz w:val="24"/>
                <w:szCs w:val="28"/>
              </w:rPr>
            </w:pPr>
          </w:p>
        </w:tc>
        <w:tc>
          <w:tcPr>
            <w:tcW w:w="1242" w:type="dxa"/>
          </w:tcPr>
          <w:p w14:paraId="270E65CE" w14:textId="77777777" w:rsidR="003E0278" w:rsidRPr="002B136D" w:rsidRDefault="003E0278" w:rsidP="00DD33AE">
            <w:pPr>
              <w:contextualSpacing/>
              <w:jc w:val="both"/>
              <w:rPr>
                <w:rFonts w:cs="Times New Roman"/>
                <w:sz w:val="24"/>
                <w:szCs w:val="28"/>
              </w:rPr>
            </w:pPr>
          </w:p>
        </w:tc>
      </w:tr>
      <w:tr w:rsidR="001A2E09" w:rsidRPr="002B136D" w14:paraId="6198AC9D" w14:textId="77777777" w:rsidTr="002B5069">
        <w:tc>
          <w:tcPr>
            <w:tcW w:w="9639" w:type="dxa"/>
            <w:gridSpan w:val="5"/>
          </w:tcPr>
          <w:p w14:paraId="45762C92" w14:textId="007F2C64" w:rsidR="001A2E09" w:rsidRPr="002B136D" w:rsidRDefault="001A2E09" w:rsidP="001A2E09">
            <w:pPr>
              <w:ind w:firstLine="462"/>
              <w:contextualSpacing/>
              <w:jc w:val="both"/>
              <w:rPr>
                <w:rFonts w:cs="Times New Roman"/>
                <w:sz w:val="24"/>
                <w:szCs w:val="28"/>
              </w:rPr>
            </w:pPr>
            <w:r>
              <w:rPr>
                <w:rFonts w:cs="Times New Roman"/>
                <w:sz w:val="24"/>
                <w:szCs w:val="28"/>
              </w:rPr>
              <w:t xml:space="preserve">Примечание – Источник </w:t>
            </w:r>
            <w:r w:rsidRPr="002B136D">
              <w:rPr>
                <w:rFonts w:cs="Times New Roman"/>
                <w:sz w:val="24"/>
                <w:szCs w:val="28"/>
              </w:rPr>
              <w:t xml:space="preserve">* </w:t>
            </w:r>
            <w:proofErr w:type="gramStart"/>
            <w:r w:rsidRPr="002B136D">
              <w:rPr>
                <w:rFonts w:cs="Times New Roman"/>
                <w:sz w:val="24"/>
                <w:szCs w:val="28"/>
              </w:rPr>
              <w:t>р</w:t>
            </w:r>
            <w:proofErr w:type="gramEnd"/>
            <w:r w:rsidRPr="002B136D">
              <w:rPr>
                <w:rFonts w:cs="Times New Roman"/>
                <w:sz w:val="24"/>
                <w:szCs w:val="28"/>
              </w:rPr>
              <w:t>≤0,05</w:t>
            </w:r>
          </w:p>
        </w:tc>
      </w:tr>
    </w:tbl>
    <w:p w14:paraId="28FA6CFF" w14:textId="77777777" w:rsidR="001A2E09" w:rsidRPr="001A2E09" w:rsidRDefault="001A2E09" w:rsidP="00DD33AE">
      <w:pPr>
        <w:spacing w:after="0" w:line="240" w:lineRule="auto"/>
        <w:ind w:firstLine="709"/>
        <w:contextualSpacing/>
        <w:jc w:val="both"/>
        <w:rPr>
          <w:rFonts w:cs="Times New Roman"/>
          <w:szCs w:val="28"/>
          <w:lang w:val="kk-KZ"/>
        </w:rPr>
      </w:pPr>
    </w:p>
    <w:p w14:paraId="04D4C513" w14:textId="64E78BE1" w:rsidR="0041655F" w:rsidRPr="002B136D" w:rsidRDefault="00950449" w:rsidP="001A2E09">
      <w:pPr>
        <w:spacing w:after="0" w:line="240" w:lineRule="auto"/>
        <w:ind w:firstLine="567"/>
        <w:contextualSpacing/>
        <w:jc w:val="both"/>
        <w:rPr>
          <w:rFonts w:cs="Times New Roman"/>
          <w:szCs w:val="28"/>
          <w:lang w:val="kk-KZ"/>
        </w:rPr>
      </w:pPr>
      <w:r w:rsidRPr="002B136D">
        <w:rPr>
          <w:rFonts w:cs="Times New Roman"/>
          <w:szCs w:val="28"/>
          <w:lang w:val="kk-KZ"/>
        </w:rPr>
        <w:t xml:space="preserve">В таблице </w:t>
      </w:r>
      <w:r w:rsidR="0076161A">
        <w:rPr>
          <w:rFonts w:cs="Times New Roman"/>
          <w:szCs w:val="28"/>
          <w:lang w:val="kk-KZ"/>
        </w:rPr>
        <w:t>8</w:t>
      </w:r>
      <w:r w:rsidR="0041655F" w:rsidRPr="002B136D">
        <w:rPr>
          <w:rFonts w:cs="Times New Roman"/>
          <w:szCs w:val="28"/>
          <w:lang w:val="kk-KZ"/>
        </w:rPr>
        <w:t xml:space="preserve"> представлены офтальмологические характеристики пациентов с эндокринной офтальмопатией (ЭОП), включая размер глазной щели, наличие симптома Грефе, несмыкание век, патологию роговицы и активность ЭОП по шкале CAS. </w:t>
      </w:r>
    </w:p>
    <w:p w14:paraId="18BB72EA" w14:textId="09AE0F86" w:rsidR="0041655F" w:rsidRPr="002B136D" w:rsidRDefault="0041655F" w:rsidP="001A2E09">
      <w:pPr>
        <w:spacing w:after="0" w:line="240" w:lineRule="auto"/>
        <w:ind w:firstLine="567"/>
        <w:contextualSpacing/>
        <w:jc w:val="both"/>
        <w:rPr>
          <w:rFonts w:cs="Times New Roman"/>
          <w:szCs w:val="28"/>
          <w:lang w:val="kk-KZ"/>
        </w:rPr>
      </w:pPr>
      <w:r w:rsidRPr="002B136D">
        <w:rPr>
          <w:rFonts w:cs="Times New Roman"/>
          <w:szCs w:val="28"/>
          <w:lang w:val="kk-KZ"/>
        </w:rPr>
        <w:t>Средний размер глазной щели составлял 9,72±2,3 мм среди всей группы пациентов, при это</w:t>
      </w:r>
      <w:r w:rsidR="00B0686C">
        <w:rPr>
          <w:rFonts w:cs="Times New Roman"/>
          <w:szCs w:val="28"/>
          <w:lang w:val="kk-KZ"/>
        </w:rPr>
        <w:t xml:space="preserve">м у мужчин он был чуть меньше – </w:t>
      </w:r>
      <w:r w:rsidRPr="002B136D">
        <w:rPr>
          <w:rFonts w:cs="Times New Roman"/>
          <w:szCs w:val="28"/>
          <w:lang w:val="kk-KZ"/>
        </w:rPr>
        <w:t>9,16±2,0 мм. Разница в размерах глазной щели между полами не была статистически значима (p=0.1).</w:t>
      </w:r>
    </w:p>
    <w:p w14:paraId="7182FEB6" w14:textId="6C0AF0D9" w:rsidR="0041655F" w:rsidRPr="002B136D" w:rsidRDefault="0041655F" w:rsidP="001A2E09">
      <w:pPr>
        <w:spacing w:after="0" w:line="240" w:lineRule="auto"/>
        <w:ind w:firstLine="567"/>
        <w:contextualSpacing/>
        <w:jc w:val="both"/>
        <w:rPr>
          <w:rFonts w:cs="Times New Roman"/>
          <w:szCs w:val="28"/>
          <w:lang w:val="kk-KZ"/>
        </w:rPr>
      </w:pPr>
      <w:r w:rsidRPr="002B136D">
        <w:rPr>
          <w:rFonts w:cs="Times New Roman"/>
          <w:szCs w:val="28"/>
          <w:lang w:val="kk-KZ"/>
        </w:rPr>
        <w:t>Положительный симптом Грефе, который характеризуется задержкой в движении верхнего века при взгляде вниз, наблюдался у 137 (71,7%) пациентов. Различие между мужчинами и женщинами было статистически значимым (p&lt;0,001), с хи-квадратом (Х2=32,2), что указывает на более высокую частоту симптома Грефе у женщин.</w:t>
      </w:r>
    </w:p>
    <w:p w14:paraId="4ADFB323" w14:textId="693677FE" w:rsidR="0041655F" w:rsidRPr="002B136D" w:rsidRDefault="0041655F" w:rsidP="001A2E09">
      <w:pPr>
        <w:spacing w:after="0" w:line="240" w:lineRule="auto"/>
        <w:ind w:firstLine="567"/>
        <w:contextualSpacing/>
        <w:jc w:val="both"/>
        <w:rPr>
          <w:rFonts w:cs="Times New Roman"/>
          <w:szCs w:val="28"/>
          <w:lang w:val="kk-KZ"/>
        </w:rPr>
      </w:pPr>
      <w:r w:rsidRPr="002B136D">
        <w:rPr>
          <w:rFonts w:cs="Times New Roman"/>
          <w:szCs w:val="28"/>
          <w:lang w:val="kk-KZ"/>
        </w:rPr>
        <w:t>У 72 глаз было зафиксировано несмыкание век на</w:t>
      </w:r>
      <w:r w:rsidR="00B0686C">
        <w:rPr>
          <w:rFonts w:cs="Times New Roman"/>
          <w:szCs w:val="28"/>
          <w:lang w:val="kk-KZ"/>
        </w:rPr>
        <w:t xml:space="preserve"> расстоянии ≤3 мм, и у 10 глаз –</w:t>
      </w:r>
      <w:r w:rsidRPr="002B136D">
        <w:rPr>
          <w:rFonts w:cs="Times New Roman"/>
          <w:szCs w:val="28"/>
          <w:lang w:val="kk-KZ"/>
        </w:rPr>
        <w:t xml:space="preserve"> на расстоянии ≤7 мм. Различие в несмыкании век ≤3 мм между мужчинами и женщинами было статистически значимо (p=0,004), в то время как для несмыкания век ≤7 мм значимости не обнаружено (p=0,5).</w:t>
      </w:r>
    </w:p>
    <w:p w14:paraId="210919FD" w14:textId="66E4707C" w:rsidR="0041655F" w:rsidRPr="002B136D" w:rsidRDefault="0041655F" w:rsidP="001A2E09">
      <w:pPr>
        <w:spacing w:after="0" w:line="240" w:lineRule="auto"/>
        <w:ind w:firstLine="567"/>
        <w:contextualSpacing/>
        <w:jc w:val="both"/>
        <w:rPr>
          <w:rFonts w:cs="Times New Roman"/>
          <w:szCs w:val="28"/>
          <w:lang w:val="kk-KZ"/>
        </w:rPr>
      </w:pPr>
      <w:r w:rsidRPr="002B136D">
        <w:rPr>
          <w:rFonts w:cs="Times New Roman"/>
          <w:szCs w:val="28"/>
          <w:lang w:val="kk-KZ"/>
        </w:rPr>
        <w:lastRenderedPageBreak/>
        <w:t xml:space="preserve">Односторонняя патология роговицы встречалась у 10 </w:t>
      </w:r>
      <w:r w:rsidR="00B0686C">
        <w:rPr>
          <w:rFonts w:cs="Times New Roman"/>
          <w:szCs w:val="28"/>
          <w:lang w:val="kk-KZ"/>
        </w:rPr>
        <w:t xml:space="preserve">(5,2%) пациентов, двусторонняя – </w:t>
      </w:r>
      <w:r w:rsidRPr="002B136D">
        <w:rPr>
          <w:rFonts w:cs="Times New Roman"/>
          <w:szCs w:val="28"/>
          <w:lang w:val="kk-KZ"/>
        </w:rPr>
        <w:t>у 18 (9,3%). Различие в распределении односторонней патологии роговицы между мужчинами и женщинами не было значимым (p=0,5), как и различие в распределении двусторонней патологии (p=0,3).</w:t>
      </w:r>
    </w:p>
    <w:p w14:paraId="5165E61C" w14:textId="58BB6454" w:rsidR="0041655F" w:rsidRPr="002B136D" w:rsidRDefault="0041655F" w:rsidP="001A2E09">
      <w:pPr>
        <w:spacing w:after="0" w:line="240" w:lineRule="auto"/>
        <w:ind w:firstLine="567"/>
        <w:contextualSpacing/>
        <w:jc w:val="both"/>
        <w:rPr>
          <w:rFonts w:cs="Times New Roman"/>
          <w:szCs w:val="28"/>
          <w:lang w:val="kk-KZ"/>
        </w:rPr>
      </w:pPr>
      <w:r w:rsidRPr="002B136D">
        <w:rPr>
          <w:rFonts w:cs="Times New Roman"/>
          <w:szCs w:val="28"/>
          <w:lang w:val="kk-KZ"/>
        </w:rPr>
        <w:t>Активная форма ЭОП была зафиксирована у 108 (55,96%) пациентов, причем среди мужчин эта форма была более распространена (74,1%)</w:t>
      </w:r>
      <w:r w:rsidR="00B0686C">
        <w:rPr>
          <w:rFonts w:cs="Times New Roman"/>
          <w:szCs w:val="28"/>
          <w:lang w:val="kk-KZ"/>
        </w:rPr>
        <w:t xml:space="preserve">, в то время как среди женщин – </w:t>
      </w:r>
      <w:r w:rsidRPr="002B136D">
        <w:rPr>
          <w:rFonts w:cs="Times New Roman"/>
          <w:szCs w:val="28"/>
          <w:lang w:val="kk-KZ"/>
        </w:rPr>
        <w:t>у 48,1%. Различие в активности ЭОП между полами было статистически значимым (p=0,03), что подтверждается значением хи-квадрата (Х2=4,48). Неактивная форма ЭОП встречалась у 85 (44,04%) пациентов, с большим процентом среди женщин (52%) по сравнению с мужчинами (25,9%), что также имеет статистическую значимость (p&lt;0,0001; Х2=35,58).</w:t>
      </w:r>
    </w:p>
    <w:p w14:paraId="6C74E25A" w14:textId="363DB21B" w:rsidR="0041655F" w:rsidRPr="002B136D" w:rsidRDefault="0041655F" w:rsidP="001A2E09">
      <w:pPr>
        <w:spacing w:after="0" w:line="240" w:lineRule="auto"/>
        <w:ind w:firstLine="567"/>
        <w:contextualSpacing/>
        <w:jc w:val="both"/>
        <w:rPr>
          <w:rFonts w:cs="Times New Roman"/>
          <w:szCs w:val="28"/>
          <w:lang w:val="kk-KZ"/>
        </w:rPr>
      </w:pPr>
      <w:r w:rsidRPr="002B136D">
        <w:rPr>
          <w:rFonts w:cs="Times New Roman"/>
          <w:szCs w:val="28"/>
          <w:lang w:val="kk-KZ"/>
        </w:rPr>
        <w:t>Эти результаты подчеркивают гендерные различия в проявлениях и активности ЭОП, что может иметь важные клинические последствия для подходов к лечению и менеджменту состояния. Статистическая значимость в распределении некоторых офтальмологических характеристик между полами указывает на необходимость учета этих различий при разработке лечебных стратегий.</w:t>
      </w:r>
    </w:p>
    <w:p w14:paraId="19FA4594" w14:textId="314BFFBB" w:rsidR="0041655F" w:rsidRPr="002B136D" w:rsidRDefault="0041655F" w:rsidP="00DD33AE">
      <w:pPr>
        <w:spacing w:after="0" w:line="240" w:lineRule="auto"/>
        <w:ind w:firstLine="709"/>
        <w:contextualSpacing/>
        <w:jc w:val="both"/>
        <w:rPr>
          <w:rFonts w:cs="Times New Roman"/>
          <w:szCs w:val="28"/>
          <w:lang w:val="kk-KZ"/>
        </w:rPr>
      </w:pPr>
    </w:p>
    <w:p w14:paraId="05A75EDD" w14:textId="1D80AB3D" w:rsidR="003E0278" w:rsidRPr="001A2E09" w:rsidRDefault="0041655F" w:rsidP="001A2E09">
      <w:pPr>
        <w:spacing w:after="0" w:line="240" w:lineRule="auto"/>
        <w:contextualSpacing/>
        <w:jc w:val="both"/>
        <w:rPr>
          <w:rFonts w:cs="Times New Roman"/>
          <w:bCs/>
          <w:szCs w:val="28"/>
        </w:rPr>
      </w:pPr>
      <w:r w:rsidRPr="001A2E09">
        <w:rPr>
          <w:rFonts w:cs="Times New Roman"/>
          <w:bCs/>
          <w:szCs w:val="28"/>
          <w:lang w:val="kk-KZ"/>
        </w:rPr>
        <w:t xml:space="preserve">Таблица </w:t>
      </w:r>
      <w:r w:rsidR="0076161A">
        <w:rPr>
          <w:rFonts w:cs="Times New Roman"/>
          <w:bCs/>
          <w:szCs w:val="28"/>
          <w:lang w:val="kk-KZ"/>
        </w:rPr>
        <w:t>8</w:t>
      </w:r>
      <w:r w:rsidR="00FC1A05" w:rsidRPr="001A2E09">
        <w:rPr>
          <w:rFonts w:cs="Times New Roman"/>
          <w:bCs/>
          <w:szCs w:val="28"/>
          <w:lang w:val="kk-KZ"/>
        </w:rPr>
        <w:t xml:space="preserve"> - </w:t>
      </w:r>
      <w:r w:rsidRPr="001A2E09">
        <w:rPr>
          <w:rFonts w:cs="Times New Roman"/>
          <w:bCs/>
          <w:szCs w:val="28"/>
        </w:rPr>
        <w:t>Гендерные различия офтальмологических характеристик пациентов с эндокринной офтальмопати</w:t>
      </w:r>
      <w:r w:rsidR="0071282B" w:rsidRPr="001A2E09">
        <w:rPr>
          <w:rFonts w:cs="Times New Roman"/>
          <w:bCs/>
          <w:szCs w:val="28"/>
        </w:rPr>
        <w:t>и</w:t>
      </w:r>
    </w:p>
    <w:p w14:paraId="1A3BCB7D" w14:textId="77777777" w:rsidR="001A2E09" w:rsidRPr="002B136D" w:rsidRDefault="001A2E09" w:rsidP="001A2E09">
      <w:pPr>
        <w:spacing w:after="0" w:line="240" w:lineRule="auto"/>
        <w:contextualSpacing/>
        <w:rPr>
          <w:rFonts w:cs="Times New Roman"/>
          <w:b/>
          <w:szCs w:val="28"/>
        </w:rPr>
      </w:pPr>
    </w:p>
    <w:tbl>
      <w:tblPr>
        <w:tblStyle w:val="ac"/>
        <w:tblW w:w="0" w:type="auto"/>
        <w:tblInd w:w="108" w:type="dxa"/>
        <w:tblLook w:val="04A0" w:firstRow="1" w:lastRow="0" w:firstColumn="1" w:lastColumn="0" w:noHBand="0" w:noVBand="1"/>
      </w:tblPr>
      <w:tblGrid>
        <w:gridCol w:w="2469"/>
        <w:gridCol w:w="2918"/>
        <w:gridCol w:w="1559"/>
        <w:gridCol w:w="1559"/>
        <w:gridCol w:w="1134"/>
      </w:tblGrid>
      <w:tr w:rsidR="00D51D40" w:rsidRPr="002B136D" w14:paraId="4781F89A" w14:textId="77777777" w:rsidTr="001A2E09">
        <w:tc>
          <w:tcPr>
            <w:tcW w:w="2469" w:type="dxa"/>
            <w:vAlign w:val="center"/>
          </w:tcPr>
          <w:p w14:paraId="6CF47932" w14:textId="77777777" w:rsidR="003E0278" w:rsidRPr="002B136D" w:rsidRDefault="003E0278" w:rsidP="006E7629">
            <w:pPr>
              <w:jc w:val="both"/>
              <w:rPr>
                <w:rFonts w:cs="Times New Roman"/>
                <w:sz w:val="24"/>
                <w:szCs w:val="28"/>
              </w:rPr>
            </w:pPr>
            <w:r w:rsidRPr="002B136D">
              <w:rPr>
                <w:rFonts w:cs="Times New Roman"/>
                <w:sz w:val="24"/>
                <w:szCs w:val="28"/>
              </w:rPr>
              <w:t>Характеристики</w:t>
            </w:r>
          </w:p>
        </w:tc>
        <w:tc>
          <w:tcPr>
            <w:tcW w:w="2918" w:type="dxa"/>
            <w:vAlign w:val="center"/>
          </w:tcPr>
          <w:p w14:paraId="79DA534B" w14:textId="77777777" w:rsidR="003E0278" w:rsidRPr="002B136D" w:rsidRDefault="003E0278" w:rsidP="006E7629">
            <w:pPr>
              <w:jc w:val="both"/>
              <w:rPr>
                <w:rFonts w:cs="Times New Roman"/>
                <w:sz w:val="24"/>
                <w:szCs w:val="28"/>
              </w:rPr>
            </w:pPr>
            <w:r w:rsidRPr="002B136D">
              <w:rPr>
                <w:rFonts w:cs="Times New Roman"/>
                <w:sz w:val="24"/>
                <w:szCs w:val="28"/>
              </w:rPr>
              <w:t>Количество пациентов n=193</w:t>
            </w:r>
          </w:p>
        </w:tc>
        <w:tc>
          <w:tcPr>
            <w:tcW w:w="1559" w:type="dxa"/>
            <w:vAlign w:val="center"/>
          </w:tcPr>
          <w:p w14:paraId="47BA663F" w14:textId="77777777" w:rsidR="003E0278" w:rsidRPr="002B136D" w:rsidRDefault="003E0278" w:rsidP="006E7629">
            <w:pPr>
              <w:jc w:val="both"/>
              <w:rPr>
                <w:rFonts w:cs="Times New Roman"/>
                <w:sz w:val="24"/>
                <w:szCs w:val="28"/>
              </w:rPr>
            </w:pPr>
            <w:r w:rsidRPr="002B136D">
              <w:rPr>
                <w:rFonts w:cs="Times New Roman"/>
                <w:sz w:val="24"/>
                <w:szCs w:val="28"/>
              </w:rPr>
              <w:t>Мужчины</w:t>
            </w:r>
          </w:p>
        </w:tc>
        <w:tc>
          <w:tcPr>
            <w:tcW w:w="1559" w:type="dxa"/>
            <w:vAlign w:val="center"/>
          </w:tcPr>
          <w:p w14:paraId="54F15E6B" w14:textId="77777777" w:rsidR="003E0278" w:rsidRPr="002B136D" w:rsidRDefault="003E0278" w:rsidP="006E7629">
            <w:pPr>
              <w:jc w:val="both"/>
              <w:rPr>
                <w:rFonts w:cs="Times New Roman"/>
                <w:sz w:val="24"/>
                <w:szCs w:val="28"/>
              </w:rPr>
            </w:pPr>
            <w:r w:rsidRPr="002B136D">
              <w:rPr>
                <w:rFonts w:cs="Times New Roman"/>
                <w:sz w:val="24"/>
                <w:szCs w:val="28"/>
              </w:rPr>
              <w:t>Женщины</w:t>
            </w:r>
          </w:p>
        </w:tc>
        <w:tc>
          <w:tcPr>
            <w:tcW w:w="1134" w:type="dxa"/>
            <w:vAlign w:val="center"/>
          </w:tcPr>
          <w:p w14:paraId="4AC01F6A" w14:textId="0FDECDF3" w:rsidR="003E0278" w:rsidRPr="002B136D" w:rsidRDefault="003E0278" w:rsidP="006E7629">
            <w:pPr>
              <w:jc w:val="both"/>
              <w:rPr>
                <w:rFonts w:cs="Times New Roman"/>
                <w:sz w:val="24"/>
                <w:szCs w:val="28"/>
              </w:rPr>
            </w:pPr>
            <w:proofErr w:type="gramStart"/>
            <w:r w:rsidRPr="002B136D">
              <w:rPr>
                <w:rFonts w:cs="Times New Roman"/>
                <w:sz w:val="24"/>
                <w:szCs w:val="28"/>
              </w:rPr>
              <w:t>р</w:t>
            </w:r>
            <w:proofErr w:type="gramEnd"/>
          </w:p>
        </w:tc>
      </w:tr>
      <w:tr w:rsidR="00D51D40" w:rsidRPr="002B136D" w14:paraId="61D0DA7A" w14:textId="77777777" w:rsidTr="001A2E09">
        <w:tc>
          <w:tcPr>
            <w:tcW w:w="2469" w:type="dxa"/>
            <w:vAlign w:val="center"/>
          </w:tcPr>
          <w:p w14:paraId="7ACB936E" w14:textId="77777777" w:rsidR="003E0278" w:rsidRPr="002B136D" w:rsidRDefault="003E0278" w:rsidP="006E7629">
            <w:pPr>
              <w:jc w:val="both"/>
              <w:rPr>
                <w:rFonts w:cs="Times New Roman"/>
                <w:sz w:val="24"/>
                <w:szCs w:val="28"/>
              </w:rPr>
            </w:pPr>
            <w:r w:rsidRPr="002B136D">
              <w:rPr>
                <w:rFonts w:cs="Times New Roman"/>
                <w:sz w:val="24"/>
                <w:szCs w:val="28"/>
              </w:rPr>
              <w:t>Глазная щель</w:t>
            </w:r>
          </w:p>
        </w:tc>
        <w:tc>
          <w:tcPr>
            <w:tcW w:w="2918" w:type="dxa"/>
            <w:vAlign w:val="center"/>
          </w:tcPr>
          <w:p w14:paraId="6EE3EDCD" w14:textId="77777777" w:rsidR="003E0278" w:rsidRPr="002B136D" w:rsidRDefault="003E0278" w:rsidP="006E7629">
            <w:pPr>
              <w:jc w:val="both"/>
              <w:rPr>
                <w:rFonts w:cs="Times New Roman"/>
                <w:sz w:val="24"/>
                <w:szCs w:val="28"/>
              </w:rPr>
            </w:pPr>
          </w:p>
        </w:tc>
        <w:tc>
          <w:tcPr>
            <w:tcW w:w="1559" w:type="dxa"/>
            <w:vAlign w:val="center"/>
          </w:tcPr>
          <w:p w14:paraId="3926C1A4" w14:textId="77777777" w:rsidR="003E0278" w:rsidRPr="002B136D" w:rsidRDefault="003E0278" w:rsidP="006E7629">
            <w:pPr>
              <w:jc w:val="both"/>
              <w:rPr>
                <w:rFonts w:cs="Times New Roman"/>
                <w:sz w:val="24"/>
                <w:szCs w:val="28"/>
              </w:rPr>
            </w:pPr>
            <w:r w:rsidRPr="002B136D">
              <w:rPr>
                <w:rFonts w:cs="Times New Roman"/>
                <w:sz w:val="24"/>
                <w:szCs w:val="28"/>
              </w:rPr>
              <w:t>9,72±2,3 мм</w:t>
            </w:r>
          </w:p>
        </w:tc>
        <w:tc>
          <w:tcPr>
            <w:tcW w:w="1559" w:type="dxa"/>
            <w:vAlign w:val="center"/>
          </w:tcPr>
          <w:p w14:paraId="1EDF8746" w14:textId="77777777" w:rsidR="003E0278" w:rsidRPr="002B136D" w:rsidRDefault="003E0278" w:rsidP="006E7629">
            <w:pPr>
              <w:jc w:val="both"/>
              <w:rPr>
                <w:rFonts w:cs="Times New Roman"/>
                <w:sz w:val="24"/>
                <w:szCs w:val="28"/>
              </w:rPr>
            </w:pPr>
            <w:r w:rsidRPr="002B136D">
              <w:rPr>
                <w:rFonts w:cs="Times New Roman"/>
                <w:sz w:val="24"/>
                <w:szCs w:val="28"/>
              </w:rPr>
              <w:t>9,16±2,0 мм</w:t>
            </w:r>
          </w:p>
        </w:tc>
        <w:tc>
          <w:tcPr>
            <w:tcW w:w="1134" w:type="dxa"/>
            <w:vAlign w:val="center"/>
          </w:tcPr>
          <w:p w14:paraId="005541FB" w14:textId="77777777" w:rsidR="003E0278" w:rsidRPr="00A95153" w:rsidRDefault="003E0278" w:rsidP="006E7629">
            <w:pPr>
              <w:jc w:val="both"/>
              <w:rPr>
                <w:rFonts w:cs="Times New Roman"/>
                <w:iCs/>
                <w:sz w:val="24"/>
                <w:szCs w:val="28"/>
              </w:rPr>
            </w:pPr>
            <w:r w:rsidRPr="00A95153">
              <w:rPr>
                <w:rFonts w:cs="Times New Roman"/>
                <w:iCs/>
                <w:sz w:val="24"/>
                <w:szCs w:val="28"/>
                <w:lang w:val="en-US"/>
              </w:rPr>
              <w:t>0.1</w:t>
            </w:r>
          </w:p>
        </w:tc>
      </w:tr>
      <w:tr w:rsidR="00D51D40" w:rsidRPr="002B136D" w14:paraId="4966418A" w14:textId="77777777" w:rsidTr="001A2E09">
        <w:tc>
          <w:tcPr>
            <w:tcW w:w="2469" w:type="dxa"/>
            <w:vAlign w:val="center"/>
          </w:tcPr>
          <w:p w14:paraId="245A5F2D" w14:textId="77777777" w:rsidR="003E0278" w:rsidRPr="002B136D" w:rsidRDefault="003E0278" w:rsidP="006E7629">
            <w:pPr>
              <w:jc w:val="both"/>
              <w:rPr>
                <w:rFonts w:cs="Times New Roman"/>
                <w:sz w:val="24"/>
                <w:szCs w:val="28"/>
              </w:rPr>
            </w:pPr>
            <w:r w:rsidRPr="002B136D">
              <w:rPr>
                <w:rFonts w:cs="Times New Roman"/>
                <w:bCs/>
                <w:sz w:val="24"/>
                <w:szCs w:val="28"/>
              </w:rPr>
              <w:t xml:space="preserve">Положительный симптом </w:t>
            </w:r>
            <w:proofErr w:type="gramStart"/>
            <w:r w:rsidRPr="002B136D">
              <w:rPr>
                <w:rFonts w:cs="Times New Roman"/>
                <w:bCs/>
                <w:sz w:val="24"/>
                <w:szCs w:val="28"/>
              </w:rPr>
              <w:t>Грефе</w:t>
            </w:r>
            <w:proofErr w:type="gramEnd"/>
          </w:p>
        </w:tc>
        <w:tc>
          <w:tcPr>
            <w:tcW w:w="2918" w:type="dxa"/>
            <w:vAlign w:val="center"/>
          </w:tcPr>
          <w:p w14:paraId="3A0215F1" w14:textId="77777777" w:rsidR="003E0278" w:rsidRPr="002B136D" w:rsidRDefault="003E0278" w:rsidP="006E7629">
            <w:pPr>
              <w:jc w:val="both"/>
              <w:rPr>
                <w:rFonts w:cs="Times New Roman"/>
                <w:sz w:val="24"/>
                <w:szCs w:val="28"/>
              </w:rPr>
            </w:pPr>
            <w:r w:rsidRPr="002B136D">
              <w:rPr>
                <w:rFonts w:cs="Times New Roman"/>
                <w:sz w:val="24"/>
                <w:szCs w:val="28"/>
              </w:rPr>
              <w:t>137 (71,7%)</w:t>
            </w:r>
          </w:p>
        </w:tc>
        <w:tc>
          <w:tcPr>
            <w:tcW w:w="1559" w:type="dxa"/>
            <w:vAlign w:val="center"/>
          </w:tcPr>
          <w:p w14:paraId="7D109B29" w14:textId="77777777" w:rsidR="003E0278" w:rsidRPr="002B136D" w:rsidRDefault="003E0278" w:rsidP="006E7629">
            <w:pPr>
              <w:jc w:val="both"/>
              <w:rPr>
                <w:rFonts w:cs="Times New Roman"/>
                <w:sz w:val="24"/>
                <w:szCs w:val="28"/>
              </w:rPr>
            </w:pPr>
            <w:r w:rsidRPr="002B136D">
              <w:rPr>
                <w:rFonts w:cs="Times New Roman"/>
                <w:sz w:val="24"/>
                <w:szCs w:val="28"/>
              </w:rPr>
              <w:t>35</w:t>
            </w:r>
          </w:p>
        </w:tc>
        <w:tc>
          <w:tcPr>
            <w:tcW w:w="1559" w:type="dxa"/>
            <w:vAlign w:val="center"/>
          </w:tcPr>
          <w:p w14:paraId="011D6138" w14:textId="77777777" w:rsidR="003E0278" w:rsidRPr="002B136D" w:rsidRDefault="003E0278" w:rsidP="006E7629">
            <w:pPr>
              <w:jc w:val="both"/>
              <w:rPr>
                <w:rFonts w:cs="Times New Roman"/>
                <w:sz w:val="24"/>
                <w:szCs w:val="28"/>
              </w:rPr>
            </w:pPr>
            <w:r w:rsidRPr="002B136D">
              <w:rPr>
                <w:rFonts w:cs="Times New Roman"/>
                <w:sz w:val="24"/>
                <w:szCs w:val="28"/>
              </w:rPr>
              <w:t>102</w:t>
            </w:r>
          </w:p>
        </w:tc>
        <w:tc>
          <w:tcPr>
            <w:tcW w:w="1134" w:type="dxa"/>
            <w:vAlign w:val="center"/>
          </w:tcPr>
          <w:p w14:paraId="5F27556B" w14:textId="32911953" w:rsidR="003E0278" w:rsidRPr="002B136D" w:rsidRDefault="003E0278" w:rsidP="006E7629">
            <w:pPr>
              <w:jc w:val="both"/>
              <w:rPr>
                <w:rFonts w:cs="Times New Roman"/>
                <w:sz w:val="24"/>
                <w:szCs w:val="28"/>
              </w:rPr>
            </w:pPr>
            <w:r w:rsidRPr="002B136D">
              <w:rPr>
                <w:rFonts w:cs="Times New Roman"/>
                <w:sz w:val="24"/>
                <w:szCs w:val="28"/>
              </w:rPr>
              <w:t>&lt;0,001</w:t>
            </w:r>
            <w:r w:rsidR="002C2A12" w:rsidRPr="002B136D">
              <w:rPr>
                <w:rFonts w:cs="Times New Roman"/>
                <w:sz w:val="24"/>
                <w:szCs w:val="28"/>
              </w:rPr>
              <w:t>*</w:t>
            </w:r>
          </w:p>
          <w:p w14:paraId="6A368A58" w14:textId="3501E284" w:rsidR="003E0278" w:rsidRPr="002B136D" w:rsidRDefault="003E0278" w:rsidP="006E7629">
            <w:pPr>
              <w:jc w:val="both"/>
              <w:rPr>
                <w:rFonts w:cs="Times New Roman"/>
                <w:sz w:val="24"/>
                <w:szCs w:val="28"/>
              </w:rPr>
            </w:pPr>
          </w:p>
        </w:tc>
      </w:tr>
      <w:tr w:rsidR="00D51D40" w:rsidRPr="002B136D" w14:paraId="0F0C31FE" w14:textId="77777777" w:rsidTr="001A2E09">
        <w:tc>
          <w:tcPr>
            <w:tcW w:w="9639" w:type="dxa"/>
            <w:gridSpan w:val="5"/>
            <w:vAlign w:val="center"/>
          </w:tcPr>
          <w:p w14:paraId="72ED275E" w14:textId="42046EDB" w:rsidR="003E0278" w:rsidRPr="002B136D" w:rsidRDefault="00C9459D" w:rsidP="006E7629">
            <w:pPr>
              <w:jc w:val="both"/>
              <w:rPr>
                <w:rFonts w:cs="Times New Roman"/>
                <w:sz w:val="24"/>
                <w:szCs w:val="28"/>
              </w:rPr>
            </w:pPr>
            <w:r w:rsidRPr="002B136D">
              <w:rPr>
                <w:rFonts w:cs="Times New Roman"/>
                <w:bCs/>
                <w:sz w:val="24"/>
                <w:szCs w:val="28"/>
              </w:rPr>
              <w:t>Не</w:t>
            </w:r>
            <w:r w:rsidR="003E0278" w:rsidRPr="002B136D">
              <w:rPr>
                <w:rFonts w:cs="Times New Roman"/>
                <w:bCs/>
                <w:sz w:val="24"/>
                <w:szCs w:val="28"/>
              </w:rPr>
              <w:t>смыкание век</w:t>
            </w:r>
          </w:p>
        </w:tc>
      </w:tr>
      <w:tr w:rsidR="00D51D40" w:rsidRPr="002B136D" w14:paraId="460F4730" w14:textId="77777777" w:rsidTr="001A2E09">
        <w:tc>
          <w:tcPr>
            <w:tcW w:w="2469" w:type="dxa"/>
            <w:vAlign w:val="center"/>
          </w:tcPr>
          <w:p w14:paraId="61E6A607" w14:textId="77777777" w:rsidR="003E0278" w:rsidRPr="002B136D" w:rsidRDefault="003E0278" w:rsidP="006E7629">
            <w:pPr>
              <w:jc w:val="both"/>
              <w:rPr>
                <w:rFonts w:cs="Times New Roman"/>
                <w:bCs/>
                <w:sz w:val="24"/>
                <w:szCs w:val="28"/>
              </w:rPr>
            </w:pPr>
            <w:r w:rsidRPr="002B136D">
              <w:rPr>
                <w:rFonts w:cs="Times New Roman"/>
                <w:sz w:val="24"/>
                <w:szCs w:val="28"/>
              </w:rPr>
              <w:t>≤3 мм</w:t>
            </w:r>
          </w:p>
        </w:tc>
        <w:tc>
          <w:tcPr>
            <w:tcW w:w="2918" w:type="dxa"/>
            <w:vAlign w:val="center"/>
          </w:tcPr>
          <w:p w14:paraId="687C42B1" w14:textId="77777777" w:rsidR="003E0278" w:rsidRPr="002B136D" w:rsidRDefault="003E0278" w:rsidP="006E7629">
            <w:pPr>
              <w:jc w:val="both"/>
              <w:rPr>
                <w:rFonts w:cs="Times New Roman"/>
                <w:sz w:val="24"/>
                <w:szCs w:val="28"/>
              </w:rPr>
            </w:pPr>
            <w:r w:rsidRPr="002B136D">
              <w:rPr>
                <w:rFonts w:cs="Times New Roman"/>
                <w:sz w:val="24"/>
                <w:szCs w:val="28"/>
              </w:rPr>
              <w:t>72 глаза</w:t>
            </w:r>
          </w:p>
        </w:tc>
        <w:tc>
          <w:tcPr>
            <w:tcW w:w="1559" w:type="dxa"/>
            <w:vAlign w:val="center"/>
          </w:tcPr>
          <w:p w14:paraId="02176C94" w14:textId="77777777" w:rsidR="003E0278" w:rsidRPr="002B136D" w:rsidRDefault="003E0278" w:rsidP="006E7629">
            <w:pPr>
              <w:jc w:val="both"/>
              <w:rPr>
                <w:rFonts w:cs="Times New Roman"/>
                <w:sz w:val="24"/>
                <w:szCs w:val="28"/>
              </w:rPr>
            </w:pPr>
            <w:r w:rsidRPr="002B136D">
              <w:rPr>
                <w:rFonts w:cs="Times New Roman"/>
                <w:sz w:val="24"/>
                <w:szCs w:val="28"/>
              </w:rPr>
              <w:t>24</w:t>
            </w:r>
          </w:p>
        </w:tc>
        <w:tc>
          <w:tcPr>
            <w:tcW w:w="1559" w:type="dxa"/>
            <w:vAlign w:val="center"/>
          </w:tcPr>
          <w:p w14:paraId="57AD08EF" w14:textId="77777777" w:rsidR="003E0278" w:rsidRPr="002B136D" w:rsidRDefault="003E0278" w:rsidP="006E7629">
            <w:pPr>
              <w:jc w:val="both"/>
              <w:rPr>
                <w:rFonts w:cs="Times New Roman"/>
                <w:sz w:val="24"/>
                <w:szCs w:val="28"/>
              </w:rPr>
            </w:pPr>
            <w:r w:rsidRPr="002B136D">
              <w:rPr>
                <w:rFonts w:cs="Times New Roman"/>
                <w:sz w:val="24"/>
                <w:szCs w:val="28"/>
              </w:rPr>
              <w:t>48</w:t>
            </w:r>
          </w:p>
        </w:tc>
        <w:tc>
          <w:tcPr>
            <w:tcW w:w="1134" w:type="dxa"/>
            <w:vAlign w:val="center"/>
          </w:tcPr>
          <w:p w14:paraId="243CA83F" w14:textId="03855D92" w:rsidR="003E0278" w:rsidRPr="002B136D" w:rsidRDefault="003E0278" w:rsidP="006E7629">
            <w:pPr>
              <w:jc w:val="both"/>
              <w:rPr>
                <w:rFonts w:cs="Times New Roman"/>
                <w:sz w:val="24"/>
                <w:szCs w:val="28"/>
              </w:rPr>
            </w:pPr>
            <w:r w:rsidRPr="002B136D">
              <w:rPr>
                <w:rFonts w:cs="Times New Roman"/>
                <w:sz w:val="24"/>
                <w:szCs w:val="28"/>
              </w:rPr>
              <w:t>0,004</w:t>
            </w:r>
            <w:r w:rsidR="002C2A12" w:rsidRPr="002B136D">
              <w:rPr>
                <w:rFonts w:cs="Times New Roman"/>
                <w:sz w:val="24"/>
                <w:szCs w:val="28"/>
              </w:rPr>
              <w:t>*</w:t>
            </w:r>
          </w:p>
        </w:tc>
      </w:tr>
      <w:tr w:rsidR="00D51D40" w:rsidRPr="002B136D" w14:paraId="1EAFA4A0" w14:textId="77777777" w:rsidTr="001A2E09">
        <w:tc>
          <w:tcPr>
            <w:tcW w:w="2469" w:type="dxa"/>
            <w:vAlign w:val="center"/>
          </w:tcPr>
          <w:p w14:paraId="532ACF28" w14:textId="77777777" w:rsidR="003E0278" w:rsidRPr="002B136D" w:rsidRDefault="003E0278" w:rsidP="006E7629">
            <w:pPr>
              <w:jc w:val="both"/>
              <w:rPr>
                <w:rFonts w:cs="Times New Roman"/>
                <w:bCs/>
                <w:sz w:val="24"/>
                <w:szCs w:val="28"/>
              </w:rPr>
            </w:pPr>
            <w:r w:rsidRPr="002B136D">
              <w:rPr>
                <w:rFonts w:cs="Times New Roman"/>
                <w:sz w:val="24"/>
                <w:szCs w:val="28"/>
              </w:rPr>
              <w:t>≤7 мм</w:t>
            </w:r>
          </w:p>
        </w:tc>
        <w:tc>
          <w:tcPr>
            <w:tcW w:w="2918" w:type="dxa"/>
            <w:vAlign w:val="center"/>
          </w:tcPr>
          <w:p w14:paraId="2C5A1FC1" w14:textId="77777777" w:rsidR="003E0278" w:rsidRPr="002B136D" w:rsidRDefault="003E0278" w:rsidP="006E7629">
            <w:pPr>
              <w:jc w:val="both"/>
              <w:rPr>
                <w:rFonts w:cs="Times New Roman"/>
                <w:sz w:val="24"/>
                <w:szCs w:val="28"/>
              </w:rPr>
            </w:pPr>
            <w:r w:rsidRPr="002B136D">
              <w:rPr>
                <w:rFonts w:cs="Times New Roman"/>
                <w:sz w:val="24"/>
                <w:szCs w:val="28"/>
              </w:rPr>
              <w:t>10 глаз</w:t>
            </w:r>
          </w:p>
        </w:tc>
        <w:tc>
          <w:tcPr>
            <w:tcW w:w="1559" w:type="dxa"/>
            <w:vAlign w:val="center"/>
          </w:tcPr>
          <w:p w14:paraId="1880EA02" w14:textId="77777777" w:rsidR="003E0278" w:rsidRPr="002B136D" w:rsidRDefault="003E0278" w:rsidP="006E7629">
            <w:pPr>
              <w:jc w:val="both"/>
              <w:rPr>
                <w:rFonts w:cs="Times New Roman"/>
                <w:sz w:val="24"/>
                <w:szCs w:val="28"/>
              </w:rPr>
            </w:pPr>
            <w:r w:rsidRPr="002B136D">
              <w:rPr>
                <w:rFonts w:cs="Times New Roman"/>
                <w:sz w:val="24"/>
                <w:szCs w:val="28"/>
              </w:rPr>
              <w:t>6 глаз</w:t>
            </w:r>
          </w:p>
        </w:tc>
        <w:tc>
          <w:tcPr>
            <w:tcW w:w="1559" w:type="dxa"/>
            <w:vAlign w:val="center"/>
          </w:tcPr>
          <w:p w14:paraId="249E1FBA" w14:textId="77777777" w:rsidR="003E0278" w:rsidRPr="002B136D" w:rsidRDefault="003E0278" w:rsidP="006E7629">
            <w:pPr>
              <w:jc w:val="both"/>
              <w:rPr>
                <w:rFonts w:cs="Times New Roman"/>
                <w:sz w:val="24"/>
                <w:szCs w:val="28"/>
              </w:rPr>
            </w:pPr>
            <w:r w:rsidRPr="002B136D">
              <w:rPr>
                <w:rFonts w:cs="Times New Roman"/>
                <w:sz w:val="24"/>
                <w:szCs w:val="28"/>
              </w:rPr>
              <w:t>4 глаза</w:t>
            </w:r>
          </w:p>
        </w:tc>
        <w:tc>
          <w:tcPr>
            <w:tcW w:w="1134" w:type="dxa"/>
            <w:vAlign w:val="center"/>
          </w:tcPr>
          <w:p w14:paraId="6133E39B" w14:textId="77777777" w:rsidR="003E0278" w:rsidRPr="002B136D" w:rsidRDefault="003E0278" w:rsidP="006E7629">
            <w:pPr>
              <w:jc w:val="both"/>
              <w:rPr>
                <w:rFonts w:cs="Times New Roman"/>
                <w:sz w:val="24"/>
                <w:szCs w:val="28"/>
              </w:rPr>
            </w:pPr>
            <w:r w:rsidRPr="002B136D">
              <w:rPr>
                <w:rFonts w:cs="Times New Roman"/>
                <w:sz w:val="24"/>
                <w:szCs w:val="28"/>
              </w:rPr>
              <w:t>0,5</w:t>
            </w:r>
          </w:p>
        </w:tc>
      </w:tr>
      <w:tr w:rsidR="00D51D40" w:rsidRPr="002B136D" w14:paraId="0C427E8A" w14:textId="77777777" w:rsidTr="001A2E09">
        <w:tc>
          <w:tcPr>
            <w:tcW w:w="9639" w:type="dxa"/>
            <w:gridSpan w:val="5"/>
            <w:vAlign w:val="center"/>
          </w:tcPr>
          <w:p w14:paraId="534B5681" w14:textId="77777777" w:rsidR="003E0278" w:rsidRPr="002B136D" w:rsidRDefault="003E0278" w:rsidP="006E7629">
            <w:pPr>
              <w:jc w:val="both"/>
              <w:rPr>
                <w:rFonts w:cs="Times New Roman"/>
                <w:sz w:val="24"/>
                <w:szCs w:val="28"/>
              </w:rPr>
            </w:pPr>
            <w:r w:rsidRPr="002B136D">
              <w:rPr>
                <w:rFonts w:cs="Times New Roman"/>
                <w:bCs/>
                <w:sz w:val="24"/>
                <w:szCs w:val="28"/>
              </w:rPr>
              <w:t>Патология роговицы</w:t>
            </w:r>
          </w:p>
        </w:tc>
      </w:tr>
      <w:tr w:rsidR="00D51D40" w:rsidRPr="002B136D" w14:paraId="58223F3D" w14:textId="77777777" w:rsidTr="001A2E09">
        <w:tc>
          <w:tcPr>
            <w:tcW w:w="2469" w:type="dxa"/>
            <w:vAlign w:val="center"/>
          </w:tcPr>
          <w:p w14:paraId="6DFD2848" w14:textId="77777777" w:rsidR="003E0278" w:rsidRPr="002B136D" w:rsidRDefault="003E0278" w:rsidP="006E7629">
            <w:pPr>
              <w:jc w:val="both"/>
              <w:rPr>
                <w:rFonts w:cs="Times New Roman"/>
                <w:bCs/>
                <w:sz w:val="24"/>
                <w:szCs w:val="28"/>
              </w:rPr>
            </w:pPr>
            <w:r w:rsidRPr="002B136D">
              <w:rPr>
                <w:rFonts w:cs="Times New Roman"/>
                <w:sz w:val="24"/>
                <w:szCs w:val="28"/>
              </w:rPr>
              <w:t xml:space="preserve">Односторонняя </w:t>
            </w:r>
            <w:r w:rsidRPr="002B136D">
              <w:rPr>
                <w:rFonts w:cs="Times New Roman"/>
                <w:sz w:val="24"/>
                <w:szCs w:val="28"/>
                <w:lang w:val="en-US"/>
              </w:rPr>
              <w:t>n</w:t>
            </w:r>
            <w:r w:rsidRPr="002B136D">
              <w:rPr>
                <w:rFonts w:cs="Times New Roman"/>
                <w:sz w:val="24"/>
                <w:szCs w:val="28"/>
              </w:rPr>
              <w:t xml:space="preserve"> (%)</w:t>
            </w:r>
          </w:p>
        </w:tc>
        <w:tc>
          <w:tcPr>
            <w:tcW w:w="2918" w:type="dxa"/>
            <w:vAlign w:val="center"/>
          </w:tcPr>
          <w:p w14:paraId="23FF3C2F" w14:textId="77777777" w:rsidR="003E0278" w:rsidRPr="002B136D" w:rsidRDefault="003E0278" w:rsidP="006E7629">
            <w:pPr>
              <w:jc w:val="both"/>
              <w:rPr>
                <w:rFonts w:cs="Times New Roman"/>
                <w:sz w:val="24"/>
                <w:szCs w:val="28"/>
              </w:rPr>
            </w:pPr>
            <w:r w:rsidRPr="002B136D">
              <w:rPr>
                <w:rFonts w:cs="Times New Roman"/>
                <w:sz w:val="24"/>
                <w:szCs w:val="28"/>
              </w:rPr>
              <w:t>10 (5,2 %)</w:t>
            </w:r>
          </w:p>
        </w:tc>
        <w:tc>
          <w:tcPr>
            <w:tcW w:w="1559" w:type="dxa"/>
            <w:vAlign w:val="center"/>
          </w:tcPr>
          <w:p w14:paraId="11B48B74" w14:textId="77777777" w:rsidR="003E0278" w:rsidRPr="002B136D" w:rsidRDefault="003E0278" w:rsidP="006E7629">
            <w:pPr>
              <w:jc w:val="both"/>
              <w:rPr>
                <w:rFonts w:cs="Times New Roman"/>
                <w:sz w:val="24"/>
                <w:szCs w:val="28"/>
              </w:rPr>
            </w:pPr>
            <w:r w:rsidRPr="002B136D">
              <w:rPr>
                <w:rFonts w:cs="Times New Roman"/>
                <w:sz w:val="24"/>
                <w:szCs w:val="28"/>
              </w:rPr>
              <w:t>6</w:t>
            </w:r>
          </w:p>
        </w:tc>
        <w:tc>
          <w:tcPr>
            <w:tcW w:w="1559" w:type="dxa"/>
            <w:vAlign w:val="center"/>
          </w:tcPr>
          <w:p w14:paraId="56569357" w14:textId="77777777" w:rsidR="003E0278" w:rsidRPr="002B136D" w:rsidRDefault="003E0278" w:rsidP="006E7629">
            <w:pPr>
              <w:jc w:val="both"/>
              <w:rPr>
                <w:rFonts w:cs="Times New Roman"/>
                <w:sz w:val="24"/>
                <w:szCs w:val="28"/>
              </w:rPr>
            </w:pPr>
            <w:r w:rsidRPr="002B136D">
              <w:rPr>
                <w:rFonts w:cs="Times New Roman"/>
                <w:sz w:val="24"/>
                <w:szCs w:val="28"/>
              </w:rPr>
              <w:t>4</w:t>
            </w:r>
          </w:p>
        </w:tc>
        <w:tc>
          <w:tcPr>
            <w:tcW w:w="1134" w:type="dxa"/>
            <w:vAlign w:val="center"/>
          </w:tcPr>
          <w:p w14:paraId="525F6545" w14:textId="77777777" w:rsidR="003E0278" w:rsidRPr="002B136D" w:rsidRDefault="003E0278" w:rsidP="006E7629">
            <w:pPr>
              <w:jc w:val="both"/>
              <w:rPr>
                <w:rFonts w:cs="Times New Roman"/>
                <w:sz w:val="24"/>
                <w:szCs w:val="28"/>
              </w:rPr>
            </w:pPr>
            <w:r w:rsidRPr="002B136D">
              <w:rPr>
                <w:rFonts w:cs="Times New Roman"/>
                <w:sz w:val="24"/>
                <w:szCs w:val="28"/>
              </w:rPr>
              <w:t>0,5</w:t>
            </w:r>
          </w:p>
          <w:p w14:paraId="30BCDACA" w14:textId="245BB87F" w:rsidR="003E0278" w:rsidRPr="002B136D" w:rsidRDefault="003E0278" w:rsidP="006E7629">
            <w:pPr>
              <w:jc w:val="both"/>
              <w:rPr>
                <w:rFonts w:cs="Times New Roman"/>
                <w:sz w:val="24"/>
                <w:szCs w:val="28"/>
              </w:rPr>
            </w:pPr>
          </w:p>
        </w:tc>
      </w:tr>
      <w:tr w:rsidR="00D51D40" w:rsidRPr="002B136D" w14:paraId="1CE461AB" w14:textId="77777777" w:rsidTr="001A2E09">
        <w:tc>
          <w:tcPr>
            <w:tcW w:w="2469" w:type="dxa"/>
            <w:vAlign w:val="center"/>
          </w:tcPr>
          <w:p w14:paraId="34E0E86B" w14:textId="77777777" w:rsidR="003E0278" w:rsidRPr="002B136D" w:rsidRDefault="003E0278" w:rsidP="006E7629">
            <w:pPr>
              <w:jc w:val="both"/>
              <w:rPr>
                <w:rFonts w:cs="Times New Roman"/>
                <w:bCs/>
                <w:sz w:val="24"/>
                <w:szCs w:val="28"/>
              </w:rPr>
            </w:pPr>
            <w:r w:rsidRPr="002B136D">
              <w:rPr>
                <w:rFonts w:cs="Times New Roman"/>
                <w:sz w:val="24"/>
                <w:szCs w:val="28"/>
              </w:rPr>
              <w:t xml:space="preserve">Двусторонняя </w:t>
            </w:r>
            <w:r w:rsidRPr="002B136D">
              <w:rPr>
                <w:rFonts w:cs="Times New Roman"/>
                <w:sz w:val="24"/>
                <w:szCs w:val="28"/>
                <w:lang w:val="en-US"/>
              </w:rPr>
              <w:t>n</w:t>
            </w:r>
            <w:r w:rsidRPr="002B136D">
              <w:rPr>
                <w:rFonts w:cs="Times New Roman"/>
                <w:sz w:val="24"/>
                <w:szCs w:val="28"/>
              </w:rPr>
              <w:t xml:space="preserve"> (%)</w:t>
            </w:r>
          </w:p>
        </w:tc>
        <w:tc>
          <w:tcPr>
            <w:tcW w:w="2918" w:type="dxa"/>
            <w:vAlign w:val="center"/>
          </w:tcPr>
          <w:p w14:paraId="334121DF" w14:textId="77777777" w:rsidR="003E0278" w:rsidRPr="002B136D" w:rsidRDefault="003E0278" w:rsidP="006E7629">
            <w:pPr>
              <w:jc w:val="both"/>
              <w:rPr>
                <w:rFonts w:cs="Times New Roman"/>
                <w:sz w:val="24"/>
                <w:szCs w:val="28"/>
              </w:rPr>
            </w:pPr>
            <w:r w:rsidRPr="002B136D">
              <w:rPr>
                <w:rFonts w:cs="Times New Roman"/>
                <w:sz w:val="24"/>
                <w:szCs w:val="28"/>
              </w:rPr>
              <w:t>18 (9,3 %)</w:t>
            </w:r>
          </w:p>
        </w:tc>
        <w:tc>
          <w:tcPr>
            <w:tcW w:w="1559" w:type="dxa"/>
            <w:vAlign w:val="center"/>
          </w:tcPr>
          <w:p w14:paraId="64BD290C" w14:textId="77777777" w:rsidR="003E0278" w:rsidRPr="002B136D" w:rsidRDefault="003E0278" w:rsidP="006E7629">
            <w:pPr>
              <w:jc w:val="both"/>
              <w:rPr>
                <w:rFonts w:cs="Times New Roman"/>
                <w:sz w:val="24"/>
                <w:szCs w:val="28"/>
              </w:rPr>
            </w:pPr>
            <w:r w:rsidRPr="002B136D">
              <w:rPr>
                <w:rFonts w:cs="Times New Roman"/>
                <w:sz w:val="24"/>
                <w:szCs w:val="28"/>
              </w:rPr>
              <w:t>11</w:t>
            </w:r>
          </w:p>
        </w:tc>
        <w:tc>
          <w:tcPr>
            <w:tcW w:w="1559" w:type="dxa"/>
            <w:vAlign w:val="center"/>
          </w:tcPr>
          <w:p w14:paraId="47DCA4AD" w14:textId="77777777" w:rsidR="003E0278" w:rsidRPr="002B136D" w:rsidRDefault="003E0278" w:rsidP="006E7629">
            <w:pPr>
              <w:jc w:val="both"/>
              <w:rPr>
                <w:rFonts w:cs="Times New Roman"/>
                <w:sz w:val="24"/>
                <w:szCs w:val="28"/>
              </w:rPr>
            </w:pPr>
            <w:r w:rsidRPr="002B136D">
              <w:rPr>
                <w:rFonts w:cs="Times New Roman"/>
                <w:sz w:val="24"/>
                <w:szCs w:val="28"/>
              </w:rPr>
              <w:t>7</w:t>
            </w:r>
          </w:p>
        </w:tc>
        <w:tc>
          <w:tcPr>
            <w:tcW w:w="1134" w:type="dxa"/>
            <w:vAlign w:val="center"/>
          </w:tcPr>
          <w:p w14:paraId="76A6493A" w14:textId="77777777" w:rsidR="003E0278" w:rsidRPr="002B136D" w:rsidRDefault="003E0278" w:rsidP="006E7629">
            <w:pPr>
              <w:jc w:val="both"/>
              <w:rPr>
                <w:rFonts w:cs="Times New Roman"/>
                <w:sz w:val="24"/>
                <w:szCs w:val="28"/>
              </w:rPr>
            </w:pPr>
            <w:r w:rsidRPr="002B136D">
              <w:rPr>
                <w:rFonts w:cs="Times New Roman"/>
                <w:sz w:val="24"/>
                <w:szCs w:val="28"/>
              </w:rPr>
              <w:t>0,3</w:t>
            </w:r>
          </w:p>
          <w:p w14:paraId="0A9F509E" w14:textId="04B1D340" w:rsidR="003E0278" w:rsidRPr="002B136D" w:rsidRDefault="003E0278" w:rsidP="006E7629">
            <w:pPr>
              <w:jc w:val="both"/>
              <w:rPr>
                <w:rFonts w:cs="Times New Roman"/>
                <w:sz w:val="24"/>
                <w:szCs w:val="28"/>
              </w:rPr>
            </w:pPr>
          </w:p>
        </w:tc>
      </w:tr>
      <w:tr w:rsidR="00D51D40" w:rsidRPr="002B136D" w14:paraId="51D094F2" w14:textId="77777777" w:rsidTr="001A2E09">
        <w:tc>
          <w:tcPr>
            <w:tcW w:w="9639" w:type="dxa"/>
            <w:gridSpan w:val="5"/>
            <w:vAlign w:val="center"/>
          </w:tcPr>
          <w:p w14:paraId="00838D4E" w14:textId="77777777" w:rsidR="003E0278" w:rsidRPr="002B136D" w:rsidRDefault="003E0278" w:rsidP="006E7629">
            <w:pPr>
              <w:jc w:val="both"/>
              <w:rPr>
                <w:rFonts w:cs="Times New Roman"/>
                <w:sz w:val="24"/>
                <w:szCs w:val="28"/>
              </w:rPr>
            </w:pPr>
            <w:r w:rsidRPr="002B136D">
              <w:rPr>
                <w:rFonts w:cs="Times New Roman"/>
                <w:bCs/>
                <w:sz w:val="24"/>
                <w:szCs w:val="28"/>
              </w:rPr>
              <w:t>Активность по CAS:</w:t>
            </w:r>
            <w:r w:rsidRPr="002B136D">
              <w:rPr>
                <w:rFonts w:cs="Times New Roman"/>
                <w:bCs/>
                <w:sz w:val="24"/>
                <w:szCs w:val="28"/>
                <w:lang w:val="kk-KZ"/>
              </w:rPr>
              <w:t xml:space="preserve"> </w:t>
            </w:r>
            <w:r w:rsidRPr="002B136D">
              <w:rPr>
                <w:rFonts w:cs="Times New Roman"/>
                <w:bCs/>
                <w:sz w:val="24"/>
                <w:szCs w:val="28"/>
              </w:rPr>
              <w:t>(шкала клинической активности; Clinical activity score)</w:t>
            </w:r>
          </w:p>
        </w:tc>
      </w:tr>
      <w:tr w:rsidR="00D51D40" w:rsidRPr="002B136D" w14:paraId="2C2C59F8" w14:textId="77777777" w:rsidTr="001A2E09">
        <w:tc>
          <w:tcPr>
            <w:tcW w:w="2469" w:type="dxa"/>
            <w:vAlign w:val="center"/>
          </w:tcPr>
          <w:p w14:paraId="49EED6D0" w14:textId="77777777" w:rsidR="003E0278" w:rsidRPr="002B136D" w:rsidRDefault="003E0278" w:rsidP="006E7629">
            <w:pPr>
              <w:jc w:val="both"/>
              <w:rPr>
                <w:rFonts w:cs="Times New Roman"/>
                <w:bCs/>
                <w:sz w:val="24"/>
                <w:szCs w:val="28"/>
              </w:rPr>
            </w:pPr>
            <w:r w:rsidRPr="002B136D">
              <w:rPr>
                <w:rFonts w:cs="Times New Roman"/>
                <w:sz w:val="24"/>
                <w:szCs w:val="28"/>
              </w:rPr>
              <w:t xml:space="preserve">Активная форма </w:t>
            </w:r>
            <w:r w:rsidRPr="002B136D">
              <w:rPr>
                <w:rFonts w:cs="Times New Roman"/>
                <w:sz w:val="24"/>
                <w:szCs w:val="28"/>
                <w:lang w:val="en-US"/>
              </w:rPr>
              <w:t>n</w:t>
            </w:r>
            <w:r w:rsidRPr="002B136D">
              <w:rPr>
                <w:rFonts w:cs="Times New Roman"/>
                <w:sz w:val="24"/>
                <w:szCs w:val="28"/>
              </w:rPr>
              <w:t xml:space="preserve"> (%)</w:t>
            </w:r>
          </w:p>
        </w:tc>
        <w:tc>
          <w:tcPr>
            <w:tcW w:w="2918" w:type="dxa"/>
            <w:vAlign w:val="center"/>
          </w:tcPr>
          <w:p w14:paraId="6AB3D921" w14:textId="77777777" w:rsidR="003E0278" w:rsidRPr="002B136D" w:rsidRDefault="003E0278" w:rsidP="006E7629">
            <w:pPr>
              <w:jc w:val="both"/>
              <w:rPr>
                <w:rFonts w:cs="Times New Roman"/>
                <w:sz w:val="24"/>
                <w:szCs w:val="28"/>
              </w:rPr>
            </w:pPr>
            <w:r w:rsidRPr="002B136D">
              <w:rPr>
                <w:rFonts w:cs="Times New Roman"/>
                <w:sz w:val="24"/>
                <w:szCs w:val="28"/>
              </w:rPr>
              <w:t>108 (55,96 %)</w:t>
            </w:r>
          </w:p>
        </w:tc>
        <w:tc>
          <w:tcPr>
            <w:tcW w:w="1559" w:type="dxa"/>
            <w:vAlign w:val="center"/>
          </w:tcPr>
          <w:p w14:paraId="109DB297" w14:textId="77777777" w:rsidR="003E0278" w:rsidRPr="002B136D" w:rsidRDefault="003E0278" w:rsidP="006E7629">
            <w:pPr>
              <w:jc w:val="both"/>
              <w:rPr>
                <w:rFonts w:cs="Times New Roman"/>
                <w:sz w:val="24"/>
                <w:szCs w:val="28"/>
              </w:rPr>
            </w:pPr>
            <w:r w:rsidRPr="002B136D">
              <w:rPr>
                <w:rFonts w:cs="Times New Roman"/>
                <w:sz w:val="24"/>
                <w:szCs w:val="28"/>
              </w:rPr>
              <w:t>43 (74,1%)</w:t>
            </w:r>
          </w:p>
        </w:tc>
        <w:tc>
          <w:tcPr>
            <w:tcW w:w="1559" w:type="dxa"/>
            <w:vAlign w:val="center"/>
          </w:tcPr>
          <w:p w14:paraId="0CD8F80A" w14:textId="77777777" w:rsidR="003E0278" w:rsidRPr="002B136D" w:rsidRDefault="003E0278" w:rsidP="006E7629">
            <w:pPr>
              <w:jc w:val="both"/>
              <w:rPr>
                <w:rFonts w:cs="Times New Roman"/>
                <w:sz w:val="24"/>
                <w:szCs w:val="28"/>
              </w:rPr>
            </w:pPr>
            <w:r w:rsidRPr="002B136D">
              <w:rPr>
                <w:rFonts w:cs="Times New Roman"/>
                <w:sz w:val="24"/>
                <w:szCs w:val="28"/>
              </w:rPr>
              <w:t>65 (48,1%)</w:t>
            </w:r>
          </w:p>
        </w:tc>
        <w:tc>
          <w:tcPr>
            <w:tcW w:w="1134" w:type="dxa"/>
            <w:vAlign w:val="center"/>
          </w:tcPr>
          <w:p w14:paraId="7AB05F69" w14:textId="2E636A67" w:rsidR="003E0278" w:rsidRPr="002B136D" w:rsidRDefault="003E0278" w:rsidP="006E7629">
            <w:pPr>
              <w:jc w:val="both"/>
              <w:rPr>
                <w:rFonts w:cs="Times New Roman"/>
                <w:sz w:val="24"/>
                <w:szCs w:val="28"/>
              </w:rPr>
            </w:pPr>
            <w:r w:rsidRPr="002B136D">
              <w:rPr>
                <w:rFonts w:cs="Times New Roman"/>
                <w:sz w:val="24"/>
                <w:szCs w:val="28"/>
              </w:rPr>
              <w:t>0,03</w:t>
            </w:r>
            <w:r w:rsidR="002C2A12" w:rsidRPr="002B136D">
              <w:rPr>
                <w:rFonts w:cs="Times New Roman"/>
                <w:sz w:val="24"/>
                <w:szCs w:val="28"/>
              </w:rPr>
              <w:t>*</w:t>
            </w:r>
          </w:p>
          <w:p w14:paraId="24214A4E" w14:textId="6DC1B21B" w:rsidR="003E0278" w:rsidRPr="002B136D" w:rsidRDefault="003E0278" w:rsidP="006E7629">
            <w:pPr>
              <w:jc w:val="both"/>
              <w:rPr>
                <w:rFonts w:cs="Times New Roman"/>
                <w:sz w:val="24"/>
                <w:szCs w:val="28"/>
              </w:rPr>
            </w:pPr>
          </w:p>
        </w:tc>
      </w:tr>
      <w:tr w:rsidR="00D51D40" w:rsidRPr="002B136D" w14:paraId="1FB7A3DB" w14:textId="77777777" w:rsidTr="001A2E09">
        <w:tc>
          <w:tcPr>
            <w:tcW w:w="2469" w:type="dxa"/>
            <w:vAlign w:val="center"/>
          </w:tcPr>
          <w:p w14:paraId="3C844B72" w14:textId="77777777" w:rsidR="003E0278" w:rsidRPr="002B136D" w:rsidRDefault="003E0278" w:rsidP="006E7629">
            <w:pPr>
              <w:jc w:val="both"/>
              <w:rPr>
                <w:rFonts w:cs="Times New Roman"/>
                <w:bCs/>
                <w:sz w:val="24"/>
                <w:szCs w:val="28"/>
              </w:rPr>
            </w:pPr>
            <w:r w:rsidRPr="002B136D">
              <w:rPr>
                <w:rFonts w:cs="Times New Roman"/>
                <w:sz w:val="24"/>
                <w:szCs w:val="28"/>
              </w:rPr>
              <w:t xml:space="preserve">Не активная форма </w:t>
            </w:r>
            <w:r w:rsidRPr="002B136D">
              <w:rPr>
                <w:rFonts w:cs="Times New Roman"/>
                <w:sz w:val="24"/>
                <w:szCs w:val="28"/>
                <w:lang w:val="en-US"/>
              </w:rPr>
              <w:t>n</w:t>
            </w:r>
            <w:r w:rsidRPr="002B136D">
              <w:rPr>
                <w:rFonts w:cs="Times New Roman"/>
                <w:sz w:val="24"/>
                <w:szCs w:val="28"/>
              </w:rPr>
              <w:t xml:space="preserve"> (%)</w:t>
            </w:r>
          </w:p>
        </w:tc>
        <w:tc>
          <w:tcPr>
            <w:tcW w:w="2918" w:type="dxa"/>
            <w:vAlign w:val="center"/>
          </w:tcPr>
          <w:p w14:paraId="3A4F31C6" w14:textId="77777777" w:rsidR="003E0278" w:rsidRPr="002B136D" w:rsidRDefault="003E0278" w:rsidP="006E7629">
            <w:pPr>
              <w:jc w:val="both"/>
              <w:rPr>
                <w:rFonts w:cs="Times New Roman"/>
                <w:sz w:val="24"/>
                <w:szCs w:val="28"/>
              </w:rPr>
            </w:pPr>
            <w:r w:rsidRPr="002B136D">
              <w:rPr>
                <w:rFonts w:cs="Times New Roman"/>
                <w:sz w:val="24"/>
                <w:szCs w:val="28"/>
              </w:rPr>
              <w:t>85 (44,04 %)</w:t>
            </w:r>
          </w:p>
        </w:tc>
        <w:tc>
          <w:tcPr>
            <w:tcW w:w="1559" w:type="dxa"/>
            <w:vAlign w:val="center"/>
          </w:tcPr>
          <w:p w14:paraId="0B355F36" w14:textId="77777777" w:rsidR="003E0278" w:rsidRPr="002B136D" w:rsidRDefault="003E0278" w:rsidP="006E7629">
            <w:pPr>
              <w:jc w:val="both"/>
              <w:rPr>
                <w:rFonts w:cs="Times New Roman"/>
                <w:sz w:val="24"/>
                <w:szCs w:val="28"/>
              </w:rPr>
            </w:pPr>
            <w:r w:rsidRPr="002B136D">
              <w:rPr>
                <w:rFonts w:cs="Times New Roman"/>
                <w:sz w:val="24"/>
                <w:szCs w:val="28"/>
              </w:rPr>
              <w:t>15 (25,9 %)</w:t>
            </w:r>
          </w:p>
        </w:tc>
        <w:tc>
          <w:tcPr>
            <w:tcW w:w="1559" w:type="dxa"/>
            <w:vAlign w:val="center"/>
          </w:tcPr>
          <w:p w14:paraId="19924BC6" w14:textId="77777777" w:rsidR="003E0278" w:rsidRPr="002B136D" w:rsidRDefault="003E0278" w:rsidP="006E7629">
            <w:pPr>
              <w:jc w:val="both"/>
              <w:rPr>
                <w:rFonts w:cs="Times New Roman"/>
                <w:sz w:val="24"/>
                <w:szCs w:val="28"/>
              </w:rPr>
            </w:pPr>
            <w:r w:rsidRPr="002B136D">
              <w:rPr>
                <w:rFonts w:cs="Times New Roman"/>
                <w:sz w:val="24"/>
                <w:szCs w:val="28"/>
              </w:rPr>
              <w:t>70 (52%)</w:t>
            </w:r>
          </w:p>
        </w:tc>
        <w:tc>
          <w:tcPr>
            <w:tcW w:w="1134" w:type="dxa"/>
            <w:vAlign w:val="center"/>
          </w:tcPr>
          <w:p w14:paraId="1C71A467" w14:textId="36F5CC62" w:rsidR="003E0278" w:rsidRPr="002B136D" w:rsidRDefault="003E0278" w:rsidP="006E7629">
            <w:pPr>
              <w:jc w:val="both"/>
              <w:rPr>
                <w:rFonts w:cs="Times New Roman"/>
                <w:sz w:val="24"/>
                <w:szCs w:val="28"/>
              </w:rPr>
            </w:pPr>
            <w:r w:rsidRPr="002B136D">
              <w:rPr>
                <w:rFonts w:cs="Times New Roman"/>
                <w:sz w:val="24"/>
                <w:szCs w:val="28"/>
              </w:rPr>
              <w:t>&lt;0,0001</w:t>
            </w:r>
            <w:r w:rsidR="002C2A12" w:rsidRPr="002B136D">
              <w:rPr>
                <w:rFonts w:cs="Times New Roman"/>
                <w:sz w:val="24"/>
                <w:szCs w:val="28"/>
              </w:rPr>
              <w:t>*</w:t>
            </w:r>
          </w:p>
          <w:p w14:paraId="3A95CBC9" w14:textId="3ADAAB12" w:rsidR="003E0278" w:rsidRPr="002B136D" w:rsidRDefault="003E0278" w:rsidP="006E7629">
            <w:pPr>
              <w:jc w:val="both"/>
              <w:rPr>
                <w:rFonts w:cs="Times New Roman"/>
                <w:sz w:val="24"/>
                <w:szCs w:val="28"/>
              </w:rPr>
            </w:pPr>
          </w:p>
        </w:tc>
      </w:tr>
      <w:tr w:rsidR="001A2E09" w:rsidRPr="002B136D" w14:paraId="27AD1E44" w14:textId="77777777" w:rsidTr="001A2E09">
        <w:trPr>
          <w:trHeight w:val="70"/>
        </w:trPr>
        <w:tc>
          <w:tcPr>
            <w:tcW w:w="9639" w:type="dxa"/>
            <w:gridSpan w:val="5"/>
            <w:vAlign w:val="center"/>
          </w:tcPr>
          <w:p w14:paraId="65EBF1EE" w14:textId="1C7D0AC6" w:rsidR="001A2E09" w:rsidRPr="002B136D" w:rsidRDefault="001A2E09" w:rsidP="001A2E09">
            <w:pPr>
              <w:ind w:firstLine="459"/>
              <w:jc w:val="both"/>
              <w:rPr>
                <w:rFonts w:cs="Times New Roman"/>
                <w:sz w:val="24"/>
                <w:szCs w:val="28"/>
              </w:rPr>
            </w:pPr>
            <w:r>
              <w:rPr>
                <w:rFonts w:cs="Times New Roman"/>
                <w:sz w:val="24"/>
                <w:szCs w:val="28"/>
              </w:rPr>
              <w:t xml:space="preserve">Примечание – Источник </w:t>
            </w:r>
            <w:r w:rsidRPr="002B136D">
              <w:rPr>
                <w:rFonts w:cs="Times New Roman"/>
                <w:sz w:val="24"/>
                <w:szCs w:val="28"/>
              </w:rPr>
              <w:t xml:space="preserve">* </w:t>
            </w:r>
            <w:proofErr w:type="gramStart"/>
            <w:r w:rsidRPr="002B136D">
              <w:rPr>
                <w:rFonts w:cs="Times New Roman"/>
                <w:sz w:val="24"/>
                <w:szCs w:val="28"/>
              </w:rPr>
              <w:t>р</w:t>
            </w:r>
            <w:proofErr w:type="gramEnd"/>
            <w:r w:rsidRPr="002B136D">
              <w:rPr>
                <w:rFonts w:cs="Times New Roman"/>
                <w:sz w:val="24"/>
                <w:szCs w:val="28"/>
              </w:rPr>
              <w:t>≤0,05</w:t>
            </w:r>
          </w:p>
        </w:tc>
      </w:tr>
    </w:tbl>
    <w:p w14:paraId="3B084B1D" w14:textId="77777777" w:rsidR="001A2E09" w:rsidRDefault="001A2E09" w:rsidP="00DD33AE">
      <w:pPr>
        <w:spacing w:after="0" w:line="240" w:lineRule="auto"/>
        <w:ind w:firstLine="709"/>
        <w:contextualSpacing/>
        <w:jc w:val="both"/>
        <w:rPr>
          <w:rFonts w:cs="Times New Roman"/>
          <w:szCs w:val="28"/>
        </w:rPr>
      </w:pPr>
    </w:p>
    <w:p w14:paraId="686871B8" w14:textId="6F51A538" w:rsidR="002C2A12" w:rsidRPr="002B136D" w:rsidRDefault="00950449" w:rsidP="001A2E09">
      <w:pPr>
        <w:spacing w:after="0" w:line="240" w:lineRule="auto"/>
        <w:ind w:firstLine="567"/>
        <w:contextualSpacing/>
        <w:jc w:val="both"/>
        <w:rPr>
          <w:rFonts w:cs="Times New Roman"/>
          <w:szCs w:val="28"/>
        </w:rPr>
      </w:pPr>
      <w:r w:rsidRPr="002B136D">
        <w:rPr>
          <w:rFonts w:cs="Times New Roman"/>
          <w:szCs w:val="28"/>
        </w:rPr>
        <w:t xml:space="preserve">В таблице </w:t>
      </w:r>
      <w:r w:rsidR="0076161A">
        <w:rPr>
          <w:rFonts w:cs="Times New Roman"/>
          <w:szCs w:val="28"/>
        </w:rPr>
        <w:t>9</w:t>
      </w:r>
      <w:r w:rsidR="002C2A12" w:rsidRPr="002B136D">
        <w:rPr>
          <w:rFonts w:cs="Times New Roman"/>
          <w:szCs w:val="28"/>
        </w:rPr>
        <w:t xml:space="preserve"> приведено сравнение офтальмологических характеристик, связанных с тяжестью эндокринной офтальмопатии (ЭОП) согласно классификации European Group of Graves’ Orbitopathy (EUGOGO) и по классификации </w:t>
      </w:r>
      <w:proofErr w:type="gramStart"/>
      <w:r w:rsidR="002C2A12" w:rsidRPr="002B136D">
        <w:rPr>
          <w:rFonts w:cs="Times New Roman"/>
          <w:szCs w:val="28"/>
        </w:rPr>
        <w:t>Бровкина</w:t>
      </w:r>
      <w:proofErr w:type="gramEnd"/>
      <w:r w:rsidR="002C2A12" w:rsidRPr="002B136D">
        <w:rPr>
          <w:rFonts w:cs="Times New Roman"/>
          <w:szCs w:val="28"/>
        </w:rPr>
        <w:t xml:space="preserve">. </w:t>
      </w:r>
    </w:p>
    <w:p w14:paraId="09DF7D82" w14:textId="77777777" w:rsidR="002C2A12" w:rsidRPr="002B136D" w:rsidRDefault="002C2A12" w:rsidP="001A2E09">
      <w:pPr>
        <w:spacing w:after="0" w:line="240" w:lineRule="auto"/>
        <w:ind w:firstLine="567"/>
        <w:contextualSpacing/>
        <w:jc w:val="both"/>
        <w:rPr>
          <w:rFonts w:cs="Times New Roman"/>
          <w:szCs w:val="28"/>
        </w:rPr>
      </w:pPr>
      <w:r w:rsidRPr="002B136D">
        <w:rPr>
          <w:rFonts w:cs="Times New Roman"/>
          <w:szCs w:val="28"/>
        </w:rPr>
        <w:lastRenderedPageBreak/>
        <w:t>Легкая форма ЭОП была обнаружена у 33% пациентов, с более высокой частотой среди женщин (40,7%) по сравнению с мужчинами (15,5%). Различия между полами статистически значимы (p&lt;0,0001).</w:t>
      </w:r>
    </w:p>
    <w:p w14:paraId="5DDE99A6" w14:textId="77777777" w:rsidR="002C2A12" w:rsidRPr="002B136D" w:rsidRDefault="002C2A12" w:rsidP="001A2E09">
      <w:pPr>
        <w:spacing w:after="0" w:line="240" w:lineRule="auto"/>
        <w:ind w:firstLine="567"/>
        <w:contextualSpacing/>
        <w:jc w:val="both"/>
        <w:rPr>
          <w:rFonts w:cs="Times New Roman"/>
          <w:szCs w:val="28"/>
        </w:rPr>
      </w:pPr>
      <w:r w:rsidRPr="002B136D">
        <w:rPr>
          <w:rFonts w:cs="Times New Roman"/>
          <w:szCs w:val="28"/>
        </w:rPr>
        <w:t>Умеренная форма ЭОП встречалась у 60% пациентов, преимущественно у мужчин (72,9%) по сравнению с женщинами (54,9%), с p-значением 0,005.</w:t>
      </w:r>
    </w:p>
    <w:p w14:paraId="3FB962B3" w14:textId="77777777" w:rsidR="002C2A12" w:rsidRPr="002B136D" w:rsidRDefault="002C2A12" w:rsidP="001A2E09">
      <w:pPr>
        <w:spacing w:after="0" w:line="240" w:lineRule="auto"/>
        <w:ind w:firstLine="567"/>
        <w:contextualSpacing/>
        <w:jc w:val="both"/>
        <w:rPr>
          <w:rFonts w:cs="Times New Roman"/>
          <w:szCs w:val="28"/>
        </w:rPr>
      </w:pPr>
      <w:r w:rsidRPr="002B136D">
        <w:rPr>
          <w:rFonts w:cs="Times New Roman"/>
          <w:szCs w:val="28"/>
        </w:rPr>
        <w:t xml:space="preserve">Форма ЭОП, угрожающая потерей зрения, была зафиксирована у 7% пациентов, с немного большей распространенностью у мужчин (13,6%) против 3,8% у женщин, однако </w:t>
      </w:r>
      <w:proofErr w:type="gramStart"/>
      <w:r w:rsidRPr="002B136D">
        <w:rPr>
          <w:rFonts w:cs="Times New Roman"/>
          <w:szCs w:val="28"/>
        </w:rPr>
        <w:t>различие не достигло</w:t>
      </w:r>
      <w:proofErr w:type="gramEnd"/>
      <w:r w:rsidRPr="002B136D">
        <w:rPr>
          <w:rFonts w:cs="Times New Roman"/>
          <w:szCs w:val="28"/>
        </w:rPr>
        <w:t xml:space="preserve"> статистической значимости (p=0,4).</w:t>
      </w:r>
    </w:p>
    <w:p w14:paraId="66240CC2" w14:textId="6126F763" w:rsidR="003E0278" w:rsidRPr="002B136D" w:rsidRDefault="002C2A12" w:rsidP="001A2E09">
      <w:pPr>
        <w:spacing w:after="0" w:line="240" w:lineRule="auto"/>
        <w:ind w:firstLine="567"/>
        <w:contextualSpacing/>
        <w:jc w:val="both"/>
        <w:rPr>
          <w:rFonts w:cs="Times New Roman"/>
          <w:szCs w:val="28"/>
        </w:rPr>
      </w:pPr>
      <w:r w:rsidRPr="002B136D">
        <w:rPr>
          <w:rFonts w:cs="Times New Roman"/>
          <w:szCs w:val="28"/>
        </w:rPr>
        <w:t xml:space="preserve">Тиреотоксический экзофтальм по классификации </w:t>
      </w:r>
      <w:proofErr w:type="gramStart"/>
      <w:r w:rsidRPr="002B136D">
        <w:rPr>
          <w:rFonts w:cs="Times New Roman"/>
          <w:szCs w:val="28"/>
        </w:rPr>
        <w:t>Бровкина</w:t>
      </w:r>
      <w:proofErr w:type="gramEnd"/>
      <w:r w:rsidRPr="002B136D">
        <w:rPr>
          <w:rFonts w:cs="Times New Roman"/>
          <w:szCs w:val="28"/>
        </w:rPr>
        <w:t xml:space="preserve"> встречался у 8,3% пациентов, вновь с большей распространенностью среди женщин (9,6%) по сравнению с мужчинами (5,2%), с p-значением 0,01.</w:t>
      </w:r>
    </w:p>
    <w:p w14:paraId="2EED743F" w14:textId="3D933D9B" w:rsidR="002C2A12" w:rsidRPr="002B136D" w:rsidRDefault="002C2A12" w:rsidP="000210B8">
      <w:pPr>
        <w:spacing w:after="0" w:line="240" w:lineRule="auto"/>
        <w:ind w:firstLine="709"/>
        <w:contextualSpacing/>
        <w:jc w:val="center"/>
        <w:rPr>
          <w:rFonts w:cs="Times New Roman"/>
          <w:sz w:val="32"/>
          <w:szCs w:val="28"/>
        </w:rPr>
      </w:pPr>
    </w:p>
    <w:p w14:paraId="54AF3F05" w14:textId="63D399D5" w:rsidR="002C2A12" w:rsidRDefault="00950449" w:rsidP="001A2E09">
      <w:pPr>
        <w:spacing w:after="0" w:line="240" w:lineRule="auto"/>
        <w:contextualSpacing/>
        <w:jc w:val="both"/>
        <w:rPr>
          <w:rFonts w:cs="Times New Roman"/>
          <w:bCs/>
          <w:szCs w:val="28"/>
        </w:rPr>
      </w:pPr>
      <w:r w:rsidRPr="001A2E09">
        <w:rPr>
          <w:rFonts w:cs="Times New Roman"/>
          <w:bCs/>
          <w:szCs w:val="28"/>
          <w:lang w:val="kk-KZ"/>
        </w:rPr>
        <w:t xml:space="preserve">Таблица </w:t>
      </w:r>
      <w:r w:rsidR="0076161A">
        <w:rPr>
          <w:rFonts w:cs="Times New Roman"/>
          <w:bCs/>
          <w:szCs w:val="28"/>
          <w:lang w:val="kk-KZ"/>
        </w:rPr>
        <w:t>9</w:t>
      </w:r>
      <w:r w:rsidR="002C2A12" w:rsidRPr="001A2E09">
        <w:rPr>
          <w:rFonts w:cs="Times New Roman"/>
          <w:bCs/>
          <w:szCs w:val="28"/>
          <w:lang w:val="kk-KZ"/>
        </w:rPr>
        <w:t xml:space="preserve"> – Оценка </w:t>
      </w:r>
      <w:r w:rsidR="002C2A12" w:rsidRPr="001A2E09">
        <w:rPr>
          <w:rFonts w:cs="Times New Roman"/>
          <w:bCs/>
          <w:szCs w:val="28"/>
        </w:rPr>
        <w:t xml:space="preserve">тяжести эндокринной офтальмопатии (ЭОП) согласно классификации European Group of Graves’ </w:t>
      </w:r>
      <w:r w:rsidR="000210B8" w:rsidRPr="001A2E09">
        <w:rPr>
          <w:rFonts w:cs="Times New Roman"/>
          <w:bCs/>
          <w:szCs w:val="28"/>
        </w:rPr>
        <w:t>о</w:t>
      </w:r>
      <w:r w:rsidR="002C2A12" w:rsidRPr="001A2E09">
        <w:rPr>
          <w:rFonts w:cs="Times New Roman"/>
          <w:bCs/>
          <w:szCs w:val="28"/>
        </w:rPr>
        <w:t>rbitopathy (EUGOGO) и по классификации Бровкина</w:t>
      </w:r>
    </w:p>
    <w:p w14:paraId="1C2699A4" w14:textId="77777777" w:rsidR="001A2E09" w:rsidRPr="001A2E09" w:rsidRDefault="001A2E09" w:rsidP="001A2E09">
      <w:pPr>
        <w:spacing w:after="0" w:line="240" w:lineRule="auto"/>
        <w:contextualSpacing/>
        <w:jc w:val="both"/>
        <w:rPr>
          <w:rFonts w:cs="Times New Roman"/>
          <w:bCs/>
          <w:szCs w:val="28"/>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86"/>
        <w:gridCol w:w="1984"/>
        <w:gridCol w:w="1418"/>
        <w:gridCol w:w="1417"/>
        <w:gridCol w:w="1134"/>
      </w:tblGrid>
      <w:tr w:rsidR="00D51D40" w:rsidRPr="002B136D" w14:paraId="3624B5DD" w14:textId="77777777" w:rsidTr="001A2E09">
        <w:trPr>
          <w:trHeight w:val="300"/>
        </w:trPr>
        <w:tc>
          <w:tcPr>
            <w:tcW w:w="3686" w:type="dxa"/>
            <w:shd w:val="clear" w:color="auto" w:fill="auto"/>
            <w:noWrap/>
            <w:vAlign w:val="bottom"/>
            <w:hideMark/>
          </w:tcPr>
          <w:p w14:paraId="724F8FCC"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Характеристики</w:t>
            </w:r>
          </w:p>
        </w:tc>
        <w:tc>
          <w:tcPr>
            <w:tcW w:w="1984" w:type="dxa"/>
            <w:shd w:val="clear" w:color="auto" w:fill="auto"/>
            <w:noWrap/>
            <w:vAlign w:val="bottom"/>
            <w:hideMark/>
          </w:tcPr>
          <w:p w14:paraId="714C884E"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Количество пациентов n=193</w:t>
            </w:r>
          </w:p>
        </w:tc>
        <w:tc>
          <w:tcPr>
            <w:tcW w:w="1418" w:type="dxa"/>
            <w:shd w:val="clear" w:color="auto" w:fill="auto"/>
            <w:noWrap/>
            <w:vAlign w:val="bottom"/>
            <w:hideMark/>
          </w:tcPr>
          <w:p w14:paraId="20161AA3"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Мужчины</w:t>
            </w:r>
          </w:p>
        </w:tc>
        <w:tc>
          <w:tcPr>
            <w:tcW w:w="1417" w:type="dxa"/>
            <w:shd w:val="clear" w:color="auto" w:fill="auto"/>
            <w:noWrap/>
            <w:vAlign w:val="bottom"/>
            <w:hideMark/>
          </w:tcPr>
          <w:p w14:paraId="0B08B443"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Женщины</w:t>
            </w:r>
          </w:p>
        </w:tc>
        <w:tc>
          <w:tcPr>
            <w:tcW w:w="1134" w:type="dxa"/>
            <w:shd w:val="clear" w:color="auto" w:fill="auto"/>
            <w:noWrap/>
            <w:vAlign w:val="bottom"/>
            <w:hideMark/>
          </w:tcPr>
          <w:p w14:paraId="67F82808"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p</w:t>
            </w:r>
          </w:p>
        </w:tc>
      </w:tr>
      <w:tr w:rsidR="00D51D40" w:rsidRPr="002B136D" w14:paraId="07DC56F4" w14:textId="77777777" w:rsidTr="001A2E09">
        <w:trPr>
          <w:trHeight w:val="300"/>
        </w:trPr>
        <w:tc>
          <w:tcPr>
            <w:tcW w:w="3686" w:type="dxa"/>
            <w:shd w:val="clear" w:color="auto" w:fill="auto"/>
            <w:noWrap/>
            <w:vAlign w:val="bottom"/>
            <w:hideMark/>
          </w:tcPr>
          <w:p w14:paraId="3961BBE6"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Тяжесть по EUGOGO: Легкая n (%)</w:t>
            </w:r>
          </w:p>
        </w:tc>
        <w:tc>
          <w:tcPr>
            <w:tcW w:w="1984" w:type="dxa"/>
            <w:shd w:val="clear" w:color="auto" w:fill="auto"/>
            <w:noWrap/>
            <w:vAlign w:val="bottom"/>
            <w:hideMark/>
          </w:tcPr>
          <w:p w14:paraId="75722D82"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64 (33%)</w:t>
            </w:r>
          </w:p>
        </w:tc>
        <w:tc>
          <w:tcPr>
            <w:tcW w:w="1418" w:type="dxa"/>
            <w:shd w:val="clear" w:color="auto" w:fill="auto"/>
            <w:noWrap/>
            <w:vAlign w:val="bottom"/>
            <w:hideMark/>
          </w:tcPr>
          <w:p w14:paraId="3848D4F4"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9 (15,5%)</w:t>
            </w:r>
          </w:p>
        </w:tc>
        <w:tc>
          <w:tcPr>
            <w:tcW w:w="1417" w:type="dxa"/>
            <w:shd w:val="clear" w:color="auto" w:fill="auto"/>
            <w:noWrap/>
            <w:vAlign w:val="bottom"/>
            <w:hideMark/>
          </w:tcPr>
          <w:p w14:paraId="5D1E70E0"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55 (40,7%)</w:t>
            </w:r>
          </w:p>
        </w:tc>
        <w:tc>
          <w:tcPr>
            <w:tcW w:w="1134" w:type="dxa"/>
            <w:shd w:val="clear" w:color="auto" w:fill="auto"/>
            <w:noWrap/>
            <w:vAlign w:val="bottom"/>
            <w:hideMark/>
          </w:tcPr>
          <w:p w14:paraId="73DD3237" w14:textId="17751359"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&lt;0,0001*</w:t>
            </w:r>
          </w:p>
        </w:tc>
      </w:tr>
      <w:tr w:rsidR="00D51D40" w:rsidRPr="002B136D" w14:paraId="4D2C0437" w14:textId="77777777" w:rsidTr="001A2E09">
        <w:trPr>
          <w:trHeight w:val="300"/>
        </w:trPr>
        <w:tc>
          <w:tcPr>
            <w:tcW w:w="3686" w:type="dxa"/>
            <w:shd w:val="clear" w:color="auto" w:fill="auto"/>
            <w:noWrap/>
            <w:vAlign w:val="bottom"/>
            <w:hideMark/>
          </w:tcPr>
          <w:p w14:paraId="2B008291"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Тяжесть по EUGOGO: Умеренная n (%)</w:t>
            </w:r>
          </w:p>
        </w:tc>
        <w:tc>
          <w:tcPr>
            <w:tcW w:w="1984" w:type="dxa"/>
            <w:shd w:val="clear" w:color="auto" w:fill="auto"/>
            <w:noWrap/>
            <w:vAlign w:val="bottom"/>
            <w:hideMark/>
          </w:tcPr>
          <w:p w14:paraId="4D9DC9CB"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116 (60%)</w:t>
            </w:r>
          </w:p>
        </w:tc>
        <w:tc>
          <w:tcPr>
            <w:tcW w:w="1418" w:type="dxa"/>
            <w:shd w:val="clear" w:color="auto" w:fill="auto"/>
            <w:noWrap/>
            <w:vAlign w:val="bottom"/>
            <w:hideMark/>
          </w:tcPr>
          <w:p w14:paraId="395357C6"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43 (72,9%)</w:t>
            </w:r>
          </w:p>
        </w:tc>
        <w:tc>
          <w:tcPr>
            <w:tcW w:w="1417" w:type="dxa"/>
            <w:shd w:val="clear" w:color="auto" w:fill="auto"/>
            <w:noWrap/>
            <w:vAlign w:val="bottom"/>
            <w:hideMark/>
          </w:tcPr>
          <w:p w14:paraId="4D5B1767"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73 (54,9%)</w:t>
            </w:r>
          </w:p>
        </w:tc>
        <w:tc>
          <w:tcPr>
            <w:tcW w:w="1134" w:type="dxa"/>
            <w:shd w:val="clear" w:color="auto" w:fill="auto"/>
            <w:noWrap/>
            <w:vAlign w:val="bottom"/>
            <w:hideMark/>
          </w:tcPr>
          <w:p w14:paraId="3A9DA768" w14:textId="0173F04A"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0,005*</w:t>
            </w:r>
          </w:p>
        </w:tc>
      </w:tr>
      <w:tr w:rsidR="00D51D40" w:rsidRPr="002B136D" w14:paraId="52216397" w14:textId="77777777" w:rsidTr="001A2E09">
        <w:trPr>
          <w:trHeight w:val="300"/>
        </w:trPr>
        <w:tc>
          <w:tcPr>
            <w:tcW w:w="3686" w:type="dxa"/>
            <w:shd w:val="clear" w:color="auto" w:fill="auto"/>
            <w:noWrap/>
            <w:vAlign w:val="bottom"/>
            <w:hideMark/>
          </w:tcPr>
          <w:p w14:paraId="2CAA9E1A" w14:textId="16E0699D" w:rsidR="002C2A12" w:rsidRPr="002B136D" w:rsidRDefault="00643858"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 xml:space="preserve">Тяжесть </w:t>
            </w:r>
            <w:r w:rsidR="002C2A12" w:rsidRPr="002B136D">
              <w:rPr>
                <w:rFonts w:eastAsia="Times New Roman" w:cs="Times New Roman"/>
                <w:sz w:val="24"/>
                <w:szCs w:val="28"/>
              </w:rPr>
              <w:t xml:space="preserve">по EUGOGO: </w:t>
            </w:r>
            <w:proofErr w:type="gramStart"/>
            <w:r w:rsidR="002C2A12" w:rsidRPr="002B136D">
              <w:rPr>
                <w:rFonts w:eastAsia="Times New Roman" w:cs="Times New Roman"/>
                <w:sz w:val="24"/>
                <w:szCs w:val="28"/>
              </w:rPr>
              <w:t>Угрожающая</w:t>
            </w:r>
            <w:proofErr w:type="gramEnd"/>
            <w:r w:rsidR="002C2A12" w:rsidRPr="002B136D">
              <w:rPr>
                <w:rFonts w:eastAsia="Times New Roman" w:cs="Times New Roman"/>
                <w:sz w:val="24"/>
                <w:szCs w:val="28"/>
              </w:rPr>
              <w:t xml:space="preserve"> потерей зрения n (%)</w:t>
            </w:r>
          </w:p>
        </w:tc>
        <w:tc>
          <w:tcPr>
            <w:tcW w:w="1984" w:type="dxa"/>
            <w:shd w:val="clear" w:color="auto" w:fill="auto"/>
            <w:noWrap/>
            <w:vAlign w:val="bottom"/>
            <w:hideMark/>
          </w:tcPr>
          <w:p w14:paraId="28802968"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13 (7%)</w:t>
            </w:r>
          </w:p>
        </w:tc>
        <w:tc>
          <w:tcPr>
            <w:tcW w:w="1418" w:type="dxa"/>
            <w:shd w:val="clear" w:color="auto" w:fill="auto"/>
            <w:noWrap/>
            <w:vAlign w:val="bottom"/>
            <w:hideMark/>
          </w:tcPr>
          <w:p w14:paraId="57C14C14"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8 (13,6%)</w:t>
            </w:r>
          </w:p>
        </w:tc>
        <w:tc>
          <w:tcPr>
            <w:tcW w:w="1417" w:type="dxa"/>
            <w:shd w:val="clear" w:color="auto" w:fill="auto"/>
            <w:noWrap/>
            <w:vAlign w:val="bottom"/>
            <w:hideMark/>
          </w:tcPr>
          <w:p w14:paraId="2D90782E"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5 (3,8%)</w:t>
            </w:r>
          </w:p>
        </w:tc>
        <w:tc>
          <w:tcPr>
            <w:tcW w:w="1134" w:type="dxa"/>
            <w:shd w:val="clear" w:color="auto" w:fill="auto"/>
            <w:noWrap/>
            <w:vAlign w:val="bottom"/>
            <w:hideMark/>
          </w:tcPr>
          <w:p w14:paraId="1A5F392E"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0,4</w:t>
            </w:r>
          </w:p>
        </w:tc>
      </w:tr>
      <w:tr w:rsidR="00D51D40" w:rsidRPr="002B136D" w14:paraId="5AF7001D" w14:textId="77777777" w:rsidTr="001A2E09">
        <w:trPr>
          <w:trHeight w:val="300"/>
        </w:trPr>
        <w:tc>
          <w:tcPr>
            <w:tcW w:w="3686" w:type="dxa"/>
            <w:shd w:val="clear" w:color="auto" w:fill="auto"/>
            <w:noWrap/>
            <w:vAlign w:val="bottom"/>
            <w:hideMark/>
          </w:tcPr>
          <w:p w14:paraId="65F67570"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 xml:space="preserve">Классификация ЭОП по </w:t>
            </w:r>
            <w:proofErr w:type="gramStart"/>
            <w:r w:rsidRPr="002B136D">
              <w:rPr>
                <w:rFonts w:eastAsia="Times New Roman" w:cs="Times New Roman"/>
                <w:sz w:val="24"/>
                <w:szCs w:val="28"/>
              </w:rPr>
              <w:t>Бровкину</w:t>
            </w:r>
            <w:proofErr w:type="gramEnd"/>
            <w:r w:rsidRPr="002B136D">
              <w:rPr>
                <w:rFonts w:eastAsia="Times New Roman" w:cs="Times New Roman"/>
                <w:sz w:val="24"/>
                <w:szCs w:val="28"/>
              </w:rPr>
              <w:t>: Тиреотоксический экзофтальм n (%)</w:t>
            </w:r>
          </w:p>
        </w:tc>
        <w:tc>
          <w:tcPr>
            <w:tcW w:w="1984" w:type="dxa"/>
            <w:shd w:val="clear" w:color="auto" w:fill="auto"/>
            <w:noWrap/>
            <w:vAlign w:val="bottom"/>
            <w:hideMark/>
          </w:tcPr>
          <w:p w14:paraId="3B0444DF"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16 (8,3%)</w:t>
            </w:r>
          </w:p>
        </w:tc>
        <w:tc>
          <w:tcPr>
            <w:tcW w:w="1418" w:type="dxa"/>
            <w:shd w:val="clear" w:color="auto" w:fill="auto"/>
            <w:noWrap/>
            <w:vAlign w:val="bottom"/>
            <w:hideMark/>
          </w:tcPr>
          <w:p w14:paraId="2DD2EA2B"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3 (5,2%)</w:t>
            </w:r>
          </w:p>
        </w:tc>
        <w:tc>
          <w:tcPr>
            <w:tcW w:w="1417" w:type="dxa"/>
            <w:shd w:val="clear" w:color="auto" w:fill="auto"/>
            <w:noWrap/>
            <w:vAlign w:val="bottom"/>
            <w:hideMark/>
          </w:tcPr>
          <w:p w14:paraId="0F6E2E38" w14:textId="77777777"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13 (9,6%)</w:t>
            </w:r>
          </w:p>
        </w:tc>
        <w:tc>
          <w:tcPr>
            <w:tcW w:w="1134" w:type="dxa"/>
            <w:shd w:val="clear" w:color="auto" w:fill="auto"/>
            <w:noWrap/>
            <w:vAlign w:val="bottom"/>
            <w:hideMark/>
          </w:tcPr>
          <w:p w14:paraId="10EFCF79" w14:textId="57D5E7C6" w:rsidR="002C2A12" w:rsidRPr="002B136D" w:rsidRDefault="002C2A12" w:rsidP="00DD33AE">
            <w:pPr>
              <w:spacing w:after="0" w:line="240" w:lineRule="auto"/>
              <w:contextualSpacing/>
              <w:jc w:val="both"/>
              <w:rPr>
                <w:rFonts w:eastAsia="Times New Roman" w:cs="Times New Roman"/>
                <w:sz w:val="24"/>
                <w:szCs w:val="28"/>
              </w:rPr>
            </w:pPr>
            <w:r w:rsidRPr="002B136D">
              <w:rPr>
                <w:rFonts w:eastAsia="Times New Roman" w:cs="Times New Roman"/>
                <w:sz w:val="24"/>
                <w:szCs w:val="28"/>
              </w:rPr>
              <w:t>0,01*</w:t>
            </w:r>
          </w:p>
        </w:tc>
      </w:tr>
      <w:tr w:rsidR="001A2E09" w:rsidRPr="002B136D" w14:paraId="3D5B6800" w14:textId="77777777" w:rsidTr="001A2E09">
        <w:trPr>
          <w:trHeight w:val="60"/>
        </w:trPr>
        <w:tc>
          <w:tcPr>
            <w:tcW w:w="9639" w:type="dxa"/>
            <w:gridSpan w:val="5"/>
            <w:shd w:val="clear" w:color="auto" w:fill="auto"/>
            <w:noWrap/>
            <w:vAlign w:val="bottom"/>
          </w:tcPr>
          <w:p w14:paraId="56029D5A" w14:textId="792C7494" w:rsidR="001A2E09" w:rsidRPr="001A2E09" w:rsidRDefault="001A2E09" w:rsidP="001A2E09">
            <w:pPr>
              <w:spacing w:after="0" w:line="240" w:lineRule="auto"/>
              <w:ind w:firstLine="459"/>
              <w:jc w:val="both"/>
              <w:rPr>
                <w:rFonts w:cs="Times New Roman"/>
                <w:sz w:val="24"/>
                <w:szCs w:val="24"/>
              </w:rPr>
            </w:pPr>
            <w:r>
              <w:rPr>
                <w:rFonts w:cs="Times New Roman"/>
                <w:sz w:val="24"/>
                <w:szCs w:val="24"/>
              </w:rPr>
              <w:t xml:space="preserve">Примечание – Источник </w:t>
            </w:r>
            <w:r w:rsidRPr="001A2E09">
              <w:rPr>
                <w:rFonts w:cs="Times New Roman"/>
                <w:sz w:val="24"/>
                <w:szCs w:val="24"/>
              </w:rPr>
              <w:t xml:space="preserve">* </w:t>
            </w:r>
            <w:proofErr w:type="gramStart"/>
            <w:r w:rsidRPr="001A2E09">
              <w:rPr>
                <w:rFonts w:cs="Times New Roman"/>
                <w:sz w:val="24"/>
                <w:szCs w:val="24"/>
              </w:rPr>
              <w:t>р</w:t>
            </w:r>
            <w:proofErr w:type="gramEnd"/>
            <w:r w:rsidRPr="001A2E09">
              <w:rPr>
                <w:rFonts w:cs="Times New Roman"/>
                <w:sz w:val="24"/>
                <w:szCs w:val="24"/>
              </w:rPr>
              <w:t>≤0,05</w:t>
            </w:r>
          </w:p>
        </w:tc>
      </w:tr>
    </w:tbl>
    <w:p w14:paraId="54CFF09C" w14:textId="77777777" w:rsidR="001A2E09" w:rsidRDefault="001A2E09" w:rsidP="00DD33AE">
      <w:pPr>
        <w:spacing w:after="0" w:line="240" w:lineRule="auto"/>
        <w:ind w:firstLine="709"/>
        <w:contextualSpacing/>
        <w:jc w:val="both"/>
        <w:rPr>
          <w:rFonts w:cs="Times New Roman"/>
          <w:szCs w:val="28"/>
        </w:rPr>
      </w:pPr>
    </w:p>
    <w:p w14:paraId="611280F2" w14:textId="45356CFB" w:rsidR="008B3DDD" w:rsidRPr="002B136D" w:rsidRDefault="008B3DDD" w:rsidP="001A2E09">
      <w:pPr>
        <w:spacing w:after="0" w:line="240" w:lineRule="auto"/>
        <w:ind w:firstLine="567"/>
        <w:contextualSpacing/>
        <w:jc w:val="both"/>
        <w:rPr>
          <w:rFonts w:cs="Times New Roman"/>
          <w:szCs w:val="28"/>
        </w:rPr>
      </w:pPr>
      <w:r w:rsidRPr="002B136D">
        <w:rPr>
          <w:rFonts w:cs="Times New Roman"/>
          <w:szCs w:val="28"/>
        </w:rPr>
        <w:t>Анализ данных по стадиям отечности экзофтальма, наличию эндокринной миопатии и проведению</w:t>
      </w:r>
      <w:r w:rsidR="00950449" w:rsidRPr="002B136D">
        <w:rPr>
          <w:rFonts w:cs="Times New Roman"/>
          <w:szCs w:val="28"/>
        </w:rPr>
        <w:t xml:space="preserve"> декомпрессии орбиты </w:t>
      </w:r>
      <w:r w:rsidR="0067708D">
        <w:rPr>
          <w:rFonts w:cs="Times New Roman"/>
          <w:szCs w:val="28"/>
        </w:rPr>
        <w:t xml:space="preserve">(таблица </w:t>
      </w:r>
      <w:r w:rsidR="00950449" w:rsidRPr="002B136D">
        <w:rPr>
          <w:rFonts w:cs="Times New Roman"/>
          <w:szCs w:val="28"/>
        </w:rPr>
        <w:t>1</w:t>
      </w:r>
      <w:r w:rsidR="0076161A">
        <w:rPr>
          <w:rFonts w:cs="Times New Roman"/>
          <w:szCs w:val="28"/>
        </w:rPr>
        <w:t>0</w:t>
      </w:r>
      <w:r w:rsidRPr="002B136D">
        <w:rPr>
          <w:rFonts w:cs="Times New Roman"/>
          <w:szCs w:val="28"/>
        </w:rPr>
        <w:t>) дает важное представление о клинической картине эндокринной офтальмопатии (ЭОП) и её различиях у мужчин и женщин.</w:t>
      </w:r>
    </w:p>
    <w:p w14:paraId="51A60FFA" w14:textId="719F25CF" w:rsidR="008B3DDD" w:rsidRPr="002B136D" w:rsidRDefault="008B3DDD" w:rsidP="001A2E09">
      <w:pPr>
        <w:spacing w:after="0" w:line="240" w:lineRule="auto"/>
        <w:ind w:firstLine="567"/>
        <w:contextualSpacing/>
        <w:jc w:val="both"/>
        <w:rPr>
          <w:rFonts w:cs="Times New Roman"/>
          <w:szCs w:val="28"/>
        </w:rPr>
      </w:pPr>
      <w:r w:rsidRPr="002B136D">
        <w:rPr>
          <w:rFonts w:cs="Times New Roman"/>
          <w:szCs w:val="28"/>
        </w:rPr>
        <w:t>Отечный экзофтальм на стадии компенсации, который представляет начальную фазу отека и наименьшую степень тяжести, значительно больше женщин (28,1%) по сравнению с мужчинами (12,1%) испытывали эту стадию, что подтверждается очень низким p-значением (&lt;0,0001), указывая на статистически значимое различие. Аналогичная ситуация наблюдается и в стадии субкомпенсации, где у женщин (48,1%) отмечается более высокая распространенность по сравнению с мужчинами (39,7%). В стадии декомпенсации, характеризующейся наиболее тяжелой формой экзофтальма, различия между полами не являются статистически значимыми (p=0,33), хотя численно мужчин с декомпенсацией экзофтальма больше.</w:t>
      </w:r>
      <w:r w:rsidR="00E81188" w:rsidRPr="002B136D">
        <w:rPr>
          <w:rFonts w:cs="Times New Roman"/>
          <w:szCs w:val="28"/>
        </w:rPr>
        <w:t xml:space="preserve"> </w:t>
      </w:r>
      <w:r w:rsidRPr="002B136D">
        <w:rPr>
          <w:rFonts w:cs="Times New Roman"/>
          <w:szCs w:val="28"/>
        </w:rPr>
        <w:t xml:space="preserve">Эндокринная </w:t>
      </w:r>
      <w:r w:rsidRPr="002B136D">
        <w:rPr>
          <w:rFonts w:cs="Times New Roman"/>
          <w:szCs w:val="28"/>
        </w:rPr>
        <w:lastRenderedPageBreak/>
        <w:t xml:space="preserve">миопатия </w:t>
      </w:r>
      <w:proofErr w:type="gramStart"/>
      <w:r w:rsidRPr="002B136D">
        <w:rPr>
          <w:rFonts w:cs="Times New Roman"/>
          <w:szCs w:val="28"/>
        </w:rPr>
        <w:t>характеризующееся</w:t>
      </w:r>
      <w:proofErr w:type="gramEnd"/>
      <w:r w:rsidRPr="002B136D">
        <w:rPr>
          <w:rFonts w:cs="Times New Roman"/>
          <w:szCs w:val="28"/>
        </w:rPr>
        <w:t xml:space="preserve"> нарушением функции глазных мышц, встречалось у 18,9% мужчин и у 4,4% женщин. Различия между полами не достигли статистической значимости (p=0,31), тем не менее, высокий процент миопатии среди мужчин может указывать на более тяжелое течение заболевания или различия в ответе на терапию.</w:t>
      </w:r>
      <w:r w:rsidR="00E81188" w:rsidRPr="002B136D">
        <w:rPr>
          <w:rFonts w:cs="Times New Roman"/>
          <w:szCs w:val="28"/>
        </w:rPr>
        <w:t xml:space="preserve"> </w:t>
      </w:r>
      <w:r w:rsidRPr="002B136D">
        <w:rPr>
          <w:rFonts w:cs="Times New Roman"/>
          <w:szCs w:val="28"/>
        </w:rPr>
        <w:t>Декомпрессия орбиты было проведено у 25,4% мужчин и 10% женщин. Хотя p-значение не указано, расхождение между процентами позволяет предположить о потенциальной значимости этих различий.</w:t>
      </w:r>
    </w:p>
    <w:p w14:paraId="099053EE" w14:textId="3F47C315" w:rsidR="003E0278" w:rsidRPr="002B136D" w:rsidRDefault="008B3DDD" w:rsidP="001A2E09">
      <w:pPr>
        <w:spacing w:after="0" w:line="240" w:lineRule="auto"/>
        <w:ind w:firstLine="567"/>
        <w:contextualSpacing/>
        <w:jc w:val="both"/>
        <w:rPr>
          <w:rFonts w:cs="Times New Roman"/>
          <w:szCs w:val="28"/>
        </w:rPr>
      </w:pPr>
      <w:r w:rsidRPr="002B136D">
        <w:rPr>
          <w:rFonts w:cs="Times New Roman"/>
          <w:szCs w:val="28"/>
        </w:rPr>
        <w:t>При рассмотрении общего количества пациентов, стадии компенсации и субкомпенсации экзофтальма встречались одинаково часто (по 45,6%), в то время как декомпенсация и эндокринная миопатия были менее распространены (14% и 8,3% соответственно). Это подчеркивает распространенность умеренных стадий ЭОП среди пациентов и указывает на важность ранней диагностики и вмешательства для предотвращения перехода в более тяжелые стадии.</w:t>
      </w:r>
    </w:p>
    <w:p w14:paraId="3986F0E5" w14:textId="08D46560" w:rsidR="00641C31" w:rsidRPr="002B136D" w:rsidRDefault="00641C31" w:rsidP="00DD33AE">
      <w:pPr>
        <w:spacing w:after="0" w:line="240" w:lineRule="auto"/>
        <w:ind w:firstLine="709"/>
        <w:contextualSpacing/>
        <w:jc w:val="both"/>
        <w:rPr>
          <w:rFonts w:cs="Times New Roman"/>
          <w:szCs w:val="28"/>
        </w:rPr>
      </w:pPr>
    </w:p>
    <w:p w14:paraId="1711F925" w14:textId="556D2258" w:rsidR="003E0278" w:rsidRPr="000346E5" w:rsidRDefault="0071282B" w:rsidP="000346E5">
      <w:pPr>
        <w:spacing w:after="0" w:line="240" w:lineRule="auto"/>
        <w:contextualSpacing/>
        <w:jc w:val="both"/>
        <w:rPr>
          <w:rFonts w:cs="Times New Roman"/>
          <w:bCs/>
          <w:szCs w:val="28"/>
          <w:lang w:val="kk-KZ"/>
        </w:rPr>
      </w:pPr>
      <w:r w:rsidRPr="000346E5">
        <w:rPr>
          <w:rFonts w:cs="Times New Roman"/>
          <w:bCs/>
          <w:szCs w:val="28"/>
          <w:lang w:val="kk-KZ"/>
        </w:rPr>
        <w:t>Таблица 1</w:t>
      </w:r>
      <w:r w:rsidR="0076161A">
        <w:rPr>
          <w:rFonts w:cs="Times New Roman"/>
          <w:bCs/>
          <w:szCs w:val="28"/>
          <w:lang w:val="kk-KZ"/>
        </w:rPr>
        <w:t>0</w:t>
      </w:r>
      <w:r w:rsidR="000346E5" w:rsidRPr="000346E5">
        <w:rPr>
          <w:rFonts w:cs="Times New Roman"/>
          <w:bCs/>
          <w:szCs w:val="28"/>
          <w:lang w:val="kk-KZ"/>
        </w:rPr>
        <w:t xml:space="preserve"> -</w:t>
      </w:r>
      <w:r w:rsidR="000210B8" w:rsidRPr="000346E5">
        <w:rPr>
          <w:rFonts w:cs="Times New Roman"/>
          <w:bCs/>
          <w:szCs w:val="28"/>
          <w:lang w:val="kk-KZ"/>
        </w:rPr>
        <w:t xml:space="preserve"> </w:t>
      </w:r>
      <w:r w:rsidR="0037124C" w:rsidRPr="000346E5">
        <w:rPr>
          <w:rFonts w:cs="Times New Roman"/>
          <w:bCs/>
          <w:szCs w:val="28"/>
          <w:lang w:val="kk-KZ"/>
        </w:rPr>
        <w:t>Анализ</w:t>
      </w:r>
      <w:r w:rsidRPr="000346E5">
        <w:rPr>
          <w:rFonts w:cs="Times New Roman"/>
          <w:bCs/>
          <w:szCs w:val="28"/>
          <w:lang w:val="kk-KZ"/>
        </w:rPr>
        <w:t xml:space="preserve"> </w:t>
      </w:r>
      <w:r w:rsidR="008B3DDD" w:rsidRPr="000346E5">
        <w:rPr>
          <w:rFonts w:cs="Times New Roman"/>
          <w:bCs/>
          <w:szCs w:val="28"/>
          <w:lang w:val="kk-KZ"/>
        </w:rPr>
        <w:t xml:space="preserve">пациентов </w:t>
      </w:r>
      <w:r w:rsidR="0037124C" w:rsidRPr="000346E5">
        <w:rPr>
          <w:rFonts w:cs="Times New Roman"/>
          <w:bCs/>
          <w:szCs w:val="28"/>
          <w:lang w:val="kk-KZ"/>
        </w:rPr>
        <w:t>по стадиям отечности экзофтальма, наличию эндокринной миопатии и декомпрессии орбиты</w:t>
      </w:r>
    </w:p>
    <w:p w14:paraId="353949FD" w14:textId="77777777" w:rsidR="000346E5" w:rsidRPr="002B136D" w:rsidRDefault="000346E5" w:rsidP="000346E5">
      <w:pPr>
        <w:spacing w:after="0" w:line="240" w:lineRule="auto"/>
        <w:contextualSpacing/>
        <w:jc w:val="both"/>
        <w:rPr>
          <w:rFonts w:cs="Times New Roman"/>
          <w:b/>
          <w:szCs w:val="28"/>
          <w:lang w:val="kk-KZ"/>
        </w:rPr>
      </w:pPr>
    </w:p>
    <w:tbl>
      <w:tblPr>
        <w:tblW w:w="489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17"/>
        <w:gridCol w:w="1654"/>
        <w:gridCol w:w="1654"/>
        <w:gridCol w:w="1205"/>
        <w:gridCol w:w="1510"/>
      </w:tblGrid>
      <w:tr w:rsidR="00D51D40" w:rsidRPr="002B136D" w14:paraId="033C81D9" w14:textId="030F7B34" w:rsidTr="000346E5">
        <w:trPr>
          <w:trHeight w:val="300"/>
        </w:trPr>
        <w:tc>
          <w:tcPr>
            <w:tcW w:w="1876" w:type="pct"/>
            <w:shd w:val="clear" w:color="auto" w:fill="auto"/>
            <w:noWrap/>
            <w:vAlign w:val="bottom"/>
            <w:hideMark/>
          </w:tcPr>
          <w:p w14:paraId="54735E3D"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Характеристики</w:t>
            </w:r>
          </w:p>
        </w:tc>
        <w:tc>
          <w:tcPr>
            <w:tcW w:w="858" w:type="pct"/>
            <w:shd w:val="clear" w:color="auto" w:fill="auto"/>
            <w:noWrap/>
            <w:vAlign w:val="bottom"/>
            <w:hideMark/>
          </w:tcPr>
          <w:p w14:paraId="5273E8C6"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Мужчины</w:t>
            </w:r>
          </w:p>
        </w:tc>
        <w:tc>
          <w:tcPr>
            <w:tcW w:w="858" w:type="pct"/>
            <w:shd w:val="clear" w:color="auto" w:fill="auto"/>
            <w:noWrap/>
            <w:vAlign w:val="bottom"/>
            <w:hideMark/>
          </w:tcPr>
          <w:p w14:paraId="43B5E37F"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Женщины</w:t>
            </w:r>
          </w:p>
        </w:tc>
        <w:tc>
          <w:tcPr>
            <w:tcW w:w="625" w:type="pct"/>
            <w:shd w:val="clear" w:color="auto" w:fill="auto"/>
            <w:noWrap/>
            <w:vAlign w:val="bottom"/>
            <w:hideMark/>
          </w:tcPr>
          <w:p w14:paraId="33E56ABC"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p</w:t>
            </w:r>
          </w:p>
        </w:tc>
        <w:tc>
          <w:tcPr>
            <w:tcW w:w="783" w:type="pct"/>
          </w:tcPr>
          <w:p w14:paraId="03F62B1F" w14:textId="6DD2B17A"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Всего</w:t>
            </w:r>
          </w:p>
        </w:tc>
      </w:tr>
      <w:tr w:rsidR="00D51D40" w:rsidRPr="002B136D" w14:paraId="5B42A4AE" w14:textId="15E104B5" w:rsidTr="000346E5">
        <w:trPr>
          <w:trHeight w:val="300"/>
        </w:trPr>
        <w:tc>
          <w:tcPr>
            <w:tcW w:w="1876" w:type="pct"/>
            <w:shd w:val="clear" w:color="auto" w:fill="auto"/>
            <w:noWrap/>
            <w:vAlign w:val="bottom"/>
            <w:hideMark/>
          </w:tcPr>
          <w:p w14:paraId="512CDBD4" w14:textId="77777777" w:rsidR="008B3DDD"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 xml:space="preserve">Отечный экзофтальм в стадии </w:t>
            </w:r>
          </w:p>
          <w:p w14:paraId="0E727373" w14:textId="7F1B30D2" w:rsidR="008B3DDD"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 xml:space="preserve">Компенсация </w:t>
            </w:r>
          </w:p>
          <w:p w14:paraId="434E0340" w14:textId="200582AA"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n (%)</w:t>
            </w:r>
          </w:p>
        </w:tc>
        <w:tc>
          <w:tcPr>
            <w:tcW w:w="858" w:type="pct"/>
            <w:shd w:val="clear" w:color="auto" w:fill="auto"/>
            <w:noWrap/>
            <w:vAlign w:val="bottom"/>
            <w:hideMark/>
          </w:tcPr>
          <w:p w14:paraId="74860240"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7 (12,1%)</w:t>
            </w:r>
          </w:p>
        </w:tc>
        <w:tc>
          <w:tcPr>
            <w:tcW w:w="858" w:type="pct"/>
            <w:shd w:val="clear" w:color="auto" w:fill="auto"/>
            <w:noWrap/>
            <w:vAlign w:val="bottom"/>
            <w:hideMark/>
          </w:tcPr>
          <w:p w14:paraId="54115593"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38 (28,1%)</w:t>
            </w:r>
          </w:p>
        </w:tc>
        <w:tc>
          <w:tcPr>
            <w:tcW w:w="625" w:type="pct"/>
            <w:shd w:val="clear" w:color="auto" w:fill="auto"/>
            <w:noWrap/>
            <w:vAlign w:val="bottom"/>
            <w:hideMark/>
          </w:tcPr>
          <w:p w14:paraId="380CB9DA" w14:textId="3B2472A8" w:rsidR="0071282B" w:rsidRPr="002B136D" w:rsidRDefault="0071282B" w:rsidP="00DD33AE">
            <w:pPr>
              <w:spacing w:after="0" w:line="240" w:lineRule="auto"/>
              <w:jc w:val="both"/>
              <w:rPr>
                <w:rFonts w:eastAsia="Times New Roman" w:cs="Times New Roman"/>
                <w:sz w:val="24"/>
                <w:szCs w:val="28"/>
                <w:lang w:val="en-US"/>
              </w:rPr>
            </w:pPr>
            <w:r w:rsidRPr="002B136D">
              <w:rPr>
                <w:rFonts w:eastAsia="Times New Roman" w:cs="Times New Roman"/>
                <w:sz w:val="24"/>
                <w:szCs w:val="28"/>
              </w:rPr>
              <w:t>&lt;0,0001</w:t>
            </w:r>
            <w:r w:rsidR="000D4B38" w:rsidRPr="002B136D">
              <w:rPr>
                <w:rFonts w:eastAsia="Times New Roman" w:cs="Times New Roman"/>
                <w:sz w:val="24"/>
                <w:szCs w:val="28"/>
                <w:lang w:val="en-US"/>
              </w:rPr>
              <w:t>*</w:t>
            </w:r>
          </w:p>
        </w:tc>
        <w:tc>
          <w:tcPr>
            <w:tcW w:w="783" w:type="pct"/>
            <w:vAlign w:val="bottom"/>
          </w:tcPr>
          <w:p w14:paraId="747E3FF3" w14:textId="102D9B7C"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88 (45,6%)</w:t>
            </w:r>
          </w:p>
        </w:tc>
      </w:tr>
      <w:tr w:rsidR="00D51D40" w:rsidRPr="002B136D" w14:paraId="07580100" w14:textId="2A6844AD" w:rsidTr="000346E5">
        <w:trPr>
          <w:trHeight w:val="300"/>
        </w:trPr>
        <w:tc>
          <w:tcPr>
            <w:tcW w:w="1876" w:type="pct"/>
            <w:shd w:val="clear" w:color="auto" w:fill="auto"/>
            <w:noWrap/>
            <w:vAlign w:val="bottom"/>
            <w:hideMark/>
          </w:tcPr>
          <w:p w14:paraId="0C78532A" w14:textId="77777777" w:rsidR="008B3DDD"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Отечный экзофтальм в стадии</w:t>
            </w:r>
          </w:p>
          <w:p w14:paraId="26B481CD" w14:textId="57C3C563"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 xml:space="preserve"> Субкомпенсация n (%)</w:t>
            </w:r>
          </w:p>
        </w:tc>
        <w:tc>
          <w:tcPr>
            <w:tcW w:w="858" w:type="pct"/>
            <w:shd w:val="clear" w:color="auto" w:fill="auto"/>
            <w:noWrap/>
            <w:vAlign w:val="bottom"/>
            <w:hideMark/>
          </w:tcPr>
          <w:p w14:paraId="55479BFD"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23 (39,7%)</w:t>
            </w:r>
          </w:p>
        </w:tc>
        <w:tc>
          <w:tcPr>
            <w:tcW w:w="858" w:type="pct"/>
            <w:shd w:val="clear" w:color="auto" w:fill="auto"/>
            <w:noWrap/>
            <w:vAlign w:val="bottom"/>
            <w:hideMark/>
          </w:tcPr>
          <w:p w14:paraId="37380AF5"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65 (48,1%)</w:t>
            </w:r>
          </w:p>
        </w:tc>
        <w:tc>
          <w:tcPr>
            <w:tcW w:w="625" w:type="pct"/>
            <w:shd w:val="clear" w:color="auto" w:fill="auto"/>
            <w:noWrap/>
            <w:vAlign w:val="bottom"/>
            <w:hideMark/>
          </w:tcPr>
          <w:p w14:paraId="7C092EDE" w14:textId="004F5C45" w:rsidR="0071282B" w:rsidRPr="002B136D" w:rsidRDefault="0071282B" w:rsidP="00DD33AE">
            <w:pPr>
              <w:spacing w:after="0" w:line="240" w:lineRule="auto"/>
              <w:jc w:val="both"/>
              <w:rPr>
                <w:rFonts w:eastAsia="Times New Roman" w:cs="Times New Roman"/>
                <w:sz w:val="24"/>
                <w:szCs w:val="28"/>
                <w:lang w:val="en-US"/>
              </w:rPr>
            </w:pPr>
            <w:r w:rsidRPr="002B136D">
              <w:rPr>
                <w:rFonts w:eastAsia="Times New Roman" w:cs="Times New Roman"/>
                <w:sz w:val="24"/>
                <w:szCs w:val="28"/>
              </w:rPr>
              <w:t>&lt;0,0001</w:t>
            </w:r>
            <w:r w:rsidR="000D4B38" w:rsidRPr="002B136D">
              <w:rPr>
                <w:rFonts w:eastAsia="Times New Roman" w:cs="Times New Roman"/>
                <w:sz w:val="24"/>
                <w:szCs w:val="28"/>
                <w:lang w:val="en-US"/>
              </w:rPr>
              <w:t>*</w:t>
            </w:r>
          </w:p>
        </w:tc>
        <w:tc>
          <w:tcPr>
            <w:tcW w:w="783" w:type="pct"/>
            <w:vAlign w:val="bottom"/>
          </w:tcPr>
          <w:p w14:paraId="7D1F7896" w14:textId="40B2A6BC"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88 (45,6%)</w:t>
            </w:r>
          </w:p>
        </w:tc>
      </w:tr>
      <w:tr w:rsidR="00D51D40" w:rsidRPr="002B136D" w14:paraId="1F89771C" w14:textId="3B62073B" w:rsidTr="000346E5">
        <w:trPr>
          <w:trHeight w:val="300"/>
        </w:trPr>
        <w:tc>
          <w:tcPr>
            <w:tcW w:w="1876" w:type="pct"/>
            <w:shd w:val="clear" w:color="auto" w:fill="auto"/>
            <w:noWrap/>
            <w:vAlign w:val="bottom"/>
            <w:hideMark/>
          </w:tcPr>
          <w:p w14:paraId="5947F606" w14:textId="77777777" w:rsidR="008B3DDD"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 xml:space="preserve">Отечный экзофтальм в стадии </w:t>
            </w:r>
          </w:p>
          <w:p w14:paraId="562B0456" w14:textId="40FA3174"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Декомпенсация n (%)</w:t>
            </w:r>
          </w:p>
        </w:tc>
        <w:tc>
          <w:tcPr>
            <w:tcW w:w="858" w:type="pct"/>
            <w:shd w:val="clear" w:color="auto" w:fill="auto"/>
            <w:noWrap/>
            <w:vAlign w:val="bottom"/>
            <w:hideMark/>
          </w:tcPr>
          <w:p w14:paraId="2D458C60"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16 (27,6%)</w:t>
            </w:r>
          </w:p>
        </w:tc>
        <w:tc>
          <w:tcPr>
            <w:tcW w:w="858" w:type="pct"/>
            <w:shd w:val="clear" w:color="auto" w:fill="auto"/>
            <w:noWrap/>
            <w:vAlign w:val="bottom"/>
            <w:hideMark/>
          </w:tcPr>
          <w:p w14:paraId="60271D22"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11 (8,3%)</w:t>
            </w:r>
          </w:p>
        </w:tc>
        <w:tc>
          <w:tcPr>
            <w:tcW w:w="625" w:type="pct"/>
            <w:shd w:val="clear" w:color="auto" w:fill="auto"/>
            <w:noWrap/>
            <w:vAlign w:val="bottom"/>
            <w:hideMark/>
          </w:tcPr>
          <w:p w14:paraId="57958E85"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0,33</w:t>
            </w:r>
          </w:p>
        </w:tc>
        <w:tc>
          <w:tcPr>
            <w:tcW w:w="783" w:type="pct"/>
            <w:vAlign w:val="bottom"/>
          </w:tcPr>
          <w:p w14:paraId="3ABC3C46" w14:textId="20B3471A"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27 (14%)</w:t>
            </w:r>
          </w:p>
        </w:tc>
      </w:tr>
      <w:tr w:rsidR="00D51D40" w:rsidRPr="002B136D" w14:paraId="3662B7E2" w14:textId="62611B1A" w:rsidTr="000346E5">
        <w:trPr>
          <w:trHeight w:val="300"/>
        </w:trPr>
        <w:tc>
          <w:tcPr>
            <w:tcW w:w="1876" w:type="pct"/>
            <w:shd w:val="clear" w:color="auto" w:fill="auto"/>
            <w:noWrap/>
            <w:vAlign w:val="bottom"/>
            <w:hideMark/>
          </w:tcPr>
          <w:p w14:paraId="77AB2B22"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Эндокринная миопатия n (%)</w:t>
            </w:r>
          </w:p>
        </w:tc>
        <w:tc>
          <w:tcPr>
            <w:tcW w:w="858" w:type="pct"/>
            <w:shd w:val="clear" w:color="auto" w:fill="auto"/>
            <w:noWrap/>
            <w:vAlign w:val="bottom"/>
            <w:hideMark/>
          </w:tcPr>
          <w:p w14:paraId="0AA7A60E"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10 (18,9%)</w:t>
            </w:r>
          </w:p>
        </w:tc>
        <w:tc>
          <w:tcPr>
            <w:tcW w:w="858" w:type="pct"/>
            <w:shd w:val="clear" w:color="auto" w:fill="auto"/>
            <w:noWrap/>
            <w:vAlign w:val="bottom"/>
            <w:hideMark/>
          </w:tcPr>
          <w:p w14:paraId="5C9A2B0B"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6 (4,4%)</w:t>
            </w:r>
          </w:p>
        </w:tc>
        <w:tc>
          <w:tcPr>
            <w:tcW w:w="625" w:type="pct"/>
            <w:shd w:val="clear" w:color="auto" w:fill="auto"/>
            <w:noWrap/>
            <w:vAlign w:val="bottom"/>
            <w:hideMark/>
          </w:tcPr>
          <w:p w14:paraId="21723B89"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0,31</w:t>
            </w:r>
          </w:p>
        </w:tc>
        <w:tc>
          <w:tcPr>
            <w:tcW w:w="783" w:type="pct"/>
            <w:vAlign w:val="bottom"/>
          </w:tcPr>
          <w:p w14:paraId="42598DD6" w14:textId="18BB6AE4"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16 (8,3%)</w:t>
            </w:r>
          </w:p>
        </w:tc>
      </w:tr>
      <w:tr w:rsidR="00D51D40" w:rsidRPr="002B136D" w14:paraId="4D447482" w14:textId="00A318F9" w:rsidTr="000346E5">
        <w:trPr>
          <w:trHeight w:val="300"/>
        </w:trPr>
        <w:tc>
          <w:tcPr>
            <w:tcW w:w="1876" w:type="pct"/>
            <w:shd w:val="clear" w:color="auto" w:fill="auto"/>
            <w:noWrap/>
            <w:vAlign w:val="bottom"/>
            <w:hideMark/>
          </w:tcPr>
          <w:p w14:paraId="04352D06"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Декомпрессия орбиты n (%)</w:t>
            </w:r>
          </w:p>
        </w:tc>
        <w:tc>
          <w:tcPr>
            <w:tcW w:w="858" w:type="pct"/>
            <w:shd w:val="clear" w:color="auto" w:fill="auto"/>
            <w:noWrap/>
            <w:vAlign w:val="bottom"/>
            <w:hideMark/>
          </w:tcPr>
          <w:p w14:paraId="1949CBBD"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15 (25,4%)</w:t>
            </w:r>
          </w:p>
        </w:tc>
        <w:tc>
          <w:tcPr>
            <w:tcW w:w="858" w:type="pct"/>
            <w:shd w:val="clear" w:color="auto" w:fill="auto"/>
            <w:noWrap/>
            <w:vAlign w:val="bottom"/>
            <w:hideMark/>
          </w:tcPr>
          <w:p w14:paraId="3F19C24A" w14:textId="77777777"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13 (10%)</w:t>
            </w:r>
          </w:p>
        </w:tc>
        <w:tc>
          <w:tcPr>
            <w:tcW w:w="625" w:type="pct"/>
            <w:shd w:val="clear" w:color="auto" w:fill="auto"/>
            <w:noWrap/>
            <w:vAlign w:val="bottom"/>
            <w:hideMark/>
          </w:tcPr>
          <w:p w14:paraId="5A3F664D" w14:textId="7DC23A4B" w:rsidR="0071282B" w:rsidRPr="002B136D" w:rsidRDefault="00F461DC" w:rsidP="00DD33AE">
            <w:pPr>
              <w:spacing w:after="0" w:line="240" w:lineRule="auto"/>
              <w:jc w:val="both"/>
              <w:rPr>
                <w:rFonts w:eastAsia="Times New Roman" w:cs="Times New Roman"/>
                <w:sz w:val="24"/>
                <w:szCs w:val="28"/>
              </w:rPr>
            </w:pPr>
            <w:r w:rsidRPr="002B136D">
              <w:rPr>
                <w:rFonts w:eastAsia="Times New Roman" w:cs="Times New Roman"/>
                <w:sz w:val="24"/>
                <w:szCs w:val="28"/>
              </w:rPr>
              <w:t>-</w:t>
            </w:r>
          </w:p>
        </w:tc>
        <w:tc>
          <w:tcPr>
            <w:tcW w:w="783" w:type="pct"/>
            <w:vAlign w:val="bottom"/>
          </w:tcPr>
          <w:p w14:paraId="0C01ADDA" w14:textId="69007A60" w:rsidR="0071282B" w:rsidRPr="002B136D" w:rsidRDefault="0071282B" w:rsidP="00DD33AE">
            <w:pPr>
              <w:spacing w:after="0" w:line="240" w:lineRule="auto"/>
              <w:jc w:val="both"/>
              <w:rPr>
                <w:rFonts w:eastAsia="Times New Roman" w:cs="Times New Roman"/>
                <w:sz w:val="24"/>
                <w:szCs w:val="28"/>
              </w:rPr>
            </w:pPr>
            <w:r w:rsidRPr="002B136D">
              <w:rPr>
                <w:rFonts w:eastAsia="Times New Roman" w:cs="Times New Roman"/>
                <w:sz w:val="24"/>
                <w:szCs w:val="28"/>
              </w:rPr>
              <w:t>28 (14,5%)</w:t>
            </w:r>
          </w:p>
        </w:tc>
      </w:tr>
      <w:tr w:rsidR="000346E5" w:rsidRPr="002B136D" w14:paraId="433A5212" w14:textId="77777777" w:rsidTr="000346E5">
        <w:trPr>
          <w:trHeight w:val="300"/>
        </w:trPr>
        <w:tc>
          <w:tcPr>
            <w:tcW w:w="5000" w:type="pct"/>
            <w:gridSpan w:val="5"/>
            <w:shd w:val="clear" w:color="auto" w:fill="auto"/>
            <w:noWrap/>
            <w:vAlign w:val="bottom"/>
          </w:tcPr>
          <w:p w14:paraId="72C9CFEB" w14:textId="2957A1E3" w:rsidR="000346E5" w:rsidRPr="000346E5" w:rsidRDefault="000346E5" w:rsidP="000346E5">
            <w:pPr>
              <w:spacing w:after="0" w:line="240" w:lineRule="auto"/>
              <w:ind w:firstLine="462"/>
              <w:jc w:val="both"/>
              <w:rPr>
                <w:rFonts w:cs="Times New Roman"/>
                <w:sz w:val="24"/>
                <w:szCs w:val="24"/>
              </w:rPr>
            </w:pPr>
            <w:r>
              <w:rPr>
                <w:rFonts w:cs="Times New Roman"/>
                <w:sz w:val="24"/>
                <w:szCs w:val="24"/>
              </w:rPr>
              <w:t xml:space="preserve">Примечание – Источник </w:t>
            </w:r>
            <w:r w:rsidRPr="000346E5">
              <w:rPr>
                <w:rFonts w:cs="Times New Roman"/>
                <w:sz w:val="24"/>
                <w:szCs w:val="24"/>
              </w:rPr>
              <w:t xml:space="preserve">* </w:t>
            </w:r>
            <w:proofErr w:type="gramStart"/>
            <w:r w:rsidRPr="000346E5">
              <w:rPr>
                <w:rFonts w:cs="Times New Roman"/>
                <w:sz w:val="24"/>
                <w:szCs w:val="24"/>
              </w:rPr>
              <w:t>р</w:t>
            </w:r>
            <w:proofErr w:type="gramEnd"/>
            <w:r w:rsidRPr="000346E5">
              <w:rPr>
                <w:rFonts w:cs="Times New Roman"/>
                <w:sz w:val="24"/>
                <w:szCs w:val="24"/>
              </w:rPr>
              <w:t>≤0,05</w:t>
            </w:r>
          </w:p>
        </w:tc>
      </w:tr>
    </w:tbl>
    <w:p w14:paraId="336217AD" w14:textId="77777777" w:rsidR="000346E5" w:rsidRDefault="000346E5" w:rsidP="00DD33AE">
      <w:pPr>
        <w:spacing w:after="0" w:line="240" w:lineRule="auto"/>
        <w:ind w:firstLine="709"/>
        <w:contextualSpacing/>
        <w:jc w:val="both"/>
        <w:rPr>
          <w:rFonts w:cs="Times New Roman"/>
          <w:szCs w:val="28"/>
        </w:rPr>
      </w:pPr>
    </w:p>
    <w:p w14:paraId="65DB7FE3" w14:textId="531CF53E" w:rsidR="000D4B38" w:rsidRPr="002B136D" w:rsidRDefault="00F218B4" w:rsidP="000346E5">
      <w:pPr>
        <w:spacing w:after="0" w:line="240" w:lineRule="auto"/>
        <w:ind w:firstLine="567"/>
        <w:contextualSpacing/>
        <w:jc w:val="both"/>
        <w:rPr>
          <w:rFonts w:cs="Times New Roman"/>
          <w:szCs w:val="28"/>
        </w:rPr>
      </w:pPr>
      <w:r w:rsidRPr="002B136D">
        <w:rPr>
          <w:rFonts w:cs="Times New Roman"/>
          <w:szCs w:val="28"/>
        </w:rPr>
        <w:t>Таблица 1</w:t>
      </w:r>
      <w:r w:rsidR="0076161A">
        <w:rPr>
          <w:rFonts w:cs="Times New Roman"/>
          <w:szCs w:val="28"/>
        </w:rPr>
        <w:t>1</w:t>
      </w:r>
      <w:r w:rsidR="000D4B38" w:rsidRPr="002B136D">
        <w:rPr>
          <w:rFonts w:cs="Times New Roman"/>
          <w:szCs w:val="28"/>
        </w:rPr>
        <w:t xml:space="preserve"> демонстрирует сравнение средних значений офтальмологических показателей у пациентов с </w:t>
      </w:r>
      <w:proofErr w:type="gramStart"/>
      <w:r w:rsidR="000D4B38" w:rsidRPr="002B136D">
        <w:rPr>
          <w:rFonts w:cs="Times New Roman"/>
          <w:szCs w:val="28"/>
        </w:rPr>
        <w:t>активной</w:t>
      </w:r>
      <w:proofErr w:type="gramEnd"/>
      <w:r w:rsidR="000D4B38" w:rsidRPr="002B136D">
        <w:rPr>
          <w:rFonts w:cs="Times New Roman"/>
          <w:szCs w:val="28"/>
        </w:rPr>
        <w:t xml:space="preserve"> (CAS &gt;3) и неактивной (CAS &lt;3) формами эндокринной офтальмопатии (ЭОП). Анализ основан на данных 214 </w:t>
      </w:r>
      <w:r w:rsidR="00C63E69" w:rsidRPr="002B136D">
        <w:rPr>
          <w:rFonts w:cs="Times New Roman"/>
          <w:szCs w:val="28"/>
          <w:lang w:val="kk-KZ"/>
        </w:rPr>
        <w:t>глаз</w:t>
      </w:r>
      <w:r w:rsidR="000D4B38" w:rsidRPr="002B136D">
        <w:rPr>
          <w:rFonts w:cs="Times New Roman"/>
          <w:szCs w:val="28"/>
        </w:rPr>
        <w:t xml:space="preserve"> с активной формой и 170 </w:t>
      </w:r>
      <w:r w:rsidR="00C63E69" w:rsidRPr="002B136D">
        <w:rPr>
          <w:rFonts w:cs="Times New Roman"/>
          <w:szCs w:val="28"/>
          <w:lang w:val="kk-KZ"/>
        </w:rPr>
        <w:t>глаз</w:t>
      </w:r>
      <w:r w:rsidR="000D4B38" w:rsidRPr="002B136D">
        <w:rPr>
          <w:rFonts w:cs="Times New Roman"/>
          <w:szCs w:val="28"/>
        </w:rPr>
        <w:t xml:space="preserve"> с неактивной формой.</w:t>
      </w:r>
    </w:p>
    <w:p w14:paraId="02D58BE2" w14:textId="10AA0702" w:rsidR="000D4B38" w:rsidRPr="002B136D" w:rsidRDefault="000D4B38" w:rsidP="000346E5">
      <w:pPr>
        <w:spacing w:after="0" w:line="240" w:lineRule="auto"/>
        <w:ind w:firstLine="567"/>
        <w:contextualSpacing/>
        <w:jc w:val="both"/>
        <w:rPr>
          <w:rFonts w:cs="Times New Roman"/>
          <w:szCs w:val="28"/>
        </w:rPr>
      </w:pPr>
      <w:r w:rsidRPr="002B136D">
        <w:rPr>
          <w:rFonts w:cs="Times New Roman"/>
          <w:szCs w:val="28"/>
        </w:rPr>
        <w:t>Острота зрения у пациентов с активной формой ЭОП была ниже (0,7 [медианный диапазон 0,6; 1]), чем у пациентов с неактивной формой (1 [0,7; 1]). Различия статистически значимы (p=0,01), что может свидетельствовать о негативном влиянии воспалительной активности на зрительную функцию.</w:t>
      </w:r>
    </w:p>
    <w:p w14:paraId="7B108D1C" w14:textId="77777777" w:rsidR="000D4B38" w:rsidRPr="002B136D" w:rsidRDefault="000D4B38" w:rsidP="000346E5">
      <w:pPr>
        <w:spacing w:after="0" w:line="240" w:lineRule="auto"/>
        <w:ind w:firstLine="567"/>
        <w:contextualSpacing/>
        <w:jc w:val="both"/>
        <w:rPr>
          <w:rFonts w:cs="Times New Roman"/>
          <w:szCs w:val="28"/>
        </w:rPr>
      </w:pPr>
      <w:r w:rsidRPr="002B136D">
        <w:rPr>
          <w:rFonts w:cs="Times New Roman"/>
          <w:szCs w:val="28"/>
        </w:rPr>
        <w:t>Внутриглазное давление было выше у пациентов с активной формой ЭОП (19 [медианный диапазон 15; 21] мм рт. ст.) по сравнению с неактивной формой (16±3 мм рт. ст.), с p=0,01, что также указывает на возможное влияние воспаления на гидродинамику глаза.</w:t>
      </w:r>
    </w:p>
    <w:p w14:paraId="06E14A97" w14:textId="77777777" w:rsidR="000D4B38" w:rsidRPr="002B136D" w:rsidRDefault="000D4B38" w:rsidP="000346E5">
      <w:pPr>
        <w:spacing w:after="0" w:line="240" w:lineRule="auto"/>
        <w:ind w:firstLine="567"/>
        <w:contextualSpacing/>
        <w:jc w:val="both"/>
        <w:rPr>
          <w:rFonts w:cs="Times New Roman"/>
          <w:szCs w:val="28"/>
        </w:rPr>
      </w:pPr>
      <w:proofErr w:type="gramStart"/>
      <w:r w:rsidRPr="002B136D">
        <w:rPr>
          <w:rFonts w:cs="Times New Roman"/>
          <w:szCs w:val="28"/>
        </w:rPr>
        <w:lastRenderedPageBreak/>
        <w:t>Экзофтальм (выступание глазного яблока) оказался более выраженным у пациентов с активной формой (21,4 [медианный диапазон 17,2; 20] мм) по сравнению с неактивной (18,8 [18,6; 24] мм), с p=0,01, подчеркивая влияние воспаления на орбитальные ткани.</w:t>
      </w:r>
      <w:proofErr w:type="gramEnd"/>
    </w:p>
    <w:p w14:paraId="2805B45E" w14:textId="77777777" w:rsidR="000D4B38" w:rsidRPr="002B136D" w:rsidRDefault="000D4B38" w:rsidP="000346E5">
      <w:pPr>
        <w:spacing w:after="0" w:line="240" w:lineRule="auto"/>
        <w:ind w:firstLine="567"/>
        <w:contextualSpacing/>
        <w:jc w:val="both"/>
        <w:rPr>
          <w:rFonts w:cs="Times New Roman"/>
          <w:szCs w:val="28"/>
        </w:rPr>
      </w:pPr>
      <w:proofErr w:type="gramStart"/>
      <w:r w:rsidRPr="002B136D">
        <w:rPr>
          <w:rFonts w:cs="Times New Roman"/>
          <w:szCs w:val="28"/>
        </w:rPr>
        <w:t>Глазная щель у пациентов с активной формой ЭОП была шире (9,2 [медианный диапазон 8; 11] мм) в сравнении с неактивной (8,8 [7,6; 10] мм), с p=0,03, что может отражать воспалительный отек вокруг глаз и его влияние на веки.</w:t>
      </w:r>
      <w:proofErr w:type="gramEnd"/>
    </w:p>
    <w:p w14:paraId="6141492D" w14:textId="77777777" w:rsidR="000D4B38" w:rsidRPr="002B136D" w:rsidRDefault="000D4B38" w:rsidP="000346E5">
      <w:pPr>
        <w:spacing w:after="0" w:line="240" w:lineRule="auto"/>
        <w:ind w:firstLine="567"/>
        <w:contextualSpacing/>
        <w:jc w:val="both"/>
        <w:rPr>
          <w:rFonts w:cs="Times New Roman"/>
          <w:szCs w:val="28"/>
        </w:rPr>
      </w:pPr>
      <w:r w:rsidRPr="002B136D">
        <w:rPr>
          <w:rFonts w:cs="Times New Roman"/>
          <w:szCs w:val="28"/>
        </w:rPr>
        <w:t>Поражение роговицы наблюдалось у 39 глаз пациентов с активной формой и 7 глаз с неактивной формой, однако p-значение указано как 2,35, что, предположительно, является ошибкой ввода, так как значение p обычно не превышает 1. Хи-квадрат показывает значимость различий.</w:t>
      </w:r>
    </w:p>
    <w:p w14:paraId="629B6D12" w14:textId="77777777" w:rsidR="000D4B38" w:rsidRPr="002B136D" w:rsidRDefault="000D4B38" w:rsidP="000346E5">
      <w:pPr>
        <w:spacing w:after="0" w:line="240" w:lineRule="auto"/>
        <w:ind w:firstLine="567"/>
        <w:contextualSpacing/>
        <w:jc w:val="both"/>
        <w:rPr>
          <w:rFonts w:cs="Times New Roman"/>
          <w:szCs w:val="28"/>
        </w:rPr>
      </w:pPr>
      <w:r w:rsidRPr="002B136D">
        <w:rPr>
          <w:rFonts w:cs="Times New Roman"/>
          <w:szCs w:val="28"/>
        </w:rPr>
        <w:t>Увеличение глазодвигательных мышц отмечено в большем количестве глаз у пациентов с активной формой (n-глаз: 148 против n-глаз: 95 при неактивной форме), что указывает на ассоциацию между мышечным вовлечением и активностью ЭОП.</w:t>
      </w:r>
    </w:p>
    <w:p w14:paraId="2D1657BE" w14:textId="3E3B7E34" w:rsidR="0071282B" w:rsidRPr="002B136D" w:rsidRDefault="000D4B38" w:rsidP="000346E5">
      <w:pPr>
        <w:spacing w:after="0" w:line="240" w:lineRule="auto"/>
        <w:ind w:firstLine="567"/>
        <w:contextualSpacing/>
        <w:jc w:val="both"/>
        <w:rPr>
          <w:rFonts w:cs="Times New Roman"/>
          <w:szCs w:val="28"/>
        </w:rPr>
      </w:pPr>
      <w:r w:rsidRPr="002B136D">
        <w:rPr>
          <w:rFonts w:cs="Times New Roman"/>
          <w:szCs w:val="28"/>
        </w:rPr>
        <w:t xml:space="preserve">Ограничение подвижности является более частым при активной форме ЭОП (124 глаза) по сравнению </w:t>
      </w:r>
      <w:proofErr w:type="gramStart"/>
      <w:r w:rsidRPr="002B136D">
        <w:rPr>
          <w:rFonts w:cs="Times New Roman"/>
          <w:szCs w:val="28"/>
        </w:rPr>
        <w:t>с</w:t>
      </w:r>
      <w:proofErr w:type="gramEnd"/>
      <w:r w:rsidRPr="002B136D">
        <w:rPr>
          <w:rFonts w:cs="Times New Roman"/>
          <w:szCs w:val="28"/>
        </w:rPr>
        <w:t xml:space="preserve"> </w:t>
      </w:r>
      <w:proofErr w:type="gramStart"/>
      <w:r w:rsidRPr="002B136D">
        <w:rPr>
          <w:rFonts w:cs="Times New Roman"/>
          <w:szCs w:val="28"/>
        </w:rPr>
        <w:t>неактивной</w:t>
      </w:r>
      <w:proofErr w:type="gramEnd"/>
      <w:r w:rsidRPr="002B136D">
        <w:rPr>
          <w:rFonts w:cs="Times New Roman"/>
          <w:szCs w:val="28"/>
        </w:rPr>
        <w:t xml:space="preserve"> (70 глаз), что может быть связано с воспалением и последующим фиброзом глазодвигательных мышц.</w:t>
      </w:r>
    </w:p>
    <w:p w14:paraId="3A415AA7" w14:textId="77777777" w:rsidR="0071282B" w:rsidRPr="002B136D" w:rsidRDefault="0071282B" w:rsidP="00DD33AE">
      <w:pPr>
        <w:spacing w:after="0" w:line="240" w:lineRule="auto"/>
        <w:ind w:firstLine="709"/>
        <w:contextualSpacing/>
        <w:jc w:val="both"/>
        <w:rPr>
          <w:rFonts w:cs="Times New Roman"/>
          <w:szCs w:val="28"/>
        </w:rPr>
      </w:pPr>
    </w:p>
    <w:p w14:paraId="5EF93605" w14:textId="29BF0B16" w:rsidR="00143D08" w:rsidRPr="000346E5" w:rsidRDefault="00E920FF" w:rsidP="000346E5">
      <w:pPr>
        <w:spacing w:after="0" w:line="240" w:lineRule="auto"/>
        <w:contextualSpacing/>
        <w:jc w:val="both"/>
        <w:rPr>
          <w:rFonts w:cs="Times New Roman"/>
          <w:bCs/>
          <w:szCs w:val="28"/>
          <w:lang w:val="kk-KZ"/>
        </w:rPr>
      </w:pPr>
      <w:r w:rsidRPr="000346E5">
        <w:rPr>
          <w:rFonts w:cs="Times New Roman"/>
          <w:bCs/>
          <w:szCs w:val="28"/>
        </w:rPr>
        <w:t xml:space="preserve">Таблица </w:t>
      </w:r>
      <w:r w:rsidR="00F218B4" w:rsidRPr="000346E5">
        <w:rPr>
          <w:rFonts w:cs="Times New Roman"/>
          <w:bCs/>
          <w:szCs w:val="28"/>
        </w:rPr>
        <w:t>1</w:t>
      </w:r>
      <w:r w:rsidR="0076161A">
        <w:rPr>
          <w:rFonts w:cs="Times New Roman"/>
          <w:bCs/>
          <w:szCs w:val="28"/>
        </w:rPr>
        <w:t>1</w:t>
      </w:r>
      <w:r w:rsidR="000346E5" w:rsidRPr="000346E5">
        <w:rPr>
          <w:rFonts w:cs="Times New Roman"/>
          <w:bCs/>
          <w:szCs w:val="28"/>
        </w:rPr>
        <w:t xml:space="preserve"> -</w:t>
      </w:r>
      <w:r w:rsidR="0088696D" w:rsidRPr="000346E5">
        <w:rPr>
          <w:rFonts w:cs="Times New Roman"/>
          <w:bCs/>
          <w:szCs w:val="28"/>
        </w:rPr>
        <w:t xml:space="preserve"> </w:t>
      </w:r>
      <w:r w:rsidR="00143D08" w:rsidRPr="000346E5">
        <w:rPr>
          <w:rFonts w:cs="Times New Roman"/>
          <w:bCs/>
          <w:szCs w:val="28"/>
        </w:rPr>
        <w:t xml:space="preserve">Средние значения </w:t>
      </w:r>
      <w:r w:rsidR="00143D08" w:rsidRPr="000346E5">
        <w:rPr>
          <w:rFonts w:cs="Times New Roman"/>
          <w:bCs/>
          <w:szCs w:val="28"/>
          <w:lang w:val="kk-KZ"/>
        </w:rPr>
        <w:t>офтальмологических</w:t>
      </w:r>
      <w:r w:rsidR="00143D08" w:rsidRPr="000346E5">
        <w:rPr>
          <w:rFonts w:cs="Times New Roman"/>
          <w:bCs/>
          <w:szCs w:val="28"/>
        </w:rPr>
        <w:t xml:space="preserve"> показателей у </w:t>
      </w:r>
      <w:r w:rsidR="0038552C" w:rsidRPr="000346E5">
        <w:rPr>
          <w:rFonts w:cs="Times New Roman"/>
          <w:bCs/>
          <w:szCs w:val="28"/>
          <w:lang w:val="kk-KZ"/>
        </w:rPr>
        <w:t>пациентов</w:t>
      </w:r>
      <w:r w:rsidR="00143D08" w:rsidRPr="000346E5">
        <w:rPr>
          <w:rFonts w:cs="Times New Roman"/>
          <w:bCs/>
          <w:szCs w:val="28"/>
          <w:lang w:val="kk-KZ"/>
        </w:rPr>
        <w:t xml:space="preserve"> с ЭОП</w:t>
      </w:r>
      <w:r w:rsidR="00143D08" w:rsidRPr="000346E5">
        <w:rPr>
          <w:rFonts w:cs="Times New Roman"/>
          <w:bCs/>
          <w:szCs w:val="28"/>
        </w:rPr>
        <w:t xml:space="preserve"> с </w:t>
      </w:r>
      <w:r w:rsidR="00143D08" w:rsidRPr="000346E5">
        <w:rPr>
          <w:rFonts w:cs="Times New Roman"/>
          <w:bCs/>
          <w:szCs w:val="28"/>
          <w:lang w:val="kk-KZ"/>
        </w:rPr>
        <w:t>активной</w:t>
      </w:r>
      <w:r w:rsidR="00143D08" w:rsidRPr="000346E5">
        <w:rPr>
          <w:rFonts w:cs="Times New Roman"/>
          <w:bCs/>
          <w:szCs w:val="28"/>
        </w:rPr>
        <w:t xml:space="preserve"> и </w:t>
      </w:r>
      <w:r w:rsidR="00143D08" w:rsidRPr="000346E5">
        <w:rPr>
          <w:rFonts w:cs="Times New Roman"/>
          <w:bCs/>
          <w:szCs w:val="28"/>
          <w:lang w:val="kk-KZ"/>
        </w:rPr>
        <w:t>неактивной формой</w:t>
      </w:r>
    </w:p>
    <w:p w14:paraId="6CD03279" w14:textId="77777777" w:rsidR="000346E5" w:rsidRPr="002B136D" w:rsidRDefault="000346E5" w:rsidP="000346E5">
      <w:pPr>
        <w:spacing w:after="0" w:line="240" w:lineRule="auto"/>
        <w:contextualSpacing/>
        <w:jc w:val="both"/>
        <w:rPr>
          <w:rFonts w:cs="Times New Roman"/>
          <w:b/>
          <w:szCs w:val="28"/>
        </w:rPr>
      </w:pPr>
    </w:p>
    <w:tbl>
      <w:tblPr>
        <w:tblStyle w:val="10"/>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701"/>
        <w:gridCol w:w="1701"/>
        <w:gridCol w:w="1417"/>
      </w:tblGrid>
      <w:tr w:rsidR="00D51D40" w:rsidRPr="002B136D" w14:paraId="451A6F4C" w14:textId="77777777" w:rsidTr="000346E5">
        <w:trPr>
          <w:trHeight w:val="288"/>
        </w:trPr>
        <w:tc>
          <w:tcPr>
            <w:tcW w:w="4820" w:type="dxa"/>
            <w:noWrap/>
            <w:hideMark/>
          </w:tcPr>
          <w:p w14:paraId="199A3BEE" w14:textId="77777777" w:rsidR="00143D08" w:rsidRPr="002B136D" w:rsidRDefault="00143D08" w:rsidP="00DD33AE">
            <w:pPr>
              <w:contextualSpacing/>
              <w:jc w:val="both"/>
              <w:rPr>
                <w:rFonts w:cs="Times New Roman"/>
                <w:b/>
                <w:sz w:val="24"/>
                <w:szCs w:val="24"/>
              </w:rPr>
            </w:pPr>
            <w:r w:rsidRPr="002B136D">
              <w:rPr>
                <w:rFonts w:cs="Times New Roman"/>
                <w:sz w:val="24"/>
                <w:szCs w:val="24"/>
              </w:rPr>
              <w:t>Характеристики</w:t>
            </w:r>
          </w:p>
        </w:tc>
        <w:tc>
          <w:tcPr>
            <w:tcW w:w="1701" w:type="dxa"/>
            <w:noWrap/>
            <w:hideMark/>
          </w:tcPr>
          <w:p w14:paraId="4CF9D255"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Активная </w:t>
            </w:r>
          </w:p>
          <w:p w14:paraId="2706DB8D"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(CAS &gt;3) </w:t>
            </w:r>
          </w:p>
          <w:p w14:paraId="4D216D70" w14:textId="77777777" w:rsidR="00143D08" w:rsidRPr="002B136D" w:rsidRDefault="00143D08" w:rsidP="00DD33AE">
            <w:pPr>
              <w:contextualSpacing/>
              <w:jc w:val="both"/>
              <w:rPr>
                <w:rFonts w:cs="Times New Roman"/>
                <w:b/>
                <w:sz w:val="24"/>
                <w:szCs w:val="24"/>
              </w:rPr>
            </w:pPr>
            <w:r w:rsidRPr="002B136D">
              <w:rPr>
                <w:rFonts w:cs="Times New Roman"/>
                <w:sz w:val="24"/>
                <w:szCs w:val="24"/>
              </w:rPr>
              <w:t>n=214</w:t>
            </w:r>
          </w:p>
        </w:tc>
        <w:tc>
          <w:tcPr>
            <w:tcW w:w="1701" w:type="dxa"/>
            <w:noWrap/>
            <w:hideMark/>
          </w:tcPr>
          <w:p w14:paraId="16704AE4"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неактивная </w:t>
            </w:r>
          </w:p>
          <w:p w14:paraId="6CF5C133"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(CAS &lt;3) </w:t>
            </w:r>
          </w:p>
          <w:p w14:paraId="2B01C075" w14:textId="77777777" w:rsidR="00143D08" w:rsidRPr="002B136D" w:rsidRDefault="00143D08" w:rsidP="00DD33AE">
            <w:pPr>
              <w:contextualSpacing/>
              <w:jc w:val="both"/>
              <w:rPr>
                <w:rFonts w:cs="Times New Roman"/>
                <w:b/>
                <w:sz w:val="24"/>
                <w:szCs w:val="24"/>
              </w:rPr>
            </w:pPr>
            <w:r w:rsidRPr="002B136D">
              <w:rPr>
                <w:rFonts w:cs="Times New Roman"/>
                <w:sz w:val="24"/>
                <w:szCs w:val="24"/>
              </w:rPr>
              <w:t>n=170</w:t>
            </w:r>
          </w:p>
        </w:tc>
        <w:tc>
          <w:tcPr>
            <w:tcW w:w="1417" w:type="dxa"/>
            <w:noWrap/>
            <w:hideMark/>
          </w:tcPr>
          <w:p w14:paraId="7D4116F3" w14:textId="77777777" w:rsidR="00143D08" w:rsidRPr="002B136D" w:rsidRDefault="00143D08" w:rsidP="00DD33AE">
            <w:pPr>
              <w:contextualSpacing/>
              <w:jc w:val="both"/>
              <w:rPr>
                <w:rFonts w:cs="Times New Roman"/>
                <w:b/>
                <w:sz w:val="24"/>
                <w:szCs w:val="24"/>
              </w:rPr>
            </w:pPr>
            <w:r w:rsidRPr="002B136D">
              <w:rPr>
                <w:rFonts w:cs="Times New Roman"/>
                <w:sz w:val="24"/>
                <w:szCs w:val="24"/>
              </w:rPr>
              <w:t>р</w:t>
            </w:r>
          </w:p>
        </w:tc>
      </w:tr>
      <w:tr w:rsidR="00D51D40" w:rsidRPr="002B136D" w14:paraId="43BE7A1A" w14:textId="77777777" w:rsidTr="000346E5">
        <w:trPr>
          <w:trHeight w:val="70"/>
        </w:trPr>
        <w:tc>
          <w:tcPr>
            <w:tcW w:w="4820" w:type="dxa"/>
            <w:noWrap/>
            <w:hideMark/>
          </w:tcPr>
          <w:p w14:paraId="222C9CBD" w14:textId="77777777" w:rsidR="00143D08" w:rsidRPr="002B136D" w:rsidRDefault="00143D08" w:rsidP="00DD33AE">
            <w:pPr>
              <w:contextualSpacing/>
              <w:jc w:val="both"/>
              <w:rPr>
                <w:rFonts w:cs="Times New Roman"/>
                <w:b/>
                <w:sz w:val="24"/>
                <w:szCs w:val="24"/>
              </w:rPr>
            </w:pPr>
            <w:r w:rsidRPr="002B136D">
              <w:rPr>
                <w:rFonts w:cs="Times New Roman"/>
                <w:sz w:val="24"/>
                <w:szCs w:val="24"/>
              </w:rPr>
              <w:t>Острота зрения</w:t>
            </w:r>
          </w:p>
        </w:tc>
        <w:tc>
          <w:tcPr>
            <w:tcW w:w="1701" w:type="dxa"/>
            <w:noWrap/>
            <w:hideMark/>
          </w:tcPr>
          <w:p w14:paraId="2485C83E" w14:textId="783F829E" w:rsidR="00143D08" w:rsidRPr="002B136D" w:rsidRDefault="00143D08" w:rsidP="00DD33AE">
            <w:pPr>
              <w:contextualSpacing/>
              <w:jc w:val="both"/>
              <w:rPr>
                <w:rFonts w:cs="Times New Roman"/>
                <w:sz w:val="24"/>
                <w:szCs w:val="24"/>
              </w:rPr>
            </w:pPr>
            <w:r w:rsidRPr="002B136D">
              <w:rPr>
                <w:rFonts w:cs="Times New Roman"/>
                <w:sz w:val="24"/>
                <w:szCs w:val="24"/>
              </w:rPr>
              <w:t>0,7</w:t>
            </w:r>
            <w:r w:rsidR="0071282B" w:rsidRPr="002B136D">
              <w:rPr>
                <w:rFonts w:cs="Times New Roman"/>
                <w:sz w:val="24"/>
                <w:szCs w:val="24"/>
              </w:rPr>
              <w:t xml:space="preserve"> </w:t>
            </w:r>
            <w:r w:rsidRPr="002B136D">
              <w:rPr>
                <w:rFonts w:cs="Times New Roman"/>
                <w:sz w:val="24"/>
                <w:szCs w:val="24"/>
              </w:rPr>
              <w:t>[0,6; 1]</w:t>
            </w:r>
          </w:p>
        </w:tc>
        <w:tc>
          <w:tcPr>
            <w:tcW w:w="1701" w:type="dxa"/>
            <w:noWrap/>
            <w:hideMark/>
          </w:tcPr>
          <w:p w14:paraId="3B5FB43C" w14:textId="77777777" w:rsidR="00143D08" w:rsidRPr="002B136D" w:rsidRDefault="00143D08" w:rsidP="00DD33AE">
            <w:pPr>
              <w:contextualSpacing/>
              <w:jc w:val="both"/>
              <w:rPr>
                <w:rFonts w:cs="Times New Roman"/>
                <w:sz w:val="24"/>
                <w:szCs w:val="24"/>
              </w:rPr>
            </w:pPr>
            <w:r w:rsidRPr="002B136D">
              <w:rPr>
                <w:rFonts w:cs="Times New Roman"/>
                <w:sz w:val="24"/>
                <w:szCs w:val="24"/>
              </w:rPr>
              <w:t>1[0,7; 1]</w:t>
            </w:r>
          </w:p>
        </w:tc>
        <w:tc>
          <w:tcPr>
            <w:tcW w:w="1417" w:type="dxa"/>
            <w:noWrap/>
            <w:hideMark/>
          </w:tcPr>
          <w:p w14:paraId="61924719" w14:textId="7F93703F" w:rsidR="00143D08" w:rsidRPr="002B136D" w:rsidRDefault="00143D08" w:rsidP="00DD33AE">
            <w:pPr>
              <w:contextualSpacing/>
              <w:jc w:val="both"/>
              <w:rPr>
                <w:rFonts w:cs="Times New Roman"/>
                <w:sz w:val="24"/>
                <w:szCs w:val="24"/>
              </w:rPr>
            </w:pPr>
            <w:r w:rsidRPr="002B136D">
              <w:rPr>
                <w:rFonts w:cs="Times New Roman"/>
                <w:sz w:val="24"/>
                <w:szCs w:val="24"/>
              </w:rPr>
              <w:t>р = 0,01</w:t>
            </w:r>
            <w:r w:rsidR="000D4B38" w:rsidRPr="002B136D">
              <w:rPr>
                <w:rFonts w:cs="Times New Roman"/>
                <w:sz w:val="24"/>
                <w:szCs w:val="24"/>
              </w:rPr>
              <w:t>*</w:t>
            </w:r>
          </w:p>
        </w:tc>
      </w:tr>
      <w:tr w:rsidR="00D51D40" w:rsidRPr="002B136D" w14:paraId="60EB8CAF" w14:textId="77777777" w:rsidTr="000346E5">
        <w:trPr>
          <w:trHeight w:val="110"/>
        </w:trPr>
        <w:tc>
          <w:tcPr>
            <w:tcW w:w="4820" w:type="dxa"/>
            <w:noWrap/>
            <w:hideMark/>
          </w:tcPr>
          <w:p w14:paraId="7D5F001F" w14:textId="77777777" w:rsidR="00143D08" w:rsidRPr="002B136D" w:rsidRDefault="00143D08" w:rsidP="00DD33AE">
            <w:pPr>
              <w:contextualSpacing/>
              <w:jc w:val="both"/>
              <w:rPr>
                <w:rFonts w:cs="Times New Roman"/>
                <w:b/>
                <w:sz w:val="24"/>
                <w:szCs w:val="24"/>
                <w:lang w:val="ru-RU"/>
              </w:rPr>
            </w:pPr>
            <w:r w:rsidRPr="002B136D">
              <w:rPr>
                <w:rFonts w:cs="Times New Roman"/>
                <w:sz w:val="24"/>
                <w:szCs w:val="24"/>
                <w:lang w:val="ru-RU"/>
              </w:rPr>
              <w:t>Внутриглазное давление (мм</w:t>
            </w:r>
            <w:proofErr w:type="gramStart"/>
            <w:r w:rsidRPr="002B136D">
              <w:rPr>
                <w:rFonts w:cs="Times New Roman"/>
                <w:sz w:val="24"/>
                <w:szCs w:val="24"/>
                <w:lang w:val="ru-RU"/>
              </w:rPr>
              <w:t>.</w:t>
            </w:r>
            <w:proofErr w:type="gramEnd"/>
            <w:r w:rsidRPr="002B136D">
              <w:rPr>
                <w:rFonts w:cs="Times New Roman"/>
                <w:sz w:val="24"/>
                <w:szCs w:val="24"/>
                <w:lang w:val="ru-RU"/>
              </w:rPr>
              <w:t xml:space="preserve"> </w:t>
            </w:r>
            <w:proofErr w:type="gramStart"/>
            <w:r w:rsidRPr="002B136D">
              <w:rPr>
                <w:rFonts w:cs="Times New Roman"/>
                <w:sz w:val="24"/>
                <w:szCs w:val="24"/>
                <w:lang w:val="ru-RU"/>
              </w:rPr>
              <w:t>р</w:t>
            </w:r>
            <w:proofErr w:type="gramEnd"/>
            <w:r w:rsidRPr="002B136D">
              <w:rPr>
                <w:rFonts w:cs="Times New Roman"/>
                <w:sz w:val="24"/>
                <w:szCs w:val="24"/>
                <w:lang w:val="ru-RU"/>
              </w:rPr>
              <w:t>т. ст.)</w:t>
            </w:r>
          </w:p>
        </w:tc>
        <w:tc>
          <w:tcPr>
            <w:tcW w:w="1701" w:type="dxa"/>
            <w:noWrap/>
            <w:hideMark/>
          </w:tcPr>
          <w:p w14:paraId="4094ACCF" w14:textId="3782F251" w:rsidR="00143D08" w:rsidRPr="002B136D" w:rsidRDefault="00143D08" w:rsidP="00DD33AE">
            <w:pPr>
              <w:contextualSpacing/>
              <w:jc w:val="both"/>
              <w:rPr>
                <w:rFonts w:cs="Times New Roman"/>
                <w:sz w:val="24"/>
                <w:szCs w:val="24"/>
              </w:rPr>
            </w:pPr>
            <w:r w:rsidRPr="002B136D">
              <w:rPr>
                <w:rFonts w:cs="Times New Roman"/>
                <w:sz w:val="24"/>
                <w:szCs w:val="24"/>
              </w:rPr>
              <w:t>19</w:t>
            </w:r>
            <w:r w:rsidR="0071282B" w:rsidRPr="002B136D">
              <w:rPr>
                <w:rFonts w:cs="Times New Roman"/>
                <w:sz w:val="24"/>
                <w:szCs w:val="24"/>
              </w:rPr>
              <w:t xml:space="preserve"> </w:t>
            </w:r>
            <w:r w:rsidRPr="002B136D">
              <w:rPr>
                <w:rFonts w:cs="Times New Roman"/>
                <w:sz w:val="24"/>
                <w:szCs w:val="24"/>
              </w:rPr>
              <w:t>[15; 21]</w:t>
            </w:r>
          </w:p>
        </w:tc>
        <w:tc>
          <w:tcPr>
            <w:tcW w:w="1701" w:type="dxa"/>
            <w:noWrap/>
            <w:hideMark/>
          </w:tcPr>
          <w:p w14:paraId="22B64B4E" w14:textId="77777777" w:rsidR="00143D08" w:rsidRPr="002B136D" w:rsidRDefault="00143D08" w:rsidP="00DD33AE">
            <w:pPr>
              <w:contextualSpacing/>
              <w:jc w:val="both"/>
              <w:rPr>
                <w:rFonts w:cs="Times New Roman"/>
                <w:sz w:val="24"/>
                <w:szCs w:val="24"/>
              </w:rPr>
            </w:pPr>
            <w:r w:rsidRPr="002B136D">
              <w:rPr>
                <w:rFonts w:cs="Times New Roman"/>
                <w:sz w:val="24"/>
                <w:szCs w:val="24"/>
              </w:rPr>
              <w:t>16±3</w:t>
            </w:r>
          </w:p>
        </w:tc>
        <w:tc>
          <w:tcPr>
            <w:tcW w:w="1417" w:type="dxa"/>
            <w:noWrap/>
            <w:hideMark/>
          </w:tcPr>
          <w:p w14:paraId="4673BB77" w14:textId="56460F08" w:rsidR="00143D08" w:rsidRPr="002B136D" w:rsidRDefault="00143D08" w:rsidP="00DD33AE">
            <w:pPr>
              <w:contextualSpacing/>
              <w:jc w:val="both"/>
              <w:rPr>
                <w:rFonts w:cs="Times New Roman"/>
                <w:sz w:val="24"/>
                <w:szCs w:val="24"/>
              </w:rPr>
            </w:pPr>
            <w:r w:rsidRPr="002B136D">
              <w:rPr>
                <w:rFonts w:cs="Times New Roman"/>
                <w:sz w:val="24"/>
                <w:szCs w:val="24"/>
              </w:rPr>
              <w:t>р = 0,01</w:t>
            </w:r>
            <w:r w:rsidR="000D4B38" w:rsidRPr="002B136D">
              <w:rPr>
                <w:rFonts w:cs="Times New Roman"/>
                <w:sz w:val="24"/>
                <w:szCs w:val="24"/>
              </w:rPr>
              <w:t>*</w:t>
            </w:r>
          </w:p>
        </w:tc>
      </w:tr>
      <w:tr w:rsidR="00D51D40" w:rsidRPr="002B136D" w14:paraId="0521E174" w14:textId="77777777" w:rsidTr="000346E5">
        <w:trPr>
          <w:trHeight w:val="288"/>
        </w:trPr>
        <w:tc>
          <w:tcPr>
            <w:tcW w:w="4820" w:type="dxa"/>
            <w:noWrap/>
            <w:hideMark/>
          </w:tcPr>
          <w:p w14:paraId="47810837" w14:textId="77777777" w:rsidR="00143D08" w:rsidRPr="002B136D" w:rsidRDefault="00143D08" w:rsidP="00DD33AE">
            <w:pPr>
              <w:contextualSpacing/>
              <w:jc w:val="both"/>
              <w:rPr>
                <w:rFonts w:cs="Times New Roman"/>
                <w:b/>
                <w:sz w:val="24"/>
                <w:szCs w:val="24"/>
              </w:rPr>
            </w:pPr>
            <w:r w:rsidRPr="002B136D">
              <w:rPr>
                <w:rFonts w:cs="Times New Roman"/>
                <w:sz w:val="24"/>
                <w:szCs w:val="24"/>
              </w:rPr>
              <w:t>Экзофтальм (мм)</w:t>
            </w:r>
          </w:p>
        </w:tc>
        <w:tc>
          <w:tcPr>
            <w:tcW w:w="1701" w:type="dxa"/>
            <w:noWrap/>
            <w:hideMark/>
          </w:tcPr>
          <w:p w14:paraId="3C24FC60" w14:textId="77777777" w:rsidR="00143D08" w:rsidRPr="002B136D" w:rsidRDefault="00143D08" w:rsidP="00DD33AE">
            <w:pPr>
              <w:contextualSpacing/>
              <w:jc w:val="both"/>
              <w:rPr>
                <w:rFonts w:cs="Times New Roman"/>
                <w:sz w:val="24"/>
                <w:szCs w:val="24"/>
              </w:rPr>
            </w:pPr>
            <w:r w:rsidRPr="002B136D">
              <w:rPr>
                <w:rFonts w:cs="Times New Roman"/>
                <w:sz w:val="24"/>
                <w:szCs w:val="24"/>
              </w:rPr>
              <w:t>21,4 [17,2; 20]</w:t>
            </w:r>
          </w:p>
        </w:tc>
        <w:tc>
          <w:tcPr>
            <w:tcW w:w="1701" w:type="dxa"/>
            <w:noWrap/>
            <w:hideMark/>
          </w:tcPr>
          <w:p w14:paraId="71F2B2E8" w14:textId="77777777" w:rsidR="00143D08" w:rsidRPr="002B136D" w:rsidRDefault="00143D08" w:rsidP="00DD33AE">
            <w:pPr>
              <w:contextualSpacing/>
              <w:jc w:val="both"/>
              <w:rPr>
                <w:rFonts w:cs="Times New Roman"/>
                <w:sz w:val="24"/>
                <w:szCs w:val="24"/>
              </w:rPr>
            </w:pPr>
            <w:r w:rsidRPr="002B136D">
              <w:rPr>
                <w:rFonts w:cs="Times New Roman"/>
                <w:sz w:val="24"/>
                <w:szCs w:val="24"/>
              </w:rPr>
              <w:t>18,8 [18,6; 24]</w:t>
            </w:r>
          </w:p>
        </w:tc>
        <w:tc>
          <w:tcPr>
            <w:tcW w:w="1417" w:type="dxa"/>
            <w:noWrap/>
            <w:hideMark/>
          </w:tcPr>
          <w:p w14:paraId="06C66BCA" w14:textId="58BB8E94" w:rsidR="00143D08" w:rsidRPr="002B136D" w:rsidRDefault="00143D08" w:rsidP="00DD33AE">
            <w:pPr>
              <w:contextualSpacing/>
              <w:jc w:val="both"/>
              <w:rPr>
                <w:rFonts w:cs="Times New Roman"/>
                <w:sz w:val="24"/>
                <w:szCs w:val="24"/>
              </w:rPr>
            </w:pPr>
            <w:r w:rsidRPr="002B136D">
              <w:rPr>
                <w:rFonts w:cs="Times New Roman"/>
                <w:sz w:val="24"/>
                <w:szCs w:val="24"/>
              </w:rPr>
              <w:t>р = 0,01</w:t>
            </w:r>
            <w:r w:rsidR="000D4B38" w:rsidRPr="002B136D">
              <w:rPr>
                <w:rFonts w:cs="Times New Roman"/>
                <w:sz w:val="24"/>
                <w:szCs w:val="24"/>
              </w:rPr>
              <w:t>*</w:t>
            </w:r>
          </w:p>
        </w:tc>
      </w:tr>
      <w:tr w:rsidR="00D51D40" w:rsidRPr="002B136D" w14:paraId="2D263998" w14:textId="77777777" w:rsidTr="000346E5">
        <w:trPr>
          <w:trHeight w:val="288"/>
        </w:trPr>
        <w:tc>
          <w:tcPr>
            <w:tcW w:w="4820" w:type="dxa"/>
            <w:noWrap/>
            <w:hideMark/>
          </w:tcPr>
          <w:p w14:paraId="7FD2D409" w14:textId="77777777" w:rsidR="00143D08" w:rsidRPr="002B136D" w:rsidRDefault="00143D08" w:rsidP="00DD33AE">
            <w:pPr>
              <w:contextualSpacing/>
              <w:jc w:val="both"/>
              <w:rPr>
                <w:rFonts w:cs="Times New Roman"/>
                <w:b/>
                <w:sz w:val="24"/>
                <w:szCs w:val="24"/>
              </w:rPr>
            </w:pPr>
            <w:r w:rsidRPr="002B136D">
              <w:rPr>
                <w:rFonts w:cs="Times New Roman"/>
                <w:sz w:val="24"/>
                <w:szCs w:val="24"/>
              </w:rPr>
              <w:t>Глазная щель (мм)</w:t>
            </w:r>
          </w:p>
        </w:tc>
        <w:tc>
          <w:tcPr>
            <w:tcW w:w="1701" w:type="dxa"/>
            <w:noWrap/>
            <w:hideMark/>
          </w:tcPr>
          <w:p w14:paraId="561D669D" w14:textId="77777777" w:rsidR="00143D08" w:rsidRPr="002B136D" w:rsidRDefault="00143D08" w:rsidP="00DD33AE">
            <w:pPr>
              <w:contextualSpacing/>
              <w:jc w:val="both"/>
              <w:rPr>
                <w:rFonts w:cs="Times New Roman"/>
                <w:sz w:val="24"/>
                <w:szCs w:val="24"/>
              </w:rPr>
            </w:pPr>
            <w:r w:rsidRPr="002B136D">
              <w:rPr>
                <w:rFonts w:cs="Times New Roman"/>
                <w:sz w:val="24"/>
                <w:szCs w:val="24"/>
              </w:rPr>
              <w:t>9,2 [8; 11]</w:t>
            </w:r>
          </w:p>
        </w:tc>
        <w:tc>
          <w:tcPr>
            <w:tcW w:w="1701" w:type="dxa"/>
            <w:noWrap/>
            <w:hideMark/>
          </w:tcPr>
          <w:p w14:paraId="40F66CED" w14:textId="77777777" w:rsidR="00143D08" w:rsidRPr="002B136D" w:rsidRDefault="00143D08" w:rsidP="00DD33AE">
            <w:pPr>
              <w:contextualSpacing/>
              <w:jc w:val="both"/>
              <w:rPr>
                <w:rFonts w:cs="Times New Roman"/>
                <w:sz w:val="24"/>
                <w:szCs w:val="24"/>
              </w:rPr>
            </w:pPr>
            <w:r w:rsidRPr="002B136D">
              <w:rPr>
                <w:rFonts w:cs="Times New Roman"/>
                <w:sz w:val="24"/>
                <w:szCs w:val="24"/>
              </w:rPr>
              <w:t>8,8 [7,6; 10]</w:t>
            </w:r>
          </w:p>
        </w:tc>
        <w:tc>
          <w:tcPr>
            <w:tcW w:w="1417" w:type="dxa"/>
            <w:noWrap/>
            <w:hideMark/>
          </w:tcPr>
          <w:p w14:paraId="48BD9C69" w14:textId="2E59BA74" w:rsidR="00143D08" w:rsidRPr="002B136D" w:rsidRDefault="00143D08" w:rsidP="00DD33AE">
            <w:pPr>
              <w:contextualSpacing/>
              <w:jc w:val="both"/>
              <w:rPr>
                <w:rFonts w:cs="Times New Roman"/>
                <w:sz w:val="24"/>
                <w:szCs w:val="24"/>
              </w:rPr>
            </w:pPr>
            <w:r w:rsidRPr="002B136D">
              <w:rPr>
                <w:rFonts w:cs="Times New Roman"/>
                <w:sz w:val="24"/>
                <w:szCs w:val="24"/>
              </w:rPr>
              <w:t>р = 0,03</w:t>
            </w:r>
            <w:r w:rsidR="000D4B38" w:rsidRPr="002B136D">
              <w:rPr>
                <w:rFonts w:cs="Times New Roman"/>
                <w:sz w:val="24"/>
                <w:szCs w:val="24"/>
              </w:rPr>
              <w:t>*</w:t>
            </w:r>
          </w:p>
        </w:tc>
      </w:tr>
      <w:tr w:rsidR="00D51D40" w:rsidRPr="002B136D" w14:paraId="5F94B3C3" w14:textId="77777777" w:rsidTr="000346E5">
        <w:trPr>
          <w:trHeight w:val="288"/>
        </w:trPr>
        <w:tc>
          <w:tcPr>
            <w:tcW w:w="4820" w:type="dxa"/>
            <w:noWrap/>
            <w:hideMark/>
          </w:tcPr>
          <w:p w14:paraId="2E7C40B4"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Поражение роговицы </w:t>
            </w:r>
          </w:p>
        </w:tc>
        <w:tc>
          <w:tcPr>
            <w:tcW w:w="1701" w:type="dxa"/>
            <w:noWrap/>
            <w:hideMark/>
          </w:tcPr>
          <w:p w14:paraId="6FCB13FA" w14:textId="77777777" w:rsidR="00143D08" w:rsidRPr="002B136D" w:rsidRDefault="00143D08" w:rsidP="00DD33AE">
            <w:pPr>
              <w:contextualSpacing/>
              <w:jc w:val="both"/>
              <w:rPr>
                <w:rFonts w:cs="Times New Roman"/>
                <w:sz w:val="24"/>
                <w:szCs w:val="24"/>
              </w:rPr>
            </w:pPr>
            <w:r w:rsidRPr="002B136D">
              <w:rPr>
                <w:rFonts w:cs="Times New Roman"/>
                <w:sz w:val="24"/>
                <w:szCs w:val="24"/>
              </w:rPr>
              <w:t>39 (глаз)</w:t>
            </w:r>
          </w:p>
        </w:tc>
        <w:tc>
          <w:tcPr>
            <w:tcW w:w="1701" w:type="dxa"/>
            <w:noWrap/>
            <w:hideMark/>
          </w:tcPr>
          <w:p w14:paraId="5CCA4ED0" w14:textId="77777777" w:rsidR="00143D08" w:rsidRPr="002B136D" w:rsidRDefault="00143D08" w:rsidP="00DD33AE">
            <w:pPr>
              <w:contextualSpacing/>
              <w:jc w:val="both"/>
              <w:rPr>
                <w:rFonts w:cs="Times New Roman"/>
                <w:sz w:val="24"/>
                <w:szCs w:val="24"/>
              </w:rPr>
            </w:pPr>
            <w:r w:rsidRPr="002B136D">
              <w:rPr>
                <w:rFonts w:cs="Times New Roman"/>
                <w:sz w:val="24"/>
                <w:szCs w:val="24"/>
              </w:rPr>
              <w:t>7 (глаз)</w:t>
            </w:r>
          </w:p>
        </w:tc>
        <w:tc>
          <w:tcPr>
            <w:tcW w:w="1417" w:type="dxa"/>
            <w:noWrap/>
            <w:hideMark/>
          </w:tcPr>
          <w:p w14:paraId="6904288E" w14:textId="4D55BCFF" w:rsidR="00C926C5" w:rsidRPr="002B136D" w:rsidRDefault="00F461DC" w:rsidP="00DD33AE">
            <w:pPr>
              <w:contextualSpacing/>
              <w:jc w:val="both"/>
              <w:rPr>
                <w:rFonts w:cs="Times New Roman"/>
                <w:sz w:val="24"/>
                <w:szCs w:val="24"/>
                <w:lang w:val="ru-RU"/>
              </w:rPr>
            </w:pPr>
            <w:r w:rsidRPr="002B136D">
              <w:rPr>
                <w:rFonts w:cs="Times New Roman"/>
                <w:sz w:val="24"/>
                <w:szCs w:val="24"/>
              </w:rPr>
              <w:t>р = 2,35</w:t>
            </w:r>
          </w:p>
        </w:tc>
      </w:tr>
      <w:tr w:rsidR="00D51D40" w:rsidRPr="002B136D" w14:paraId="335DEDBD" w14:textId="77777777" w:rsidTr="000346E5">
        <w:trPr>
          <w:trHeight w:val="70"/>
        </w:trPr>
        <w:tc>
          <w:tcPr>
            <w:tcW w:w="4820" w:type="dxa"/>
            <w:noWrap/>
            <w:hideMark/>
          </w:tcPr>
          <w:p w14:paraId="66C13A6C" w14:textId="77777777" w:rsidR="00143D08" w:rsidRPr="002B136D" w:rsidRDefault="00143D08" w:rsidP="00DD33AE">
            <w:pPr>
              <w:contextualSpacing/>
              <w:jc w:val="both"/>
              <w:rPr>
                <w:rFonts w:cs="Times New Roman"/>
                <w:b/>
                <w:sz w:val="24"/>
                <w:szCs w:val="24"/>
              </w:rPr>
            </w:pPr>
            <w:r w:rsidRPr="002B136D">
              <w:rPr>
                <w:rFonts w:cs="Times New Roman"/>
                <w:sz w:val="24"/>
                <w:szCs w:val="24"/>
              </w:rPr>
              <w:t>Увеличение глазодвигательных мышц</w:t>
            </w:r>
          </w:p>
        </w:tc>
        <w:tc>
          <w:tcPr>
            <w:tcW w:w="1701" w:type="dxa"/>
            <w:noWrap/>
            <w:hideMark/>
          </w:tcPr>
          <w:p w14:paraId="1DEB215F" w14:textId="77777777" w:rsidR="00143D08" w:rsidRPr="002B136D" w:rsidRDefault="00143D08" w:rsidP="00DD33AE">
            <w:pPr>
              <w:contextualSpacing/>
              <w:jc w:val="both"/>
              <w:rPr>
                <w:rFonts w:cs="Times New Roman"/>
                <w:sz w:val="24"/>
                <w:szCs w:val="24"/>
              </w:rPr>
            </w:pPr>
            <w:r w:rsidRPr="002B136D">
              <w:rPr>
                <w:rFonts w:cs="Times New Roman"/>
                <w:sz w:val="24"/>
                <w:szCs w:val="24"/>
              </w:rPr>
              <w:t>n- глаз:148</w:t>
            </w:r>
          </w:p>
        </w:tc>
        <w:tc>
          <w:tcPr>
            <w:tcW w:w="1701" w:type="dxa"/>
            <w:noWrap/>
            <w:hideMark/>
          </w:tcPr>
          <w:p w14:paraId="606BEEB6" w14:textId="77777777" w:rsidR="00143D08" w:rsidRPr="002B136D" w:rsidRDefault="00143D08" w:rsidP="00DD33AE">
            <w:pPr>
              <w:contextualSpacing/>
              <w:jc w:val="both"/>
              <w:rPr>
                <w:rFonts w:cs="Times New Roman"/>
                <w:sz w:val="24"/>
                <w:szCs w:val="24"/>
              </w:rPr>
            </w:pPr>
            <w:r w:rsidRPr="002B136D">
              <w:rPr>
                <w:rFonts w:cs="Times New Roman"/>
                <w:sz w:val="24"/>
                <w:szCs w:val="24"/>
              </w:rPr>
              <w:t>n- глаз: 95</w:t>
            </w:r>
          </w:p>
        </w:tc>
        <w:tc>
          <w:tcPr>
            <w:tcW w:w="1417" w:type="dxa"/>
            <w:noWrap/>
            <w:hideMark/>
          </w:tcPr>
          <w:p w14:paraId="27B1949C" w14:textId="4352C331" w:rsidR="00143D08" w:rsidRPr="002B136D" w:rsidRDefault="00143D08" w:rsidP="00DD33AE">
            <w:pPr>
              <w:contextualSpacing/>
              <w:jc w:val="both"/>
              <w:rPr>
                <w:rFonts w:cs="Times New Roman"/>
                <w:sz w:val="24"/>
                <w:szCs w:val="24"/>
              </w:rPr>
            </w:pPr>
            <w:r w:rsidRPr="002B136D">
              <w:rPr>
                <w:rFonts w:cs="Times New Roman"/>
                <w:sz w:val="24"/>
                <w:szCs w:val="24"/>
              </w:rPr>
              <w:t>р = 0,007</w:t>
            </w:r>
            <w:r w:rsidR="000D4B38" w:rsidRPr="002B136D">
              <w:rPr>
                <w:rFonts w:cs="Times New Roman"/>
                <w:sz w:val="24"/>
                <w:szCs w:val="24"/>
              </w:rPr>
              <w:t>*</w:t>
            </w:r>
          </w:p>
          <w:p w14:paraId="05D0B936" w14:textId="4CB470D5" w:rsidR="00C926C5" w:rsidRPr="002B136D" w:rsidRDefault="00C926C5" w:rsidP="00DD33AE">
            <w:pPr>
              <w:contextualSpacing/>
              <w:jc w:val="both"/>
              <w:rPr>
                <w:rFonts w:cs="Times New Roman"/>
                <w:sz w:val="24"/>
                <w:szCs w:val="24"/>
              </w:rPr>
            </w:pPr>
          </w:p>
        </w:tc>
      </w:tr>
      <w:tr w:rsidR="00D51D40" w:rsidRPr="002B136D" w14:paraId="51E5A325" w14:textId="77777777" w:rsidTr="000346E5">
        <w:trPr>
          <w:trHeight w:val="70"/>
        </w:trPr>
        <w:tc>
          <w:tcPr>
            <w:tcW w:w="4820" w:type="dxa"/>
            <w:noWrap/>
            <w:hideMark/>
          </w:tcPr>
          <w:p w14:paraId="35762A14" w14:textId="77777777" w:rsidR="00143D08" w:rsidRPr="002B136D" w:rsidRDefault="00143D08" w:rsidP="00DD33AE">
            <w:pPr>
              <w:contextualSpacing/>
              <w:jc w:val="both"/>
              <w:rPr>
                <w:rFonts w:cs="Times New Roman"/>
                <w:b/>
                <w:sz w:val="24"/>
                <w:szCs w:val="24"/>
              </w:rPr>
            </w:pPr>
            <w:r w:rsidRPr="002B136D">
              <w:rPr>
                <w:rFonts w:cs="Times New Roman"/>
                <w:sz w:val="24"/>
                <w:szCs w:val="24"/>
              </w:rPr>
              <w:t>верхняя прямая</w:t>
            </w:r>
          </w:p>
        </w:tc>
        <w:tc>
          <w:tcPr>
            <w:tcW w:w="1701" w:type="dxa"/>
            <w:noWrap/>
            <w:hideMark/>
          </w:tcPr>
          <w:p w14:paraId="11390082" w14:textId="77777777" w:rsidR="00143D08" w:rsidRPr="002B136D" w:rsidRDefault="00143D08" w:rsidP="00DD33AE">
            <w:pPr>
              <w:contextualSpacing/>
              <w:jc w:val="both"/>
              <w:rPr>
                <w:rFonts w:cs="Times New Roman"/>
                <w:sz w:val="24"/>
                <w:szCs w:val="24"/>
              </w:rPr>
            </w:pPr>
            <w:r w:rsidRPr="002B136D">
              <w:rPr>
                <w:rFonts w:cs="Times New Roman"/>
                <w:sz w:val="24"/>
                <w:szCs w:val="24"/>
              </w:rPr>
              <w:t>1</w:t>
            </w:r>
          </w:p>
        </w:tc>
        <w:tc>
          <w:tcPr>
            <w:tcW w:w="1701" w:type="dxa"/>
            <w:noWrap/>
            <w:hideMark/>
          </w:tcPr>
          <w:p w14:paraId="52D53A64" w14:textId="77777777" w:rsidR="00143D08" w:rsidRPr="002B136D" w:rsidRDefault="00143D08" w:rsidP="00DD33AE">
            <w:pPr>
              <w:contextualSpacing/>
              <w:jc w:val="both"/>
              <w:rPr>
                <w:rFonts w:cs="Times New Roman"/>
                <w:sz w:val="24"/>
                <w:szCs w:val="24"/>
              </w:rPr>
            </w:pPr>
            <w:r w:rsidRPr="002B136D">
              <w:rPr>
                <w:rFonts w:cs="Times New Roman"/>
                <w:sz w:val="24"/>
                <w:szCs w:val="24"/>
              </w:rPr>
              <w:t>0</w:t>
            </w:r>
          </w:p>
        </w:tc>
        <w:tc>
          <w:tcPr>
            <w:tcW w:w="1417" w:type="dxa"/>
            <w:noWrap/>
            <w:hideMark/>
          </w:tcPr>
          <w:p w14:paraId="592DECE3"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48AA5811" w14:textId="77777777" w:rsidTr="000346E5">
        <w:trPr>
          <w:trHeight w:val="70"/>
        </w:trPr>
        <w:tc>
          <w:tcPr>
            <w:tcW w:w="4820" w:type="dxa"/>
            <w:noWrap/>
            <w:hideMark/>
          </w:tcPr>
          <w:p w14:paraId="71B0A4BF" w14:textId="77777777" w:rsidR="00143D08" w:rsidRPr="002B136D" w:rsidRDefault="00143D08" w:rsidP="00DD33AE">
            <w:pPr>
              <w:contextualSpacing/>
              <w:jc w:val="both"/>
              <w:rPr>
                <w:rFonts w:cs="Times New Roman"/>
                <w:b/>
                <w:sz w:val="24"/>
                <w:szCs w:val="24"/>
              </w:rPr>
            </w:pPr>
            <w:r w:rsidRPr="002B136D">
              <w:rPr>
                <w:rFonts w:cs="Times New Roman"/>
                <w:sz w:val="24"/>
                <w:szCs w:val="24"/>
              </w:rPr>
              <w:t>латеральная прямая</w:t>
            </w:r>
          </w:p>
        </w:tc>
        <w:tc>
          <w:tcPr>
            <w:tcW w:w="1701" w:type="dxa"/>
            <w:noWrap/>
            <w:hideMark/>
          </w:tcPr>
          <w:p w14:paraId="20AD1937" w14:textId="77777777" w:rsidR="00143D08" w:rsidRPr="002B136D" w:rsidRDefault="00143D08" w:rsidP="00DD33AE">
            <w:pPr>
              <w:contextualSpacing/>
              <w:jc w:val="both"/>
              <w:rPr>
                <w:rFonts w:cs="Times New Roman"/>
                <w:sz w:val="24"/>
                <w:szCs w:val="24"/>
              </w:rPr>
            </w:pPr>
            <w:r w:rsidRPr="002B136D">
              <w:rPr>
                <w:rFonts w:cs="Times New Roman"/>
                <w:sz w:val="24"/>
                <w:szCs w:val="24"/>
              </w:rPr>
              <w:t>6</w:t>
            </w:r>
          </w:p>
        </w:tc>
        <w:tc>
          <w:tcPr>
            <w:tcW w:w="1701" w:type="dxa"/>
            <w:noWrap/>
            <w:hideMark/>
          </w:tcPr>
          <w:p w14:paraId="2BAD2720" w14:textId="77777777" w:rsidR="00143D08" w:rsidRPr="002B136D" w:rsidRDefault="00143D08" w:rsidP="00DD33AE">
            <w:pPr>
              <w:contextualSpacing/>
              <w:jc w:val="both"/>
              <w:rPr>
                <w:rFonts w:cs="Times New Roman"/>
                <w:sz w:val="24"/>
                <w:szCs w:val="24"/>
              </w:rPr>
            </w:pPr>
            <w:r w:rsidRPr="002B136D">
              <w:rPr>
                <w:rFonts w:cs="Times New Roman"/>
                <w:sz w:val="24"/>
                <w:szCs w:val="24"/>
              </w:rPr>
              <w:t>0</w:t>
            </w:r>
          </w:p>
        </w:tc>
        <w:tc>
          <w:tcPr>
            <w:tcW w:w="1417" w:type="dxa"/>
            <w:noWrap/>
            <w:hideMark/>
          </w:tcPr>
          <w:p w14:paraId="2CC2CFCB"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4B32EBDC" w14:textId="77777777" w:rsidTr="000346E5">
        <w:trPr>
          <w:trHeight w:val="70"/>
        </w:trPr>
        <w:tc>
          <w:tcPr>
            <w:tcW w:w="4820" w:type="dxa"/>
            <w:noWrap/>
            <w:hideMark/>
          </w:tcPr>
          <w:p w14:paraId="4A015C4B" w14:textId="77777777" w:rsidR="00143D08" w:rsidRPr="002B136D" w:rsidRDefault="00143D08" w:rsidP="00DD33AE">
            <w:pPr>
              <w:contextualSpacing/>
              <w:jc w:val="both"/>
              <w:rPr>
                <w:rFonts w:cs="Times New Roman"/>
                <w:b/>
                <w:sz w:val="24"/>
                <w:szCs w:val="24"/>
              </w:rPr>
            </w:pPr>
            <w:r w:rsidRPr="002B136D">
              <w:rPr>
                <w:rFonts w:cs="Times New Roman"/>
                <w:sz w:val="24"/>
                <w:szCs w:val="24"/>
              </w:rPr>
              <w:t>нижняя прямая</w:t>
            </w:r>
          </w:p>
        </w:tc>
        <w:tc>
          <w:tcPr>
            <w:tcW w:w="1701" w:type="dxa"/>
            <w:noWrap/>
            <w:hideMark/>
          </w:tcPr>
          <w:p w14:paraId="313E741A" w14:textId="77777777" w:rsidR="00143D08" w:rsidRPr="002B136D" w:rsidRDefault="00143D08" w:rsidP="00DD33AE">
            <w:pPr>
              <w:contextualSpacing/>
              <w:jc w:val="both"/>
              <w:rPr>
                <w:rFonts w:cs="Times New Roman"/>
                <w:sz w:val="24"/>
                <w:szCs w:val="24"/>
              </w:rPr>
            </w:pPr>
            <w:r w:rsidRPr="002B136D">
              <w:rPr>
                <w:rFonts w:cs="Times New Roman"/>
                <w:sz w:val="24"/>
                <w:szCs w:val="24"/>
              </w:rPr>
              <w:t>48</w:t>
            </w:r>
          </w:p>
        </w:tc>
        <w:tc>
          <w:tcPr>
            <w:tcW w:w="1701" w:type="dxa"/>
            <w:noWrap/>
            <w:hideMark/>
          </w:tcPr>
          <w:p w14:paraId="3B17FD04" w14:textId="6B7A96BB" w:rsidR="00143D08" w:rsidRPr="002B136D" w:rsidRDefault="00F461DC" w:rsidP="00DD33AE">
            <w:pPr>
              <w:contextualSpacing/>
              <w:jc w:val="both"/>
              <w:rPr>
                <w:rFonts w:cs="Times New Roman"/>
                <w:sz w:val="24"/>
                <w:szCs w:val="24"/>
                <w:lang w:val="ru-RU"/>
              </w:rPr>
            </w:pPr>
            <w:r w:rsidRPr="002B136D">
              <w:rPr>
                <w:rFonts w:cs="Times New Roman"/>
                <w:sz w:val="24"/>
                <w:szCs w:val="24"/>
              </w:rPr>
              <w:t>35</w:t>
            </w:r>
          </w:p>
        </w:tc>
        <w:tc>
          <w:tcPr>
            <w:tcW w:w="1417" w:type="dxa"/>
            <w:noWrap/>
            <w:hideMark/>
          </w:tcPr>
          <w:p w14:paraId="2252527B"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1A7A113B" w14:textId="77777777" w:rsidTr="000346E5">
        <w:trPr>
          <w:trHeight w:val="70"/>
        </w:trPr>
        <w:tc>
          <w:tcPr>
            <w:tcW w:w="4820" w:type="dxa"/>
            <w:noWrap/>
            <w:hideMark/>
          </w:tcPr>
          <w:p w14:paraId="7B8F3315" w14:textId="77777777" w:rsidR="00143D08" w:rsidRPr="002B136D" w:rsidRDefault="00143D08" w:rsidP="00DD33AE">
            <w:pPr>
              <w:contextualSpacing/>
              <w:jc w:val="both"/>
              <w:rPr>
                <w:rFonts w:cs="Times New Roman"/>
                <w:b/>
                <w:sz w:val="24"/>
                <w:szCs w:val="24"/>
              </w:rPr>
            </w:pPr>
            <w:r w:rsidRPr="002B136D">
              <w:rPr>
                <w:rFonts w:cs="Times New Roman"/>
                <w:sz w:val="24"/>
                <w:szCs w:val="24"/>
              </w:rPr>
              <w:t>медиальная прямая</w:t>
            </w:r>
          </w:p>
        </w:tc>
        <w:tc>
          <w:tcPr>
            <w:tcW w:w="1701" w:type="dxa"/>
            <w:noWrap/>
            <w:hideMark/>
          </w:tcPr>
          <w:p w14:paraId="3FA79681" w14:textId="77777777" w:rsidR="00143D08" w:rsidRPr="002B136D" w:rsidRDefault="00143D08" w:rsidP="00DD33AE">
            <w:pPr>
              <w:contextualSpacing/>
              <w:jc w:val="both"/>
              <w:rPr>
                <w:rFonts w:cs="Times New Roman"/>
                <w:sz w:val="24"/>
                <w:szCs w:val="24"/>
              </w:rPr>
            </w:pPr>
            <w:r w:rsidRPr="002B136D">
              <w:rPr>
                <w:rFonts w:cs="Times New Roman"/>
                <w:sz w:val="24"/>
                <w:szCs w:val="24"/>
              </w:rPr>
              <w:t>15</w:t>
            </w:r>
          </w:p>
        </w:tc>
        <w:tc>
          <w:tcPr>
            <w:tcW w:w="1701" w:type="dxa"/>
            <w:noWrap/>
            <w:hideMark/>
          </w:tcPr>
          <w:p w14:paraId="1B459FAB" w14:textId="77777777" w:rsidR="00143D08" w:rsidRPr="002B136D" w:rsidRDefault="00143D08" w:rsidP="00DD33AE">
            <w:pPr>
              <w:contextualSpacing/>
              <w:jc w:val="both"/>
              <w:rPr>
                <w:rFonts w:cs="Times New Roman"/>
                <w:sz w:val="24"/>
                <w:szCs w:val="24"/>
              </w:rPr>
            </w:pPr>
            <w:r w:rsidRPr="002B136D">
              <w:rPr>
                <w:rFonts w:cs="Times New Roman"/>
                <w:sz w:val="24"/>
                <w:szCs w:val="24"/>
              </w:rPr>
              <w:t>16</w:t>
            </w:r>
          </w:p>
        </w:tc>
        <w:tc>
          <w:tcPr>
            <w:tcW w:w="1417" w:type="dxa"/>
            <w:noWrap/>
            <w:hideMark/>
          </w:tcPr>
          <w:p w14:paraId="590B1D90"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404B5B8D" w14:textId="77777777" w:rsidTr="000346E5">
        <w:trPr>
          <w:trHeight w:val="70"/>
        </w:trPr>
        <w:tc>
          <w:tcPr>
            <w:tcW w:w="4820" w:type="dxa"/>
            <w:noWrap/>
            <w:hideMark/>
          </w:tcPr>
          <w:p w14:paraId="57F3B7D5" w14:textId="1756DAEF" w:rsidR="00143D08" w:rsidRPr="002B136D" w:rsidRDefault="00143D08" w:rsidP="00DD33AE">
            <w:pPr>
              <w:contextualSpacing/>
              <w:jc w:val="both"/>
              <w:rPr>
                <w:rFonts w:cs="Times New Roman"/>
                <w:b/>
                <w:sz w:val="24"/>
                <w:szCs w:val="24"/>
              </w:rPr>
            </w:pPr>
            <w:r w:rsidRPr="002B136D">
              <w:rPr>
                <w:rFonts w:cs="Times New Roman"/>
                <w:sz w:val="24"/>
                <w:szCs w:val="24"/>
              </w:rPr>
              <w:t>медиальная и нижняя прямая</w:t>
            </w:r>
          </w:p>
        </w:tc>
        <w:tc>
          <w:tcPr>
            <w:tcW w:w="1701" w:type="dxa"/>
            <w:noWrap/>
            <w:hideMark/>
          </w:tcPr>
          <w:p w14:paraId="3BE05772" w14:textId="77777777" w:rsidR="00143D08" w:rsidRPr="002B136D" w:rsidRDefault="00143D08" w:rsidP="00DD33AE">
            <w:pPr>
              <w:contextualSpacing/>
              <w:jc w:val="both"/>
              <w:rPr>
                <w:rFonts w:cs="Times New Roman"/>
                <w:sz w:val="24"/>
                <w:szCs w:val="24"/>
              </w:rPr>
            </w:pPr>
            <w:r w:rsidRPr="002B136D">
              <w:rPr>
                <w:rFonts w:cs="Times New Roman"/>
                <w:sz w:val="24"/>
                <w:szCs w:val="24"/>
              </w:rPr>
              <w:t>29</w:t>
            </w:r>
          </w:p>
        </w:tc>
        <w:tc>
          <w:tcPr>
            <w:tcW w:w="1701" w:type="dxa"/>
            <w:noWrap/>
            <w:hideMark/>
          </w:tcPr>
          <w:p w14:paraId="28878DED" w14:textId="77777777" w:rsidR="00143D08" w:rsidRPr="002B136D" w:rsidRDefault="00143D08" w:rsidP="00DD33AE">
            <w:pPr>
              <w:contextualSpacing/>
              <w:jc w:val="both"/>
              <w:rPr>
                <w:rFonts w:cs="Times New Roman"/>
                <w:sz w:val="24"/>
                <w:szCs w:val="24"/>
              </w:rPr>
            </w:pPr>
            <w:r w:rsidRPr="002B136D">
              <w:rPr>
                <w:rFonts w:cs="Times New Roman"/>
                <w:sz w:val="24"/>
                <w:szCs w:val="24"/>
              </w:rPr>
              <w:t>19</w:t>
            </w:r>
          </w:p>
        </w:tc>
        <w:tc>
          <w:tcPr>
            <w:tcW w:w="1417" w:type="dxa"/>
            <w:noWrap/>
            <w:hideMark/>
          </w:tcPr>
          <w:p w14:paraId="735C8AF2"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757A5BB4" w14:textId="77777777" w:rsidTr="000346E5">
        <w:trPr>
          <w:trHeight w:val="288"/>
        </w:trPr>
        <w:tc>
          <w:tcPr>
            <w:tcW w:w="4820" w:type="dxa"/>
            <w:noWrap/>
            <w:hideMark/>
          </w:tcPr>
          <w:p w14:paraId="260410F5"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мышца, поднимающая в/веко </w:t>
            </w:r>
          </w:p>
        </w:tc>
        <w:tc>
          <w:tcPr>
            <w:tcW w:w="1701" w:type="dxa"/>
            <w:noWrap/>
            <w:hideMark/>
          </w:tcPr>
          <w:p w14:paraId="050B4D97" w14:textId="77777777" w:rsidR="00143D08" w:rsidRPr="002B136D" w:rsidRDefault="00143D08" w:rsidP="00DD33AE">
            <w:pPr>
              <w:contextualSpacing/>
              <w:jc w:val="both"/>
              <w:rPr>
                <w:rFonts w:cs="Times New Roman"/>
                <w:sz w:val="24"/>
                <w:szCs w:val="24"/>
              </w:rPr>
            </w:pPr>
            <w:r w:rsidRPr="002B136D">
              <w:rPr>
                <w:rFonts w:cs="Times New Roman"/>
                <w:sz w:val="24"/>
                <w:szCs w:val="24"/>
              </w:rPr>
              <w:t>16</w:t>
            </w:r>
          </w:p>
        </w:tc>
        <w:tc>
          <w:tcPr>
            <w:tcW w:w="1701" w:type="dxa"/>
            <w:noWrap/>
            <w:hideMark/>
          </w:tcPr>
          <w:p w14:paraId="1DAC5161" w14:textId="77777777" w:rsidR="00143D08" w:rsidRPr="002B136D" w:rsidRDefault="00143D08" w:rsidP="00DD33AE">
            <w:pPr>
              <w:contextualSpacing/>
              <w:jc w:val="both"/>
              <w:rPr>
                <w:rFonts w:cs="Times New Roman"/>
                <w:sz w:val="24"/>
                <w:szCs w:val="24"/>
              </w:rPr>
            </w:pPr>
            <w:r w:rsidRPr="002B136D">
              <w:rPr>
                <w:rFonts w:cs="Times New Roman"/>
                <w:sz w:val="24"/>
                <w:szCs w:val="24"/>
              </w:rPr>
              <w:t>8</w:t>
            </w:r>
          </w:p>
        </w:tc>
        <w:tc>
          <w:tcPr>
            <w:tcW w:w="1417" w:type="dxa"/>
            <w:noWrap/>
            <w:hideMark/>
          </w:tcPr>
          <w:p w14:paraId="76BAC090"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09F1CBB1" w14:textId="77777777" w:rsidTr="000346E5">
        <w:trPr>
          <w:trHeight w:val="288"/>
        </w:trPr>
        <w:tc>
          <w:tcPr>
            <w:tcW w:w="4820" w:type="dxa"/>
            <w:noWrap/>
            <w:hideMark/>
          </w:tcPr>
          <w:p w14:paraId="721D1148" w14:textId="77777777" w:rsidR="00143D08" w:rsidRPr="002B136D" w:rsidRDefault="00143D08" w:rsidP="00DD33AE">
            <w:pPr>
              <w:contextualSpacing/>
              <w:jc w:val="both"/>
              <w:rPr>
                <w:rFonts w:cs="Times New Roman"/>
                <w:b/>
                <w:sz w:val="24"/>
                <w:szCs w:val="24"/>
              </w:rPr>
            </w:pPr>
            <w:r w:rsidRPr="002B136D">
              <w:rPr>
                <w:rFonts w:cs="Times New Roman"/>
                <w:sz w:val="24"/>
                <w:szCs w:val="24"/>
              </w:rPr>
              <w:t xml:space="preserve">верхняя и медиальная прямая </w:t>
            </w:r>
          </w:p>
        </w:tc>
        <w:tc>
          <w:tcPr>
            <w:tcW w:w="1701" w:type="dxa"/>
            <w:noWrap/>
            <w:hideMark/>
          </w:tcPr>
          <w:p w14:paraId="602CF1F6" w14:textId="77777777" w:rsidR="00143D08" w:rsidRPr="002B136D" w:rsidRDefault="00143D08" w:rsidP="00DD33AE">
            <w:pPr>
              <w:contextualSpacing/>
              <w:jc w:val="both"/>
              <w:rPr>
                <w:rFonts w:cs="Times New Roman"/>
                <w:sz w:val="24"/>
                <w:szCs w:val="24"/>
              </w:rPr>
            </w:pPr>
            <w:r w:rsidRPr="002B136D">
              <w:rPr>
                <w:rFonts w:cs="Times New Roman"/>
                <w:sz w:val="24"/>
                <w:szCs w:val="24"/>
              </w:rPr>
              <w:t>10</w:t>
            </w:r>
          </w:p>
        </w:tc>
        <w:tc>
          <w:tcPr>
            <w:tcW w:w="1701" w:type="dxa"/>
            <w:noWrap/>
            <w:hideMark/>
          </w:tcPr>
          <w:p w14:paraId="374B5F7B" w14:textId="77777777" w:rsidR="00143D08" w:rsidRPr="002B136D" w:rsidRDefault="00143D08" w:rsidP="00DD33AE">
            <w:pPr>
              <w:contextualSpacing/>
              <w:jc w:val="both"/>
              <w:rPr>
                <w:rFonts w:cs="Times New Roman"/>
                <w:sz w:val="24"/>
                <w:szCs w:val="24"/>
              </w:rPr>
            </w:pPr>
            <w:r w:rsidRPr="002B136D">
              <w:rPr>
                <w:rFonts w:cs="Times New Roman"/>
                <w:sz w:val="24"/>
                <w:szCs w:val="24"/>
              </w:rPr>
              <w:t>11</w:t>
            </w:r>
          </w:p>
        </w:tc>
        <w:tc>
          <w:tcPr>
            <w:tcW w:w="1417" w:type="dxa"/>
            <w:noWrap/>
            <w:hideMark/>
          </w:tcPr>
          <w:p w14:paraId="619AC7D9" w14:textId="77777777" w:rsidR="00143D08" w:rsidRPr="002B136D" w:rsidRDefault="00143D08" w:rsidP="00DD33AE">
            <w:pPr>
              <w:contextualSpacing/>
              <w:jc w:val="both"/>
              <w:rPr>
                <w:rFonts w:cs="Times New Roman"/>
                <w:sz w:val="24"/>
                <w:szCs w:val="24"/>
              </w:rPr>
            </w:pPr>
            <w:r w:rsidRPr="002B136D">
              <w:rPr>
                <w:rFonts w:cs="Times New Roman"/>
                <w:sz w:val="24"/>
                <w:szCs w:val="24"/>
              </w:rPr>
              <w:t> </w:t>
            </w:r>
          </w:p>
        </w:tc>
      </w:tr>
      <w:tr w:rsidR="00D51D40" w:rsidRPr="002B136D" w14:paraId="6EF300C3" w14:textId="77777777" w:rsidTr="000346E5">
        <w:trPr>
          <w:trHeight w:val="70"/>
        </w:trPr>
        <w:tc>
          <w:tcPr>
            <w:tcW w:w="4820" w:type="dxa"/>
            <w:noWrap/>
            <w:hideMark/>
          </w:tcPr>
          <w:p w14:paraId="1C200272" w14:textId="77777777" w:rsidR="00143D08" w:rsidRPr="00A95153" w:rsidRDefault="00143D08" w:rsidP="00DD33AE">
            <w:pPr>
              <w:contextualSpacing/>
              <w:jc w:val="both"/>
              <w:rPr>
                <w:rFonts w:cs="Times New Roman"/>
                <w:b/>
                <w:sz w:val="24"/>
                <w:szCs w:val="24"/>
              </w:rPr>
            </w:pPr>
            <w:r w:rsidRPr="00A95153">
              <w:rPr>
                <w:rFonts w:cs="Times New Roman"/>
                <w:sz w:val="24"/>
                <w:szCs w:val="24"/>
              </w:rPr>
              <w:t xml:space="preserve">увеличение всех прямых мышц </w:t>
            </w:r>
          </w:p>
        </w:tc>
        <w:tc>
          <w:tcPr>
            <w:tcW w:w="1701" w:type="dxa"/>
            <w:noWrap/>
            <w:hideMark/>
          </w:tcPr>
          <w:p w14:paraId="130A8B49" w14:textId="77777777" w:rsidR="00143D08" w:rsidRPr="00A95153" w:rsidRDefault="00143D08" w:rsidP="00DD33AE">
            <w:pPr>
              <w:contextualSpacing/>
              <w:jc w:val="both"/>
              <w:rPr>
                <w:rFonts w:cs="Times New Roman"/>
                <w:sz w:val="24"/>
                <w:szCs w:val="24"/>
              </w:rPr>
            </w:pPr>
            <w:r w:rsidRPr="00A95153">
              <w:rPr>
                <w:rFonts w:cs="Times New Roman"/>
                <w:sz w:val="24"/>
                <w:szCs w:val="24"/>
              </w:rPr>
              <w:t>23</w:t>
            </w:r>
          </w:p>
        </w:tc>
        <w:tc>
          <w:tcPr>
            <w:tcW w:w="1701" w:type="dxa"/>
            <w:noWrap/>
            <w:hideMark/>
          </w:tcPr>
          <w:p w14:paraId="168E2805" w14:textId="77777777" w:rsidR="00143D08" w:rsidRPr="00A95153" w:rsidRDefault="00143D08" w:rsidP="00DD33AE">
            <w:pPr>
              <w:contextualSpacing/>
              <w:jc w:val="both"/>
              <w:rPr>
                <w:rFonts w:cs="Times New Roman"/>
                <w:sz w:val="24"/>
                <w:szCs w:val="24"/>
              </w:rPr>
            </w:pPr>
            <w:r w:rsidRPr="00A95153">
              <w:rPr>
                <w:rFonts w:cs="Times New Roman"/>
                <w:sz w:val="24"/>
                <w:szCs w:val="24"/>
              </w:rPr>
              <w:t>4</w:t>
            </w:r>
          </w:p>
        </w:tc>
        <w:tc>
          <w:tcPr>
            <w:tcW w:w="1417" w:type="dxa"/>
            <w:noWrap/>
            <w:hideMark/>
          </w:tcPr>
          <w:p w14:paraId="66A1F9A4" w14:textId="77777777" w:rsidR="00143D08" w:rsidRPr="00A95153" w:rsidRDefault="00143D08" w:rsidP="00DD33AE">
            <w:pPr>
              <w:contextualSpacing/>
              <w:jc w:val="both"/>
              <w:rPr>
                <w:rFonts w:cs="Times New Roman"/>
                <w:sz w:val="24"/>
                <w:szCs w:val="24"/>
              </w:rPr>
            </w:pPr>
            <w:r w:rsidRPr="00A95153">
              <w:rPr>
                <w:rFonts w:cs="Times New Roman"/>
                <w:sz w:val="24"/>
                <w:szCs w:val="24"/>
              </w:rPr>
              <w:t> </w:t>
            </w:r>
          </w:p>
        </w:tc>
      </w:tr>
      <w:tr w:rsidR="00D51D40" w:rsidRPr="002B136D" w14:paraId="7D92B943" w14:textId="77777777" w:rsidTr="000346E5">
        <w:trPr>
          <w:trHeight w:val="70"/>
        </w:trPr>
        <w:tc>
          <w:tcPr>
            <w:tcW w:w="4820" w:type="dxa"/>
            <w:noWrap/>
            <w:hideMark/>
          </w:tcPr>
          <w:p w14:paraId="7B71202A" w14:textId="77777777" w:rsidR="00143D08" w:rsidRPr="00A95153" w:rsidRDefault="00143D08" w:rsidP="00DD33AE">
            <w:pPr>
              <w:contextualSpacing/>
              <w:jc w:val="both"/>
              <w:rPr>
                <w:rFonts w:cs="Times New Roman"/>
                <w:b/>
                <w:sz w:val="24"/>
                <w:szCs w:val="24"/>
              </w:rPr>
            </w:pPr>
            <w:r w:rsidRPr="00A95153">
              <w:rPr>
                <w:rFonts w:cs="Times New Roman"/>
                <w:sz w:val="24"/>
                <w:szCs w:val="24"/>
              </w:rPr>
              <w:t>увеличение слезной железы</w:t>
            </w:r>
          </w:p>
        </w:tc>
        <w:tc>
          <w:tcPr>
            <w:tcW w:w="1701" w:type="dxa"/>
            <w:noWrap/>
            <w:hideMark/>
          </w:tcPr>
          <w:p w14:paraId="3DEBD7AE" w14:textId="77777777" w:rsidR="00143D08" w:rsidRPr="00A95153" w:rsidRDefault="00143D08" w:rsidP="00DD33AE">
            <w:pPr>
              <w:contextualSpacing/>
              <w:jc w:val="both"/>
              <w:rPr>
                <w:rFonts w:cs="Times New Roman"/>
                <w:sz w:val="24"/>
                <w:szCs w:val="24"/>
              </w:rPr>
            </w:pPr>
            <w:r w:rsidRPr="00A95153">
              <w:rPr>
                <w:rFonts w:cs="Times New Roman"/>
                <w:sz w:val="24"/>
                <w:szCs w:val="24"/>
              </w:rPr>
              <w:t>15</w:t>
            </w:r>
          </w:p>
        </w:tc>
        <w:tc>
          <w:tcPr>
            <w:tcW w:w="1701" w:type="dxa"/>
            <w:noWrap/>
            <w:hideMark/>
          </w:tcPr>
          <w:p w14:paraId="1BBE01C2" w14:textId="77777777" w:rsidR="00143D08" w:rsidRPr="00A95153" w:rsidRDefault="00143D08" w:rsidP="00DD33AE">
            <w:pPr>
              <w:contextualSpacing/>
              <w:jc w:val="both"/>
              <w:rPr>
                <w:rFonts w:cs="Times New Roman"/>
                <w:sz w:val="24"/>
                <w:szCs w:val="24"/>
              </w:rPr>
            </w:pPr>
            <w:r w:rsidRPr="00A95153">
              <w:rPr>
                <w:rFonts w:cs="Times New Roman"/>
                <w:sz w:val="24"/>
                <w:szCs w:val="24"/>
              </w:rPr>
              <w:t>2</w:t>
            </w:r>
          </w:p>
        </w:tc>
        <w:tc>
          <w:tcPr>
            <w:tcW w:w="1417" w:type="dxa"/>
            <w:noWrap/>
            <w:hideMark/>
          </w:tcPr>
          <w:p w14:paraId="63563742" w14:textId="77777777" w:rsidR="00143D08" w:rsidRPr="00A95153" w:rsidRDefault="00143D08" w:rsidP="00DD33AE">
            <w:pPr>
              <w:contextualSpacing/>
              <w:jc w:val="both"/>
              <w:rPr>
                <w:rFonts w:cs="Times New Roman"/>
                <w:sz w:val="24"/>
                <w:szCs w:val="24"/>
              </w:rPr>
            </w:pPr>
            <w:r w:rsidRPr="00A95153">
              <w:rPr>
                <w:rFonts w:cs="Times New Roman"/>
                <w:sz w:val="24"/>
                <w:szCs w:val="24"/>
              </w:rPr>
              <w:t> </w:t>
            </w:r>
          </w:p>
        </w:tc>
      </w:tr>
      <w:tr w:rsidR="00D51D40" w:rsidRPr="002B136D" w14:paraId="0A7EB1FD" w14:textId="77777777" w:rsidTr="000346E5">
        <w:trPr>
          <w:trHeight w:val="288"/>
        </w:trPr>
        <w:tc>
          <w:tcPr>
            <w:tcW w:w="4820" w:type="dxa"/>
            <w:noWrap/>
            <w:hideMark/>
          </w:tcPr>
          <w:p w14:paraId="00DA3AD3" w14:textId="77777777" w:rsidR="00143D08" w:rsidRPr="00A95153" w:rsidRDefault="00143D08" w:rsidP="00DD33AE">
            <w:pPr>
              <w:contextualSpacing/>
              <w:jc w:val="both"/>
              <w:rPr>
                <w:rFonts w:cs="Times New Roman"/>
                <w:b/>
                <w:sz w:val="24"/>
                <w:szCs w:val="24"/>
              </w:rPr>
            </w:pPr>
            <w:r w:rsidRPr="00A95153">
              <w:rPr>
                <w:rFonts w:cs="Times New Roman"/>
                <w:sz w:val="24"/>
                <w:szCs w:val="24"/>
              </w:rPr>
              <w:t xml:space="preserve">ограничение подвижности </w:t>
            </w:r>
          </w:p>
        </w:tc>
        <w:tc>
          <w:tcPr>
            <w:tcW w:w="1701" w:type="dxa"/>
            <w:noWrap/>
            <w:hideMark/>
          </w:tcPr>
          <w:p w14:paraId="4F0F7151" w14:textId="77777777" w:rsidR="00143D08" w:rsidRPr="00A95153" w:rsidRDefault="00143D08" w:rsidP="00DD33AE">
            <w:pPr>
              <w:contextualSpacing/>
              <w:jc w:val="both"/>
              <w:rPr>
                <w:rFonts w:cs="Times New Roman"/>
                <w:sz w:val="24"/>
                <w:szCs w:val="24"/>
              </w:rPr>
            </w:pPr>
            <w:r w:rsidRPr="00A95153">
              <w:rPr>
                <w:rFonts w:cs="Times New Roman"/>
                <w:sz w:val="24"/>
                <w:szCs w:val="24"/>
              </w:rPr>
              <w:t>124 (глаза)</w:t>
            </w:r>
          </w:p>
        </w:tc>
        <w:tc>
          <w:tcPr>
            <w:tcW w:w="1701" w:type="dxa"/>
            <w:noWrap/>
            <w:hideMark/>
          </w:tcPr>
          <w:p w14:paraId="1E7B00E7" w14:textId="77777777" w:rsidR="00143D08" w:rsidRPr="00A95153" w:rsidRDefault="00143D08" w:rsidP="00DD33AE">
            <w:pPr>
              <w:contextualSpacing/>
              <w:jc w:val="both"/>
              <w:rPr>
                <w:rFonts w:cs="Times New Roman"/>
                <w:sz w:val="24"/>
                <w:szCs w:val="24"/>
              </w:rPr>
            </w:pPr>
            <w:r w:rsidRPr="00A95153">
              <w:rPr>
                <w:rFonts w:cs="Times New Roman"/>
                <w:sz w:val="24"/>
                <w:szCs w:val="24"/>
              </w:rPr>
              <w:t>70 (глаз)</w:t>
            </w:r>
          </w:p>
        </w:tc>
        <w:tc>
          <w:tcPr>
            <w:tcW w:w="1417" w:type="dxa"/>
            <w:noWrap/>
            <w:hideMark/>
          </w:tcPr>
          <w:p w14:paraId="0077AEEF" w14:textId="1ECD8436" w:rsidR="00143D08" w:rsidRPr="00A95153" w:rsidRDefault="00F461DC" w:rsidP="00DD33AE">
            <w:pPr>
              <w:contextualSpacing/>
              <w:jc w:val="both"/>
              <w:rPr>
                <w:rFonts w:cs="Times New Roman"/>
                <w:sz w:val="24"/>
                <w:szCs w:val="24"/>
                <w:lang w:val="ru-RU"/>
              </w:rPr>
            </w:pPr>
            <w:r w:rsidRPr="00A95153">
              <w:rPr>
                <w:rFonts w:cs="Times New Roman"/>
                <w:sz w:val="24"/>
                <w:szCs w:val="24"/>
              </w:rPr>
              <w:t>р = 4,24</w:t>
            </w:r>
          </w:p>
        </w:tc>
      </w:tr>
      <w:tr w:rsidR="000346E5" w:rsidRPr="002B136D" w14:paraId="2FE5F8AE" w14:textId="77777777" w:rsidTr="000346E5">
        <w:trPr>
          <w:trHeight w:val="70"/>
        </w:trPr>
        <w:tc>
          <w:tcPr>
            <w:tcW w:w="9639" w:type="dxa"/>
            <w:gridSpan w:val="4"/>
            <w:noWrap/>
          </w:tcPr>
          <w:p w14:paraId="4E0BA5D7" w14:textId="48391D00" w:rsidR="000346E5" w:rsidRPr="00A95153" w:rsidRDefault="000346E5" w:rsidP="000346E5">
            <w:pPr>
              <w:ind w:firstLine="459"/>
              <w:jc w:val="both"/>
              <w:rPr>
                <w:rFonts w:cs="Times New Roman"/>
                <w:sz w:val="24"/>
                <w:szCs w:val="24"/>
                <w:lang w:val="ru-RU"/>
              </w:rPr>
            </w:pPr>
            <w:r w:rsidRPr="00A95153">
              <w:rPr>
                <w:rFonts w:cs="Times New Roman"/>
                <w:sz w:val="24"/>
                <w:szCs w:val="24"/>
                <w:lang w:val="ru-RU"/>
              </w:rPr>
              <w:t xml:space="preserve">Примечание – Источник </w:t>
            </w:r>
            <w:r w:rsidRPr="00A95153">
              <w:rPr>
                <w:rFonts w:cs="Times New Roman"/>
                <w:sz w:val="24"/>
                <w:szCs w:val="24"/>
              </w:rPr>
              <w:t xml:space="preserve">* </w:t>
            </w:r>
            <w:proofErr w:type="gramStart"/>
            <w:r w:rsidRPr="00A95153">
              <w:rPr>
                <w:rFonts w:cs="Times New Roman"/>
                <w:sz w:val="24"/>
                <w:szCs w:val="24"/>
              </w:rPr>
              <w:t>р</w:t>
            </w:r>
            <w:proofErr w:type="gramEnd"/>
            <w:r w:rsidRPr="00A95153">
              <w:rPr>
                <w:rFonts w:cs="Times New Roman"/>
                <w:sz w:val="24"/>
                <w:szCs w:val="24"/>
              </w:rPr>
              <w:t>≤0,05</w:t>
            </w:r>
          </w:p>
        </w:tc>
      </w:tr>
    </w:tbl>
    <w:p w14:paraId="0C4EC05E" w14:textId="77777777" w:rsidR="000346E5" w:rsidRDefault="000346E5" w:rsidP="00DD33AE">
      <w:pPr>
        <w:spacing w:after="0" w:line="240" w:lineRule="auto"/>
        <w:ind w:firstLine="709"/>
        <w:contextualSpacing/>
        <w:jc w:val="both"/>
        <w:rPr>
          <w:rFonts w:cs="Times New Roman"/>
          <w:szCs w:val="28"/>
        </w:rPr>
      </w:pPr>
    </w:p>
    <w:p w14:paraId="6D60C603" w14:textId="0153F0EF" w:rsidR="00FC1A05" w:rsidRPr="002B136D" w:rsidRDefault="000D4B38" w:rsidP="000346E5">
      <w:pPr>
        <w:spacing w:after="0" w:line="240" w:lineRule="auto"/>
        <w:ind w:firstLine="567"/>
        <w:contextualSpacing/>
        <w:jc w:val="both"/>
        <w:rPr>
          <w:rFonts w:cs="Times New Roman"/>
          <w:szCs w:val="28"/>
          <w:lang w:val="kk-KZ"/>
        </w:rPr>
      </w:pPr>
      <w:r w:rsidRPr="002B136D">
        <w:rPr>
          <w:rFonts w:cs="Times New Roman"/>
          <w:szCs w:val="28"/>
        </w:rPr>
        <w:lastRenderedPageBreak/>
        <w:t>Из этих данных следует, что активная форма ЭОП ассоциирована с более выраженными офтальмологическими нарушениями по сравнению с неактивной формой, что подтверждает важность своевременной диагностики и адекватного лечения для предотвращения долгосрочных осложнений, в том числе потери зрения. Статистическая значимость большинства показателей (p≤0,05) подчеркивает необходимость активного подхода к лечению и мониторингу пациентов с высокими значениями CAS.</w:t>
      </w:r>
    </w:p>
    <w:p w14:paraId="3318E689" w14:textId="3499632B" w:rsidR="0077403F" w:rsidRPr="002B136D" w:rsidRDefault="00B12577" w:rsidP="000346E5">
      <w:pPr>
        <w:spacing w:after="0" w:line="240" w:lineRule="auto"/>
        <w:ind w:firstLine="567"/>
        <w:contextualSpacing/>
        <w:jc w:val="both"/>
        <w:rPr>
          <w:rFonts w:cs="Times New Roman"/>
          <w:szCs w:val="28"/>
        </w:rPr>
      </w:pPr>
      <w:proofErr w:type="gramStart"/>
      <w:r w:rsidRPr="002B136D">
        <w:rPr>
          <w:rFonts w:cs="Times New Roman"/>
          <w:szCs w:val="28"/>
        </w:rPr>
        <w:t>Таким образом, а</w:t>
      </w:r>
      <w:r w:rsidR="0077403F" w:rsidRPr="002B136D">
        <w:rPr>
          <w:rFonts w:cs="Times New Roman"/>
          <w:szCs w:val="28"/>
        </w:rPr>
        <w:t>нализируя офтальмологические показатели у 193 пациентов с эндокринной офтальмопатией (ЭОП), разделенных на активную и неактивную формы заболевания по шкале клинической активности (CAS), а также оцениваются их тяжесть по классификации European Group on Graves’ Orbitopathy (EUGOGO) и по классификации Бровкина полученных в ходе проведения ретроспективного исследования была определена значимость гендерно-специфических различий в клиническом течении ЭОП, которые могут способствовать оптимизации</w:t>
      </w:r>
      <w:proofErr w:type="gramEnd"/>
      <w:r w:rsidR="0077403F" w:rsidRPr="002B136D">
        <w:rPr>
          <w:rFonts w:cs="Times New Roman"/>
          <w:szCs w:val="28"/>
        </w:rPr>
        <w:t xml:space="preserve"> терапевтических стратегий для мужчин и женщин, страдающих этим заболеванием.</w:t>
      </w:r>
    </w:p>
    <w:p w14:paraId="6280A106" w14:textId="42E8C947" w:rsidR="0077403F" w:rsidRPr="002B136D" w:rsidRDefault="00DF3DBB" w:rsidP="000346E5">
      <w:pPr>
        <w:spacing w:after="0" w:line="240" w:lineRule="auto"/>
        <w:ind w:firstLine="567"/>
        <w:contextualSpacing/>
        <w:jc w:val="both"/>
        <w:rPr>
          <w:rFonts w:cs="Times New Roman"/>
          <w:szCs w:val="28"/>
        </w:rPr>
      </w:pPr>
      <w:r w:rsidRPr="002B136D">
        <w:rPr>
          <w:rFonts w:cs="Times New Roman"/>
          <w:szCs w:val="28"/>
        </w:rPr>
        <w:t>Так, например</w:t>
      </w:r>
      <w:r w:rsidR="0077403F" w:rsidRPr="002B136D">
        <w:rPr>
          <w:rFonts w:cs="Times New Roman"/>
          <w:szCs w:val="28"/>
        </w:rPr>
        <w:t>, в рамках исследования офтальмологических характеристик у пациентов с эндокринной офтальмопатией (ЭОП) обнаружено, что односторонняя форма заболевания была диагностирована у 6,7% участников. Преобладание данной формы у женщин над мужчинами, хоть и не достигло статистической значимости (p=0.16), может указывать на гендерно-специфические аспекты иммунологической реактивности или аутоиммунного процесса, связанные с ЭОП.</w:t>
      </w:r>
    </w:p>
    <w:p w14:paraId="6BBA3D2F" w14:textId="77777777" w:rsidR="0077403F" w:rsidRPr="002B136D" w:rsidRDefault="0077403F" w:rsidP="000346E5">
      <w:pPr>
        <w:spacing w:after="0" w:line="240" w:lineRule="auto"/>
        <w:ind w:firstLine="567"/>
        <w:contextualSpacing/>
        <w:jc w:val="both"/>
        <w:rPr>
          <w:rFonts w:cs="Times New Roman"/>
          <w:szCs w:val="28"/>
        </w:rPr>
      </w:pPr>
      <w:r w:rsidRPr="002B136D">
        <w:rPr>
          <w:rFonts w:cs="Times New Roman"/>
          <w:szCs w:val="28"/>
        </w:rPr>
        <w:t>Среднее внутриглазное давление оказалось выше у мужчин. Такое увеличение может быть ассоциировано с воспалительными изменениями в орбите или влиянием тиреоидных гормонов на глазные ткани, что требует дополнительного изучения, особенно учитывая пограничную значимость (p=0.05) этих результатов и потенциальный риск развития глаукомы.</w:t>
      </w:r>
    </w:p>
    <w:p w14:paraId="02ABD4E3" w14:textId="77777777" w:rsidR="0077403F" w:rsidRPr="002B136D" w:rsidRDefault="0077403F" w:rsidP="000346E5">
      <w:pPr>
        <w:spacing w:after="0" w:line="240" w:lineRule="auto"/>
        <w:ind w:firstLine="567"/>
        <w:contextualSpacing/>
        <w:jc w:val="both"/>
        <w:rPr>
          <w:rFonts w:cs="Times New Roman"/>
          <w:szCs w:val="28"/>
        </w:rPr>
      </w:pPr>
      <w:r w:rsidRPr="002B136D">
        <w:rPr>
          <w:rFonts w:cs="Times New Roman"/>
          <w:szCs w:val="28"/>
        </w:rPr>
        <w:t>По результатам экзофтальмометрии, мужчины имели более высокий уровень протрузии глазного яблока как для правого (OD), так и для левого (OS) глаз. Статистическая значимость этих данных (p&lt;0.001) подтверждает более тяжелое течение ЭОП у мужчин и может свидетельствовать о различиях в тканевых реакциях или объеме отека орбитальных тканей между полами.</w:t>
      </w:r>
    </w:p>
    <w:p w14:paraId="0C7E6A2F" w14:textId="77777777" w:rsidR="0077403F" w:rsidRPr="002B136D" w:rsidRDefault="0077403F" w:rsidP="000346E5">
      <w:pPr>
        <w:spacing w:after="0" w:line="240" w:lineRule="auto"/>
        <w:ind w:firstLine="567"/>
        <w:contextualSpacing/>
        <w:jc w:val="both"/>
        <w:rPr>
          <w:rFonts w:cs="Times New Roman"/>
          <w:szCs w:val="28"/>
        </w:rPr>
      </w:pPr>
      <w:r w:rsidRPr="002B136D">
        <w:rPr>
          <w:rFonts w:cs="Times New Roman"/>
          <w:szCs w:val="28"/>
        </w:rPr>
        <w:t>Относительно диплопии, наличие постоянного двоения значительно чаще регистрировалось у мужчин (41,4%). Этот результат свидетельствует о более значительном вовлечении глазодвигательных мышц и возможном увеличении орбитальных тканей, что может приводить к сдавлению мышц и нервов, отвечающих за координацию движения глаз. Следовательно, это указывает на необходимость более агрессивного и раннего лечения ЭОП у мужчин для предотвращения длительного и более тяжелого течения заболевания.</w:t>
      </w:r>
    </w:p>
    <w:p w14:paraId="58FA8F4E" w14:textId="77777777" w:rsidR="0077403F" w:rsidRPr="002B136D" w:rsidRDefault="0077403F" w:rsidP="000346E5">
      <w:pPr>
        <w:spacing w:after="0" w:line="240" w:lineRule="auto"/>
        <w:ind w:firstLine="567"/>
        <w:contextualSpacing/>
        <w:jc w:val="both"/>
        <w:rPr>
          <w:rFonts w:cs="Times New Roman"/>
          <w:szCs w:val="28"/>
        </w:rPr>
      </w:pPr>
      <w:r w:rsidRPr="002B136D">
        <w:rPr>
          <w:rFonts w:cs="Times New Roman"/>
          <w:szCs w:val="28"/>
        </w:rPr>
        <w:t>Ретракция верхнего века и липогенная форма ЭОП, которые чаще встречались у женщин (p&lt;0.001 и p=0.002 соответственно), могут указывать на влияние гормональных и метаболических факторов, характерных для женского организма, на развитие и характер ЭОП.</w:t>
      </w:r>
    </w:p>
    <w:p w14:paraId="2122F4E2" w14:textId="77777777" w:rsidR="0077403F" w:rsidRPr="002B136D" w:rsidRDefault="0077403F" w:rsidP="000346E5">
      <w:pPr>
        <w:spacing w:after="0" w:line="240" w:lineRule="auto"/>
        <w:ind w:firstLine="567"/>
        <w:contextualSpacing/>
        <w:jc w:val="both"/>
        <w:rPr>
          <w:rFonts w:cs="Times New Roman"/>
          <w:szCs w:val="28"/>
        </w:rPr>
      </w:pPr>
      <w:r w:rsidRPr="002B136D">
        <w:rPr>
          <w:rFonts w:cs="Times New Roman"/>
          <w:szCs w:val="28"/>
        </w:rPr>
        <w:lastRenderedPageBreak/>
        <w:t>Согласно классификации EUGOGO, большая часть пациентов демонстрировала умеренную тяжесть ЭОП. Однако мужчины в этой выборке чаще страдали более тяжелыми формами ЭОП (p=0.005), что может отражать различия в степени воспалительной реакции, тканевом ответе на аутоиммунное воздействие или факторы окружающей среды, такие как курение, которое известно своим влиянием на течение ЭОП.</w:t>
      </w:r>
    </w:p>
    <w:p w14:paraId="4653DBF8" w14:textId="44FE1001" w:rsidR="0077403F" w:rsidRPr="002B136D" w:rsidRDefault="0077403F" w:rsidP="000346E5">
      <w:pPr>
        <w:spacing w:after="0" w:line="240" w:lineRule="auto"/>
        <w:ind w:firstLine="567"/>
        <w:contextualSpacing/>
        <w:jc w:val="both"/>
        <w:rPr>
          <w:rFonts w:cs="Times New Roman"/>
          <w:szCs w:val="28"/>
        </w:rPr>
      </w:pPr>
      <w:r w:rsidRPr="002B136D">
        <w:rPr>
          <w:rFonts w:cs="Times New Roman"/>
          <w:szCs w:val="28"/>
        </w:rPr>
        <w:t>По классификации Бровки</w:t>
      </w:r>
      <w:r w:rsidR="00FD409F" w:rsidRPr="002B136D">
        <w:rPr>
          <w:rFonts w:cs="Times New Roman"/>
          <w:szCs w:val="28"/>
        </w:rPr>
        <w:t>на (2006 г.</w:t>
      </w:r>
      <w:r w:rsidR="008E6E52" w:rsidRPr="002B136D">
        <w:rPr>
          <w:rFonts w:cs="Times New Roman"/>
          <w:szCs w:val="28"/>
        </w:rPr>
        <w:t>)</w:t>
      </w:r>
      <w:r w:rsidRPr="002B136D">
        <w:rPr>
          <w:rFonts w:cs="Times New Roman"/>
          <w:szCs w:val="28"/>
        </w:rPr>
        <w:t>, тиреотоксический экзофтальм наблюдался у 8,3% пациентов, при этом у женщин этот симптом встречался чаще (p=0.01)</w:t>
      </w:r>
      <w:r w:rsidR="00ED3F91" w:rsidRPr="002B136D">
        <w:rPr>
          <w:rFonts w:cs="Times New Roman"/>
          <w:szCs w:val="28"/>
        </w:rPr>
        <w:t xml:space="preserve"> </w:t>
      </w:r>
      <w:r w:rsidR="00ED3F91" w:rsidRPr="002B136D">
        <w:rPr>
          <w:rFonts w:cs="Times New Roman"/>
          <w:szCs w:val="28"/>
        </w:rPr>
        <w:fldChar w:fldCharType="begin"/>
      </w:r>
      <w:r w:rsidR="00A6759A" w:rsidRPr="002B136D">
        <w:rPr>
          <w:rFonts w:cs="Times New Roman"/>
          <w:szCs w:val="28"/>
        </w:rPr>
        <w:instrText xml:space="preserve"> ADDIN ZOTERO_ITEM CSL_CITATION {"citationID":"ZXFTeJ23","properties":{"formattedCitation":"[177]","plainCitation":"[177]","noteIndex":0},"citationItems":[{"id":498,"uris":["http://zotero.org/users/8237658/items/KV3X2DHZ"],"itemData":{"id":498,"type":"book","title":"Бровкина А.Ф., Стоюхина А.С. Классификация эндокрин ной офтальмопатии. Проблемы Эндокринологии. 2006;52(5):11-15. https://doi.org/10.14341/probl200652511-15"}}],"schema":"https://github.com/citation-style-language/schema/raw/master/csl-citation.json"} </w:instrText>
      </w:r>
      <w:r w:rsidR="00ED3F91" w:rsidRPr="002B136D">
        <w:rPr>
          <w:rFonts w:cs="Times New Roman"/>
          <w:szCs w:val="28"/>
        </w:rPr>
        <w:fldChar w:fldCharType="separate"/>
      </w:r>
      <w:r w:rsidR="00A6759A" w:rsidRPr="002B136D">
        <w:rPr>
          <w:rFonts w:cs="Times New Roman"/>
        </w:rPr>
        <w:t>[177]</w:t>
      </w:r>
      <w:r w:rsidR="00ED3F91" w:rsidRPr="002B136D">
        <w:rPr>
          <w:rFonts w:cs="Times New Roman"/>
          <w:szCs w:val="28"/>
        </w:rPr>
        <w:fldChar w:fldCharType="end"/>
      </w:r>
      <w:r w:rsidRPr="002B136D">
        <w:rPr>
          <w:rFonts w:cs="Times New Roman"/>
          <w:szCs w:val="28"/>
        </w:rPr>
        <w:t>. Это подчеркивает необходимость учитывать тиреотоксикоз как важный фактор в патогенезе ЭОП и потенциально влияющий на выбор лечения и прогноз.</w:t>
      </w:r>
    </w:p>
    <w:p w14:paraId="33922040" w14:textId="6C9340AB" w:rsidR="00C926C5" w:rsidRPr="002B136D" w:rsidRDefault="0077403F" w:rsidP="000346E5">
      <w:pPr>
        <w:spacing w:after="0" w:line="240" w:lineRule="auto"/>
        <w:ind w:firstLine="567"/>
        <w:contextualSpacing/>
        <w:jc w:val="both"/>
        <w:rPr>
          <w:rFonts w:cs="Times New Roman"/>
          <w:szCs w:val="28"/>
        </w:rPr>
      </w:pPr>
      <w:r w:rsidRPr="002B136D">
        <w:rPr>
          <w:rFonts w:cs="Times New Roman"/>
          <w:szCs w:val="28"/>
        </w:rPr>
        <w:t>При анализе активности ЭОП по CAS обнаружено, что у пациентов с активной формой заболевания хуже сохранена острота зрения и выше внутриглазное давление, что подтверждает ассоциацию активности заболевания с этиопатогенетическими факторами, влияющими на офтальмологические параметры. Увеличенный экзофтальм, расширенная глазная щель, поражение роговицы, увеличение глазодвигательных мышц и ограничение подвижности глаз также связаны с активной формой ЭОП (все p≤0.05), что подчеркивает важность активного лечения и мониторинга пациентов с высокими значениями CAS для минимизации риска прогрессирования и осложнений.</w:t>
      </w:r>
    </w:p>
    <w:p w14:paraId="4F66B514" w14:textId="16561844" w:rsidR="00FE0D9B" w:rsidRPr="002B136D" w:rsidRDefault="00FE0D9B" w:rsidP="000346E5">
      <w:pPr>
        <w:spacing w:after="0" w:line="240" w:lineRule="auto"/>
        <w:ind w:firstLine="567"/>
        <w:contextualSpacing/>
        <w:jc w:val="both"/>
        <w:rPr>
          <w:rFonts w:cs="Times New Roman"/>
          <w:szCs w:val="28"/>
        </w:rPr>
      </w:pPr>
      <w:r w:rsidRPr="002B136D">
        <w:rPr>
          <w:rFonts w:cs="Times New Roman"/>
          <w:szCs w:val="28"/>
        </w:rPr>
        <w:t>Таким образом, наблюдаются значимые половые различия в проявлениях ЭОП. Женщины чаще страдают от ретракции верхнего века и липогенной формы ЭОП, что может быть связано с гормональными и метаболическими факторами, специфичными для женского организма.</w:t>
      </w:r>
    </w:p>
    <w:p w14:paraId="010B86F3" w14:textId="7FED9C8D" w:rsidR="00FE0D9B" w:rsidRPr="002B136D" w:rsidRDefault="00FE0D9B" w:rsidP="000346E5">
      <w:pPr>
        <w:spacing w:after="0" w:line="240" w:lineRule="auto"/>
        <w:ind w:firstLine="567"/>
        <w:contextualSpacing/>
        <w:jc w:val="both"/>
        <w:rPr>
          <w:rFonts w:cs="Times New Roman"/>
          <w:szCs w:val="28"/>
        </w:rPr>
      </w:pPr>
      <w:r w:rsidRPr="002B136D">
        <w:rPr>
          <w:rFonts w:cs="Times New Roman"/>
          <w:szCs w:val="28"/>
        </w:rPr>
        <w:t>Большинство пациентов демонстрируют умеренную степень ЭОП. Однако мужчины более склонны к тяжелым формам заболевания, что подчеркивает необходимость более агрессивной диагностики и лечения в этой группе.</w:t>
      </w:r>
    </w:p>
    <w:p w14:paraId="13B40384" w14:textId="599BC1BC" w:rsidR="00FE0D9B" w:rsidRPr="002B136D" w:rsidRDefault="00FE0D9B" w:rsidP="000346E5">
      <w:pPr>
        <w:spacing w:after="0" w:line="240" w:lineRule="auto"/>
        <w:ind w:firstLine="567"/>
        <w:contextualSpacing/>
        <w:jc w:val="both"/>
        <w:rPr>
          <w:rFonts w:cs="Times New Roman"/>
          <w:szCs w:val="28"/>
        </w:rPr>
      </w:pPr>
      <w:r w:rsidRPr="002B136D">
        <w:rPr>
          <w:rFonts w:cs="Times New Roman"/>
          <w:szCs w:val="28"/>
        </w:rPr>
        <w:t>Частота тиреотоксического экзофтальма выше у женщин, что требует внимательного учета тиреоидного статуса при оценке и лечении ЭОП.</w:t>
      </w:r>
    </w:p>
    <w:p w14:paraId="62FFEFF9" w14:textId="47643485" w:rsidR="00FE0D9B" w:rsidRPr="002B136D" w:rsidRDefault="00FE0D9B" w:rsidP="000346E5">
      <w:pPr>
        <w:spacing w:after="0" w:line="240" w:lineRule="auto"/>
        <w:ind w:firstLine="567"/>
        <w:contextualSpacing/>
        <w:jc w:val="both"/>
        <w:rPr>
          <w:rFonts w:cs="Times New Roman"/>
          <w:szCs w:val="28"/>
        </w:rPr>
      </w:pPr>
      <w:r w:rsidRPr="002B136D">
        <w:rPr>
          <w:rFonts w:cs="Times New Roman"/>
          <w:szCs w:val="28"/>
        </w:rPr>
        <w:t>Активная форма ЭОП ассоциирована с рядом осложнений, включая снижение остроты зрения, повышение внутриглазного давления, увеличение экзофтальма, расширение глазной щели, поражение роговицы и ограничение подвижности глаз. Это подтверждает важность активного мониторинга и лечения для улучшения прогноза и качества жизни пациентов.</w:t>
      </w:r>
    </w:p>
    <w:p w14:paraId="705A429A" w14:textId="6A3FA961" w:rsidR="00FE0D9B" w:rsidRPr="002B136D" w:rsidRDefault="00FE0D9B" w:rsidP="000346E5">
      <w:pPr>
        <w:spacing w:after="0" w:line="240" w:lineRule="auto"/>
        <w:ind w:firstLine="567"/>
        <w:contextualSpacing/>
        <w:jc w:val="both"/>
        <w:rPr>
          <w:rFonts w:cs="Times New Roman"/>
          <w:szCs w:val="28"/>
        </w:rPr>
      </w:pPr>
      <w:r w:rsidRPr="002B136D">
        <w:rPr>
          <w:rFonts w:cs="Times New Roman"/>
          <w:szCs w:val="28"/>
        </w:rPr>
        <w:t>Необходим индивидуализированный подход к каждому пациенту с ЭОП, с учетом пола, степени тяжести заболевания и активности по CAS. Это поможет в разработке наиболее эффективной стратегии лечения для каждого конкретного случая.</w:t>
      </w:r>
    </w:p>
    <w:p w14:paraId="69E3D692" w14:textId="63AA89D6" w:rsidR="00C926C5" w:rsidRPr="002B136D" w:rsidRDefault="00FE0D9B" w:rsidP="000346E5">
      <w:pPr>
        <w:spacing w:after="0" w:line="240" w:lineRule="auto"/>
        <w:ind w:firstLine="567"/>
        <w:contextualSpacing/>
        <w:jc w:val="both"/>
        <w:rPr>
          <w:rFonts w:cs="Times New Roman"/>
          <w:szCs w:val="28"/>
        </w:rPr>
      </w:pPr>
      <w:r w:rsidRPr="002B136D">
        <w:rPr>
          <w:rFonts w:cs="Times New Roman"/>
          <w:szCs w:val="28"/>
        </w:rPr>
        <w:t xml:space="preserve">Ранняя диагностика и адекватное лечение имеют критическое значение для предотвращения прогрессирования ЭОП и развития осложнений, особенно у пациентов с </w:t>
      </w:r>
      <w:proofErr w:type="gramStart"/>
      <w:r w:rsidRPr="002B136D">
        <w:rPr>
          <w:rFonts w:cs="Times New Roman"/>
          <w:szCs w:val="28"/>
        </w:rPr>
        <w:t>высоким</w:t>
      </w:r>
      <w:proofErr w:type="gramEnd"/>
      <w:r w:rsidRPr="002B136D">
        <w:rPr>
          <w:rFonts w:cs="Times New Roman"/>
          <w:szCs w:val="28"/>
        </w:rPr>
        <w:t xml:space="preserve"> CAS и у мужчин с тяжелыми формами заболевания.</w:t>
      </w:r>
    </w:p>
    <w:p w14:paraId="575413B8" w14:textId="77777777" w:rsidR="00F32AD1" w:rsidRPr="002B136D" w:rsidRDefault="00F32AD1" w:rsidP="000346E5">
      <w:pPr>
        <w:spacing w:after="0" w:line="240" w:lineRule="auto"/>
        <w:ind w:firstLine="567"/>
        <w:contextualSpacing/>
        <w:jc w:val="both"/>
        <w:rPr>
          <w:rFonts w:cs="Times New Roman"/>
          <w:b/>
          <w:szCs w:val="28"/>
        </w:rPr>
      </w:pPr>
    </w:p>
    <w:p w14:paraId="68FB15C0" w14:textId="77777777" w:rsidR="000346E5" w:rsidRDefault="000346E5" w:rsidP="000346E5">
      <w:pPr>
        <w:spacing w:after="0" w:line="240" w:lineRule="auto"/>
        <w:ind w:firstLine="567"/>
        <w:contextualSpacing/>
        <w:jc w:val="both"/>
        <w:rPr>
          <w:rFonts w:cs="Times New Roman"/>
          <w:b/>
          <w:szCs w:val="28"/>
        </w:rPr>
      </w:pPr>
      <w:r>
        <w:rPr>
          <w:rFonts w:cs="Times New Roman"/>
          <w:b/>
          <w:szCs w:val="28"/>
        </w:rPr>
        <w:br w:type="page"/>
      </w:r>
    </w:p>
    <w:p w14:paraId="17994B40" w14:textId="2123798F" w:rsidR="004101E7" w:rsidRPr="000346E5" w:rsidRDefault="00143D08" w:rsidP="000346E5">
      <w:pPr>
        <w:spacing w:after="0" w:line="240" w:lineRule="auto"/>
        <w:ind w:firstLine="567"/>
        <w:contextualSpacing/>
        <w:jc w:val="both"/>
        <w:rPr>
          <w:rFonts w:cs="Times New Roman"/>
          <w:b/>
          <w:szCs w:val="28"/>
        </w:rPr>
      </w:pPr>
      <w:r w:rsidRPr="000346E5">
        <w:rPr>
          <w:rFonts w:cs="Times New Roman"/>
          <w:b/>
          <w:szCs w:val="28"/>
        </w:rPr>
        <w:lastRenderedPageBreak/>
        <w:t xml:space="preserve">3.2 </w:t>
      </w:r>
      <w:r w:rsidR="00694BF4" w:rsidRPr="000346E5">
        <w:rPr>
          <w:rFonts w:cs="Times New Roman"/>
          <w:b/>
          <w:szCs w:val="28"/>
        </w:rPr>
        <w:t>Уровни IL-17 и IL-38 в сыворотке, слезе и ретробульбарной клетчатке в зависимости от активности и тяжести эндокринной офтальмопатии</w:t>
      </w:r>
    </w:p>
    <w:p w14:paraId="5A088814" w14:textId="6EE885AD" w:rsidR="007B646B" w:rsidRPr="002B136D" w:rsidRDefault="007B646B" w:rsidP="000346E5">
      <w:pPr>
        <w:spacing w:after="0" w:line="240" w:lineRule="auto"/>
        <w:ind w:firstLine="567"/>
        <w:contextualSpacing/>
        <w:jc w:val="both"/>
        <w:rPr>
          <w:rFonts w:cs="Times New Roman"/>
          <w:szCs w:val="28"/>
        </w:rPr>
      </w:pPr>
      <w:r w:rsidRPr="002B136D">
        <w:rPr>
          <w:rFonts w:cs="Times New Roman"/>
          <w:szCs w:val="28"/>
        </w:rPr>
        <w:t>Далее в ходе проведения исследования нами представлены результаты иммунологического и иммуногистохимического анализа участников, разделенных на три группы: активная эндокринная офтальмопатия (ЭОП), неактивная ЭОП и контрольная группа. Исследование нацелено на выявление иммунологических маркеров, связанных с активностью и прогрессированием ЭОП.</w:t>
      </w:r>
    </w:p>
    <w:p w14:paraId="3C7B1FFE" w14:textId="5BE079F9" w:rsidR="004931E6" w:rsidRPr="002B136D" w:rsidRDefault="004931E6" w:rsidP="000346E5">
      <w:pPr>
        <w:spacing w:after="0" w:line="240" w:lineRule="auto"/>
        <w:ind w:firstLine="567"/>
        <w:contextualSpacing/>
        <w:jc w:val="both"/>
        <w:rPr>
          <w:rFonts w:cs="Times New Roman"/>
          <w:szCs w:val="28"/>
        </w:rPr>
      </w:pPr>
      <w:r w:rsidRPr="002B136D">
        <w:rPr>
          <w:rFonts w:cs="Times New Roman"/>
          <w:szCs w:val="28"/>
        </w:rPr>
        <w:t>Анализ исходных хара</w:t>
      </w:r>
      <w:r w:rsidR="00F218B4" w:rsidRPr="002B136D">
        <w:rPr>
          <w:rFonts w:cs="Times New Roman"/>
          <w:szCs w:val="28"/>
        </w:rPr>
        <w:t xml:space="preserve">ктеристик трех групп </w:t>
      </w:r>
      <w:r w:rsidR="0067708D">
        <w:rPr>
          <w:rFonts w:cs="Times New Roman"/>
          <w:szCs w:val="28"/>
        </w:rPr>
        <w:t xml:space="preserve">(таблица </w:t>
      </w:r>
      <w:r w:rsidR="00F218B4" w:rsidRPr="002B136D">
        <w:rPr>
          <w:rFonts w:cs="Times New Roman"/>
          <w:szCs w:val="28"/>
        </w:rPr>
        <w:t>1</w:t>
      </w:r>
      <w:r w:rsidR="0076161A">
        <w:rPr>
          <w:rFonts w:cs="Times New Roman"/>
          <w:szCs w:val="28"/>
        </w:rPr>
        <w:t>2</w:t>
      </w:r>
      <w:r w:rsidRPr="002B136D">
        <w:rPr>
          <w:rFonts w:cs="Times New Roman"/>
          <w:szCs w:val="28"/>
        </w:rPr>
        <w:t>) показал</w:t>
      </w:r>
      <w:r w:rsidR="00E267EE" w:rsidRPr="002B136D">
        <w:rPr>
          <w:rFonts w:cs="Times New Roman"/>
          <w:szCs w:val="28"/>
        </w:rPr>
        <w:t>,</w:t>
      </w:r>
      <w:r w:rsidRPr="002B136D">
        <w:rPr>
          <w:rFonts w:cs="Times New Roman"/>
          <w:szCs w:val="28"/>
        </w:rPr>
        <w:t xml:space="preserve"> что средний возраст участников с активной формой ЭОП составил 41 год, что моложе по сравнению с неактивной формой ЭОП (46 лет), но старше контрольной группы (38 лет). Различия в возрасте между группами не были статистически значимы (p=0.25), что указывает на возможное отсутствие возрастной предвзятости между группами.</w:t>
      </w:r>
    </w:p>
    <w:p w14:paraId="0E000D0A" w14:textId="04AF1A07" w:rsidR="004931E6" w:rsidRPr="002B136D" w:rsidRDefault="004931E6" w:rsidP="000346E5">
      <w:pPr>
        <w:spacing w:after="0" w:line="240" w:lineRule="auto"/>
        <w:ind w:firstLine="567"/>
        <w:contextualSpacing/>
        <w:jc w:val="both"/>
        <w:rPr>
          <w:rFonts w:cs="Times New Roman"/>
          <w:szCs w:val="28"/>
        </w:rPr>
      </w:pPr>
      <w:r w:rsidRPr="002B136D">
        <w:rPr>
          <w:rFonts w:cs="Times New Roman"/>
          <w:szCs w:val="28"/>
        </w:rPr>
        <w:t>В активной гр</w:t>
      </w:r>
      <w:r w:rsidR="00C22268" w:rsidRPr="002B136D">
        <w:rPr>
          <w:rFonts w:cs="Times New Roman"/>
          <w:szCs w:val="28"/>
        </w:rPr>
        <w:t>уппе ЭОП преобладали мужчины (67,4</w:t>
      </w:r>
      <w:r w:rsidRPr="002B136D">
        <w:rPr>
          <w:rFonts w:cs="Times New Roman"/>
          <w:szCs w:val="28"/>
        </w:rPr>
        <w:t>%), тогда как в группе с неактивной ф</w:t>
      </w:r>
      <w:r w:rsidR="00C522BB" w:rsidRPr="002B136D">
        <w:rPr>
          <w:rFonts w:cs="Times New Roman"/>
          <w:szCs w:val="28"/>
        </w:rPr>
        <w:t>ормой ЭОП больше было женщин (74</w:t>
      </w:r>
      <w:r w:rsidRPr="002B136D">
        <w:rPr>
          <w:rFonts w:cs="Times New Roman"/>
          <w:szCs w:val="28"/>
        </w:rPr>
        <w:t>%). В контрольной группе распределение по полу было схоже с активной группой ЭОП. Различия в распределении по полу достигли с</w:t>
      </w:r>
      <w:r w:rsidR="00306A55" w:rsidRPr="002B136D">
        <w:rPr>
          <w:rFonts w:cs="Times New Roman"/>
          <w:szCs w:val="28"/>
        </w:rPr>
        <w:t>татистической значимости (p=0.01</w:t>
      </w:r>
      <w:r w:rsidRPr="002B136D">
        <w:rPr>
          <w:rFonts w:cs="Times New Roman"/>
          <w:szCs w:val="28"/>
        </w:rPr>
        <w:t>), что может отражать различную предрасположенность к активной форме ЭОП у разных полов.</w:t>
      </w:r>
    </w:p>
    <w:p w14:paraId="464EF5C2" w14:textId="7A988C73" w:rsidR="004931E6" w:rsidRPr="002B136D" w:rsidRDefault="004931E6" w:rsidP="000346E5">
      <w:pPr>
        <w:spacing w:after="0" w:line="240" w:lineRule="auto"/>
        <w:ind w:firstLine="567"/>
        <w:contextualSpacing/>
        <w:jc w:val="both"/>
        <w:rPr>
          <w:rFonts w:cs="Times New Roman"/>
          <w:szCs w:val="28"/>
        </w:rPr>
      </w:pPr>
      <w:r w:rsidRPr="002B136D">
        <w:rPr>
          <w:rFonts w:cs="Times New Roman"/>
          <w:szCs w:val="28"/>
        </w:rPr>
        <w:t>Среднее время от начала появления симптомов ЭОП до включения в исследование составило 25 месяцев для активной группы и 20 месяцев для неактивной группы, с пограничной значимостью (p=0.05). Это может указывать на более длительное время до постановки диагноза или начала лечения у пациентов с активной формой ЭОП.</w:t>
      </w:r>
    </w:p>
    <w:p w14:paraId="79FC27F6" w14:textId="58CCA606" w:rsidR="004931E6" w:rsidRPr="002B136D" w:rsidRDefault="004931E6" w:rsidP="000346E5">
      <w:pPr>
        <w:spacing w:after="0" w:line="240" w:lineRule="auto"/>
        <w:ind w:firstLine="567"/>
        <w:contextualSpacing/>
        <w:jc w:val="both"/>
        <w:rPr>
          <w:rFonts w:cs="Times New Roman"/>
          <w:szCs w:val="28"/>
        </w:rPr>
      </w:pPr>
      <w:r w:rsidRPr="002B136D">
        <w:rPr>
          <w:rFonts w:cs="Times New Roman"/>
          <w:szCs w:val="28"/>
        </w:rPr>
        <w:t xml:space="preserve">Среди пациентов с активной ЭОП значительное </w:t>
      </w:r>
      <w:r w:rsidR="00C522BB" w:rsidRPr="002B136D">
        <w:rPr>
          <w:rFonts w:cs="Times New Roman"/>
          <w:szCs w:val="28"/>
        </w:rPr>
        <w:t xml:space="preserve">количество составили </w:t>
      </w:r>
      <w:proofErr w:type="gramStart"/>
      <w:r w:rsidR="00C522BB" w:rsidRPr="002B136D">
        <w:rPr>
          <w:rFonts w:cs="Times New Roman"/>
          <w:szCs w:val="28"/>
        </w:rPr>
        <w:t>курящие</w:t>
      </w:r>
      <w:proofErr w:type="gramEnd"/>
      <w:r w:rsidR="00C522BB" w:rsidRPr="002B136D">
        <w:rPr>
          <w:rFonts w:cs="Times New Roman"/>
          <w:szCs w:val="28"/>
        </w:rPr>
        <w:t xml:space="preserve"> (79,1</w:t>
      </w:r>
      <w:r w:rsidRPr="002B136D">
        <w:rPr>
          <w:rFonts w:cs="Times New Roman"/>
          <w:szCs w:val="28"/>
        </w:rPr>
        <w:t>%), в то время как в группе с неакти</w:t>
      </w:r>
      <w:r w:rsidR="00145654" w:rsidRPr="002B136D">
        <w:rPr>
          <w:rFonts w:cs="Times New Roman"/>
          <w:szCs w:val="28"/>
        </w:rPr>
        <w:t>вной формой и контрольной группах</w:t>
      </w:r>
      <w:r w:rsidR="00ED3F91" w:rsidRPr="002B136D">
        <w:rPr>
          <w:rFonts w:cs="Times New Roman"/>
          <w:szCs w:val="28"/>
        </w:rPr>
        <w:t xml:space="preserve"> курящих было</w:t>
      </w:r>
      <w:r w:rsidR="00C522BB" w:rsidRPr="002B136D">
        <w:rPr>
          <w:rFonts w:cs="Times New Roman"/>
          <w:szCs w:val="28"/>
        </w:rPr>
        <w:t xml:space="preserve"> в меньшинстве (30</w:t>
      </w:r>
      <w:r w:rsidRPr="002B136D">
        <w:rPr>
          <w:rFonts w:cs="Times New Roman"/>
          <w:szCs w:val="28"/>
        </w:rPr>
        <w:t>% и 12% соответственно). Статистическая значимость (</w:t>
      </w:r>
      <w:r w:rsidR="00306A55" w:rsidRPr="002B136D">
        <w:rPr>
          <w:rFonts w:cs="Times New Roman"/>
          <w:szCs w:val="28"/>
        </w:rPr>
        <w:t>p=0</w:t>
      </w:r>
      <w:r w:rsidRPr="002B136D">
        <w:rPr>
          <w:rFonts w:cs="Times New Roman"/>
          <w:szCs w:val="28"/>
        </w:rPr>
        <w:t>.01) подчеркивает курение как возможный фактор риска для активности ЭОП.</w:t>
      </w:r>
    </w:p>
    <w:p w14:paraId="2787F0CA" w14:textId="68CB7DB4" w:rsidR="00414B9F" w:rsidRPr="002B136D" w:rsidRDefault="004931E6" w:rsidP="000346E5">
      <w:pPr>
        <w:spacing w:after="0" w:line="240" w:lineRule="auto"/>
        <w:ind w:firstLine="567"/>
        <w:contextualSpacing/>
        <w:jc w:val="both"/>
        <w:rPr>
          <w:rFonts w:cs="Times New Roman"/>
          <w:szCs w:val="28"/>
        </w:rPr>
      </w:pPr>
      <w:r w:rsidRPr="002B136D">
        <w:rPr>
          <w:rFonts w:cs="Times New Roman"/>
          <w:szCs w:val="28"/>
        </w:rPr>
        <w:t>Эти результаты подкрепляют предположение о том, что иммунологические процессы, ассоциированные с ЭОП, могут различаться в зависимости от пола и поведенческих факторов, таких как курение. Особенно важно, что пол и курение могут влиять на активность заболевания, что должно учитываться при разработке стратегий ведения пациентов с ЭОП.</w:t>
      </w:r>
    </w:p>
    <w:p w14:paraId="2F5468EA" w14:textId="77777777" w:rsidR="007B646B" w:rsidRPr="002B136D" w:rsidRDefault="007B646B" w:rsidP="00DD33AE">
      <w:pPr>
        <w:spacing w:after="0" w:line="240" w:lineRule="auto"/>
        <w:ind w:firstLine="709"/>
        <w:contextualSpacing/>
        <w:jc w:val="both"/>
        <w:rPr>
          <w:rFonts w:cs="Times New Roman"/>
          <w:szCs w:val="28"/>
        </w:rPr>
      </w:pPr>
    </w:p>
    <w:p w14:paraId="252D396B" w14:textId="146EBDC6" w:rsidR="00EE2DBA" w:rsidRDefault="00E920FF" w:rsidP="000346E5">
      <w:pPr>
        <w:spacing w:after="0" w:line="240" w:lineRule="auto"/>
        <w:jc w:val="both"/>
        <w:rPr>
          <w:rFonts w:cs="Times New Roman"/>
          <w:bCs/>
          <w:szCs w:val="28"/>
        </w:rPr>
      </w:pPr>
      <w:r w:rsidRPr="000346E5">
        <w:rPr>
          <w:rFonts w:cs="Times New Roman"/>
          <w:bCs/>
          <w:szCs w:val="28"/>
        </w:rPr>
        <w:t xml:space="preserve">Таблица </w:t>
      </w:r>
      <w:r w:rsidR="00F218B4" w:rsidRPr="000346E5">
        <w:rPr>
          <w:rFonts w:cs="Times New Roman"/>
          <w:bCs/>
          <w:szCs w:val="28"/>
        </w:rPr>
        <w:t>1</w:t>
      </w:r>
      <w:r w:rsidR="0076161A">
        <w:rPr>
          <w:rFonts w:cs="Times New Roman"/>
          <w:bCs/>
          <w:szCs w:val="28"/>
        </w:rPr>
        <w:t>2</w:t>
      </w:r>
      <w:r w:rsidR="000346E5" w:rsidRPr="000346E5">
        <w:rPr>
          <w:rFonts w:cs="Times New Roman"/>
          <w:bCs/>
          <w:szCs w:val="28"/>
        </w:rPr>
        <w:t xml:space="preserve"> - </w:t>
      </w:r>
      <w:r w:rsidR="008E6E52" w:rsidRPr="000346E5">
        <w:rPr>
          <w:rFonts w:cs="Times New Roman"/>
          <w:bCs/>
          <w:szCs w:val="28"/>
        </w:rPr>
        <w:t>Х</w:t>
      </w:r>
      <w:r w:rsidR="0088696D" w:rsidRPr="000346E5">
        <w:rPr>
          <w:rFonts w:cs="Times New Roman"/>
          <w:bCs/>
          <w:szCs w:val="28"/>
        </w:rPr>
        <w:t>арактеристика</w:t>
      </w:r>
      <w:r w:rsidR="00EE2DBA" w:rsidRPr="000346E5">
        <w:rPr>
          <w:rFonts w:cs="Times New Roman"/>
          <w:bCs/>
          <w:szCs w:val="28"/>
        </w:rPr>
        <w:t xml:space="preserve"> исследовательских групп</w:t>
      </w:r>
    </w:p>
    <w:p w14:paraId="46E5E1ED" w14:textId="77777777" w:rsidR="000346E5" w:rsidRPr="000346E5" w:rsidRDefault="000346E5" w:rsidP="000346E5">
      <w:pPr>
        <w:spacing w:after="0" w:line="240" w:lineRule="auto"/>
        <w:jc w:val="both"/>
        <w:rPr>
          <w:rFonts w:cs="Times New Roman"/>
          <w:bCs/>
          <w:szCs w:val="28"/>
        </w:rPr>
      </w:pPr>
    </w:p>
    <w:tbl>
      <w:tblPr>
        <w:tblStyle w:val="ac"/>
        <w:tblW w:w="4891" w:type="pct"/>
        <w:tblInd w:w="108" w:type="dxa"/>
        <w:tblLook w:val="04A0" w:firstRow="1" w:lastRow="0" w:firstColumn="1" w:lastColumn="0" w:noHBand="0" w:noVBand="1"/>
      </w:tblPr>
      <w:tblGrid>
        <w:gridCol w:w="3168"/>
        <w:gridCol w:w="1781"/>
        <w:gridCol w:w="2013"/>
        <w:gridCol w:w="1741"/>
        <w:gridCol w:w="937"/>
      </w:tblGrid>
      <w:tr w:rsidR="00D51D40" w:rsidRPr="002B136D" w14:paraId="07FD1ADC" w14:textId="77777777" w:rsidTr="000346E5">
        <w:trPr>
          <w:trHeight w:val="278"/>
        </w:trPr>
        <w:tc>
          <w:tcPr>
            <w:tcW w:w="1643" w:type="pct"/>
            <w:vMerge w:val="restart"/>
            <w:hideMark/>
          </w:tcPr>
          <w:p w14:paraId="53009503" w14:textId="77777777" w:rsidR="00EE2DBA" w:rsidRPr="002B136D" w:rsidRDefault="00EE2DBA" w:rsidP="00AE1B94">
            <w:pPr>
              <w:jc w:val="center"/>
              <w:rPr>
                <w:rFonts w:cs="Times New Roman"/>
                <w:bCs/>
                <w:sz w:val="24"/>
                <w:szCs w:val="28"/>
              </w:rPr>
            </w:pPr>
            <w:r w:rsidRPr="002B136D">
              <w:rPr>
                <w:rFonts w:cs="Times New Roman"/>
                <w:sz w:val="24"/>
                <w:szCs w:val="28"/>
              </w:rPr>
              <w:t>Характеристики</w:t>
            </w:r>
            <w:r w:rsidRPr="002B136D">
              <w:rPr>
                <w:rFonts w:cs="Times New Roman"/>
                <w:bCs/>
                <w:sz w:val="24"/>
                <w:szCs w:val="28"/>
              </w:rPr>
              <w:t>,</w:t>
            </w:r>
            <w:r w:rsidRPr="002B136D">
              <w:rPr>
                <w:rFonts w:cs="Times New Roman"/>
                <w:sz w:val="24"/>
                <w:szCs w:val="28"/>
              </w:rPr>
              <w:t xml:space="preserve"> </w:t>
            </w:r>
            <w:r w:rsidRPr="002B136D">
              <w:rPr>
                <w:rFonts w:cs="Times New Roman"/>
                <w:sz w:val="24"/>
                <w:szCs w:val="28"/>
                <w:lang w:val="en-US"/>
              </w:rPr>
              <w:t>mean</w:t>
            </w:r>
            <w:r w:rsidRPr="002B136D">
              <w:rPr>
                <w:rFonts w:cs="Times New Roman"/>
                <w:sz w:val="24"/>
                <w:szCs w:val="28"/>
              </w:rPr>
              <w:t>+</w:t>
            </w:r>
            <w:r w:rsidRPr="002B136D">
              <w:rPr>
                <w:rFonts w:cs="Times New Roman"/>
                <w:sz w:val="24"/>
                <w:szCs w:val="28"/>
                <w:lang w:val="en-US"/>
              </w:rPr>
              <w:t>SD</w:t>
            </w:r>
          </w:p>
        </w:tc>
        <w:tc>
          <w:tcPr>
            <w:tcW w:w="2871" w:type="pct"/>
            <w:gridSpan w:val="3"/>
            <w:hideMark/>
          </w:tcPr>
          <w:p w14:paraId="58617772" w14:textId="77777777" w:rsidR="00EE2DBA" w:rsidRPr="002B136D" w:rsidRDefault="00EE2DBA" w:rsidP="00AE1B94">
            <w:pPr>
              <w:jc w:val="center"/>
              <w:rPr>
                <w:rFonts w:cs="Times New Roman"/>
                <w:bCs/>
                <w:sz w:val="24"/>
                <w:szCs w:val="28"/>
              </w:rPr>
            </w:pPr>
            <w:r w:rsidRPr="002B136D">
              <w:rPr>
                <w:rFonts w:cs="Times New Roman"/>
                <w:bCs/>
                <w:sz w:val="24"/>
                <w:szCs w:val="28"/>
              </w:rPr>
              <w:t>Группы</w:t>
            </w:r>
          </w:p>
        </w:tc>
        <w:tc>
          <w:tcPr>
            <w:tcW w:w="486" w:type="pct"/>
            <w:vMerge w:val="restart"/>
          </w:tcPr>
          <w:p w14:paraId="2E3024B6" w14:textId="77777777" w:rsidR="00EE2DBA" w:rsidRPr="002B136D" w:rsidRDefault="00EE2DBA" w:rsidP="00AE1B94">
            <w:pPr>
              <w:jc w:val="center"/>
              <w:rPr>
                <w:rFonts w:cs="Times New Roman"/>
                <w:bCs/>
                <w:sz w:val="24"/>
                <w:szCs w:val="28"/>
                <w:lang w:val="en-US"/>
              </w:rPr>
            </w:pPr>
            <w:r w:rsidRPr="002B136D">
              <w:rPr>
                <w:rFonts w:cs="Times New Roman"/>
                <w:bCs/>
                <w:sz w:val="24"/>
                <w:szCs w:val="28"/>
                <w:lang w:val="en-US"/>
              </w:rPr>
              <w:t>p</w:t>
            </w:r>
          </w:p>
        </w:tc>
      </w:tr>
      <w:tr w:rsidR="00D51D40" w:rsidRPr="002B136D" w14:paraId="71C132F9" w14:textId="77777777" w:rsidTr="000346E5">
        <w:trPr>
          <w:trHeight w:val="277"/>
        </w:trPr>
        <w:tc>
          <w:tcPr>
            <w:tcW w:w="1643" w:type="pct"/>
            <w:vMerge/>
          </w:tcPr>
          <w:p w14:paraId="13FC1B01" w14:textId="77777777" w:rsidR="00EE2DBA" w:rsidRPr="002B136D" w:rsidRDefault="00EE2DBA" w:rsidP="00AE1B94">
            <w:pPr>
              <w:jc w:val="both"/>
              <w:rPr>
                <w:rFonts w:cs="Times New Roman"/>
                <w:bCs/>
                <w:sz w:val="24"/>
                <w:szCs w:val="28"/>
              </w:rPr>
            </w:pPr>
          </w:p>
        </w:tc>
        <w:tc>
          <w:tcPr>
            <w:tcW w:w="924" w:type="pct"/>
          </w:tcPr>
          <w:p w14:paraId="49A4A7DD" w14:textId="77D62869" w:rsidR="00EE2DBA" w:rsidRPr="002B136D" w:rsidRDefault="00EE2DBA" w:rsidP="00AE1B94">
            <w:pPr>
              <w:jc w:val="both"/>
              <w:rPr>
                <w:rFonts w:cs="Times New Roman"/>
                <w:bCs/>
                <w:sz w:val="24"/>
                <w:szCs w:val="28"/>
              </w:rPr>
            </w:pPr>
            <w:r w:rsidRPr="002B136D">
              <w:rPr>
                <w:rFonts w:cs="Times New Roman"/>
                <w:bCs/>
                <w:sz w:val="24"/>
                <w:szCs w:val="28"/>
              </w:rPr>
              <w:t>Активная ЭОП (</w:t>
            </w:r>
            <w:r w:rsidRPr="002B136D">
              <w:rPr>
                <w:rFonts w:cs="Times New Roman"/>
                <w:bCs/>
                <w:sz w:val="24"/>
                <w:szCs w:val="28"/>
                <w:lang w:val="en-US"/>
              </w:rPr>
              <w:t>n</w:t>
            </w:r>
            <w:r w:rsidR="00433E85" w:rsidRPr="002B136D">
              <w:rPr>
                <w:rFonts w:cs="Times New Roman"/>
                <w:bCs/>
                <w:sz w:val="24"/>
                <w:szCs w:val="28"/>
              </w:rPr>
              <w:t>-43</w:t>
            </w:r>
            <w:r w:rsidRPr="002B136D">
              <w:rPr>
                <w:rFonts w:cs="Times New Roman"/>
                <w:bCs/>
                <w:sz w:val="24"/>
                <w:szCs w:val="28"/>
              </w:rPr>
              <w:t>)</w:t>
            </w:r>
          </w:p>
        </w:tc>
        <w:tc>
          <w:tcPr>
            <w:tcW w:w="1044" w:type="pct"/>
          </w:tcPr>
          <w:p w14:paraId="4A99781A" w14:textId="30EF1E07" w:rsidR="00EE2DBA" w:rsidRPr="002B136D" w:rsidRDefault="00EE2DBA" w:rsidP="00AE1B94">
            <w:pPr>
              <w:jc w:val="both"/>
              <w:rPr>
                <w:rFonts w:cs="Times New Roman"/>
                <w:bCs/>
                <w:sz w:val="24"/>
                <w:szCs w:val="28"/>
                <w:lang w:val="en-US"/>
              </w:rPr>
            </w:pPr>
            <w:r w:rsidRPr="002B136D">
              <w:rPr>
                <w:rFonts w:cs="Times New Roman"/>
                <w:bCs/>
                <w:sz w:val="24"/>
                <w:szCs w:val="28"/>
              </w:rPr>
              <w:t>Неактивная ЭОП</w:t>
            </w:r>
            <w:r w:rsidR="00C616F3" w:rsidRPr="002B136D">
              <w:rPr>
                <w:rFonts w:cs="Times New Roman"/>
                <w:bCs/>
                <w:sz w:val="24"/>
                <w:szCs w:val="28"/>
              </w:rPr>
              <w:t xml:space="preserve"> </w:t>
            </w:r>
            <w:r w:rsidRPr="002B136D">
              <w:rPr>
                <w:rFonts w:cs="Times New Roman"/>
                <w:bCs/>
                <w:sz w:val="24"/>
                <w:szCs w:val="28"/>
              </w:rPr>
              <w:t>(</w:t>
            </w:r>
            <w:r w:rsidRPr="002B136D">
              <w:rPr>
                <w:rFonts w:cs="Times New Roman"/>
                <w:bCs/>
                <w:sz w:val="24"/>
                <w:szCs w:val="28"/>
                <w:lang w:val="en-US"/>
              </w:rPr>
              <w:t>n</w:t>
            </w:r>
            <w:r w:rsidR="00433E85" w:rsidRPr="002B136D">
              <w:rPr>
                <w:rFonts w:cs="Times New Roman"/>
                <w:bCs/>
                <w:sz w:val="24"/>
                <w:szCs w:val="28"/>
              </w:rPr>
              <w:t>-27</w:t>
            </w:r>
            <w:r w:rsidRPr="002B136D">
              <w:rPr>
                <w:rFonts w:cs="Times New Roman"/>
                <w:bCs/>
                <w:sz w:val="24"/>
                <w:szCs w:val="28"/>
              </w:rPr>
              <w:t>)</w:t>
            </w:r>
          </w:p>
        </w:tc>
        <w:tc>
          <w:tcPr>
            <w:tcW w:w="903" w:type="pct"/>
          </w:tcPr>
          <w:p w14:paraId="7CA16D29" w14:textId="77777777" w:rsidR="00EE2DBA" w:rsidRPr="002B136D" w:rsidRDefault="00EE2DBA" w:rsidP="00AE1B94">
            <w:pPr>
              <w:jc w:val="both"/>
              <w:rPr>
                <w:rFonts w:cs="Times New Roman"/>
                <w:bCs/>
                <w:sz w:val="24"/>
                <w:szCs w:val="28"/>
              </w:rPr>
            </w:pPr>
            <w:r w:rsidRPr="002B136D">
              <w:rPr>
                <w:rFonts w:cs="Times New Roman"/>
                <w:bCs/>
                <w:sz w:val="24"/>
                <w:szCs w:val="28"/>
              </w:rPr>
              <w:t>Контроль</w:t>
            </w:r>
          </w:p>
          <w:p w14:paraId="57E5B76D" w14:textId="74AB789F" w:rsidR="00EE2DBA" w:rsidRPr="002B136D" w:rsidRDefault="00EE2DBA" w:rsidP="00AE1B94">
            <w:pPr>
              <w:jc w:val="both"/>
              <w:rPr>
                <w:rFonts w:cs="Times New Roman"/>
                <w:bCs/>
                <w:sz w:val="24"/>
                <w:szCs w:val="28"/>
              </w:rPr>
            </w:pPr>
            <w:r w:rsidRPr="002B136D">
              <w:rPr>
                <w:rFonts w:cs="Times New Roman"/>
                <w:bCs/>
                <w:sz w:val="24"/>
                <w:szCs w:val="28"/>
              </w:rPr>
              <w:t>(</w:t>
            </w:r>
            <w:r w:rsidRPr="002B136D">
              <w:rPr>
                <w:rFonts w:cs="Times New Roman"/>
                <w:bCs/>
                <w:sz w:val="24"/>
                <w:szCs w:val="28"/>
                <w:lang w:val="en-US"/>
              </w:rPr>
              <w:t>n</w:t>
            </w:r>
            <w:r w:rsidR="000B27B6" w:rsidRPr="002B136D">
              <w:rPr>
                <w:rFonts w:cs="Times New Roman"/>
                <w:bCs/>
                <w:sz w:val="24"/>
                <w:szCs w:val="28"/>
              </w:rPr>
              <w:t>-</w:t>
            </w:r>
            <w:r w:rsidR="000B27B6" w:rsidRPr="002B136D">
              <w:rPr>
                <w:rFonts w:cs="Times New Roman"/>
                <w:bCs/>
                <w:sz w:val="24"/>
                <w:szCs w:val="28"/>
                <w:lang w:val="en-US"/>
              </w:rPr>
              <w:t>17</w:t>
            </w:r>
            <w:r w:rsidRPr="002B136D">
              <w:rPr>
                <w:rFonts w:cs="Times New Roman"/>
                <w:bCs/>
                <w:sz w:val="24"/>
                <w:szCs w:val="28"/>
              </w:rPr>
              <w:t>)</w:t>
            </w:r>
          </w:p>
        </w:tc>
        <w:tc>
          <w:tcPr>
            <w:tcW w:w="486" w:type="pct"/>
            <w:vMerge/>
          </w:tcPr>
          <w:p w14:paraId="22BAC26A" w14:textId="77777777" w:rsidR="00EE2DBA" w:rsidRPr="002B136D" w:rsidRDefault="00EE2DBA" w:rsidP="00AE1B94">
            <w:pPr>
              <w:jc w:val="both"/>
              <w:rPr>
                <w:rFonts w:cs="Times New Roman"/>
                <w:bCs/>
                <w:sz w:val="24"/>
                <w:szCs w:val="28"/>
                <w:lang w:val="en-US"/>
              </w:rPr>
            </w:pPr>
          </w:p>
        </w:tc>
      </w:tr>
      <w:tr w:rsidR="000346E5" w:rsidRPr="002B136D" w14:paraId="229DF9EB" w14:textId="77777777" w:rsidTr="000346E5">
        <w:trPr>
          <w:trHeight w:val="300"/>
        </w:trPr>
        <w:tc>
          <w:tcPr>
            <w:tcW w:w="1643" w:type="pct"/>
          </w:tcPr>
          <w:p w14:paraId="5CC29398" w14:textId="2189694A" w:rsidR="000346E5" w:rsidRPr="002B136D" w:rsidRDefault="000346E5" w:rsidP="000346E5">
            <w:pPr>
              <w:jc w:val="center"/>
              <w:rPr>
                <w:rFonts w:cs="Times New Roman"/>
                <w:sz w:val="24"/>
                <w:szCs w:val="28"/>
              </w:rPr>
            </w:pPr>
            <w:r>
              <w:rPr>
                <w:rFonts w:cs="Times New Roman"/>
                <w:sz w:val="24"/>
                <w:szCs w:val="28"/>
              </w:rPr>
              <w:t>1</w:t>
            </w:r>
          </w:p>
        </w:tc>
        <w:tc>
          <w:tcPr>
            <w:tcW w:w="924" w:type="pct"/>
          </w:tcPr>
          <w:p w14:paraId="2FA522E2" w14:textId="2F990936" w:rsidR="000346E5" w:rsidRPr="000346E5" w:rsidRDefault="000346E5" w:rsidP="000346E5">
            <w:pPr>
              <w:jc w:val="center"/>
              <w:rPr>
                <w:rFonts w:cs="Times New Roman"/>
                <w:sz w:val="24"/>
                <w:szCs w:val="28"/>
              </w:rPr>
            </w:pPr>
            <w:r>
              <w:rPr>
                <w:rFonts w:cs="Times New Roman"/>
                <w:sz w:val="24"/>
                <w:szCs w:val="28"/>
              </w:rPr>
              <w:t>2</w:t>
            </w:r>
          </w:p>
        </w:tc>
        <w:tc>
          <w:tcPr>
            <w:tcW w:w="1044" w:type="pct"/>
          </w:tcPr>
          <w:p w14:paraId="6D380AD2" w14:textId="1D03217B" w:rsidR="000346E5" w:rsidRPr="002B136D" w:rsidRDefault="000346E5" w:rsidP="000346E5">
            <w:pPr>
              <w:jc w:val="center"/>
              <w:rPr>
                <w:rFonts w:cs="Times New Roman"/>
                <w:sz w:val="24"/>
                <w:szCs w:val="28"/>
              </w:rPr>
            </w:pPr>
            <w:r>
              <w:rPr>
                <w:rFonts w:cs="Times New Roman"/>
                <w:sz w:val="24"/>
                <w:szCs w:val="28"/>
              </w:rPr>
              <w:t>3</w:t>
            </w:r>
          </w:p>
        </w:tc>
        <w:tc>
          <w:tcPr>
            <w:tcW w:w="903" w:type="pct"/>
          </w:tcPr>
          <w:p w14:paraId="1A040883" w14:textId="1C281C64" w:rsidR="000346E5" w:rsidRPr="002B136D" w:rsidRDefault="000346E5" w:rsidP="000346E5">
            <w:pPr>
              <w:jc w:val="center"/>
              <w:rPr>
                <w:rFonts w:cs="Times New Roman"/>
                <w:sz w:val="24"/>
                <w:szCs w:val="28"/>
              </w:rPr>
            </w:pPr>
            <w:r>
              <w:rPr>
                <w:rFonts w:cs="Times New Roman"/>
                <w:sz w:val="24"/>
                <w:szCs w:val="28"/>
              </w:rPr>
              <w:t>4</w:t>
            </w:r>
          </w:p>
        </w:tc>
        <w:tc>
          <w:tcPr>
            <w:tcW w:w="486" w:type="pct"/>
          </w:tcPr>
          <w:p w14:paraId="27C7448F" w14:textId="49D5DE5A" w:rsidR="000346E5" w:rsidRPr="002B136D" w:rsidRDefault="000346E5" w:rsidP="000346E5">
            <w:pPr>
              <w:jc w:val="center"/>
              <w:rPr>
                <w:rFonts w:cs="Times New Roman"/>
                <w:sz w:val="24"/>
                <w:szCs w:val="28"/>
              </w:rPr>
            </w:pPr>
            <w:r>
              <w:rPr>
                <w:rFonts w:cs="Times New Roman"/>
                <w:sz w:val="24"/>
                <w:szCs w:val="28"/>
              </w:rPr>
              <w:t>5</w:t>
            </w:r>
          </w:p>
        </w:tc>
      </w:tr>
      <w:tr w:rsidR="00D51D40" w:rsidRPr="002B136D" w14:paraId="5011B75B" w14:textId="77777777" w:rsidTr="000346E5">
        <w:trPr>
          <w:trHeight w:val="300"/>
        </w:trPr>
        <w:tc>
          <w:tcPr>
            <w:tcW w:w="1643" w:type="pct"/>
            <w:tcBorders>
              <w:bottom w:val="single" w:sz="4" w:space="0" w:color="auto"/>
            </w:tcBorders>
            <w:hideMark/>
          </w:tcPr>
          <w:p w14:paraId="1BCD6BD3" w14:textId="77777777" w:rsidR="00EE2DBA" w:rsidRPr="002B136D" w:rsidRDefault="00EE2DBA" w:rsidP="00AE1B94">
            <w:pPr>
              <w:jc w:val="both"/>
              <w:rPr>
                <w:rFonts w:cs="Times New Roman"/>
                <w:sz w:val="24"/>
                <w:szCs w:val="28"/>
                <w:lang w:val="en-US"/>
              </w:rPr>
            </w:pPr>
            <w:r w:rsidRPr="002B136D">
              <w:rPr>
                <w:rFonts w:cs="Times New Roman"/>
                <w:sz w:val="24"/>
                <w:szCs w:val="28"/>
              </w:rPr>
              <w:t>Возраст (лет)</w:t>
            </w:r>
          </w:p>
        </w:tc>
        <w:tc>
          <w:tcPr>
            <w:tcW w:w="924" w:type="pct"/>
            <w:tcBorders>
              <w:bottom w:val="single" w:sz="4" w:space="0" w:color="auto"/>
            </w:tcBorders>
            <w:hideMark/>
          </w:tcPr>
          <w:p w14:paraId="32AE50C0" w14:textId="77777777" w:rsidR="00EE2DBA" w:rsidRPr="002B136D" w:rsidRDefault="00EE2DBA" w:rsidP="00AE1B94">
            <w:pPr>
              <w:jc w:val="both"/>
              <w:rPr>
                <w:rFonts w:cs="Times New Roman"/>
                <w:sz w:val="24"/>
                <w:szCs w:val="28"/>
              </w:rPr>
            </w:pPr>
            <w:r w:rsidRPr="002B136D">
              <w:rPr>
                <w:rFonts w:cs="Times New Roman"/>
                <w:sz w:val="24"/>
                <w:szCs w:val="28"/>
                <w:lang w:val="en-US"/>
              </w:rPr>
              <w:t>4</w:t>
            </w:r>
            <w:r w:rsidRPr="002B136D">
              <w:rPr>
                <w:rFonts w:cs="Times New Roman"/>
                <w:sz w:val="24"/>
                <w:szCs w:val="28"/>
              </w:rPr>
              <w:t>1±4,1</w:t>
            </w:r>
          </w:p>
        </w:tc>
        <w:tc>
          <w:tcPr>
            <w:tcW w:w="1044" w:type="pct"/>
            <w:tcBorders>
              <w:bottom w:val="single" w:sz="4" w:space="0" w:color="auto"/>
            </w:tcBorders>
            <w:hideMark/>
          </w:tcPr>
          <w:p w14:paraId="645C9A15" w14:textId="77777777" w:rsidR="00EE2DBA" w:rsidRPr="002B136D" w:rsidRDefault="00EE2DBA" w:rsidP="00AE1B94">
            <w:pPr>
              <w:jc w:val="both"/>
              <w:rPr>
                <w:rFonts w:cs="Times New Roman"/>
                <w:sz w:val="24"/>
                <w:szCs w:val="28"/>
              </w:rPr>
            </w:pPr>
            <w:r w:rsidRPr="002B136D">
              <w:rPr>
                <w:rFonts w:cs="Times New Roman"/>
                <w:sz w:val="24"/>
                <w:szCs w:val="28"/>
              </w:rPr>
              <w:t>46±1,5</w:t>
            </w:r>
          </w:p>
        </w:tc>
        <w:tc>
          <w:tcPr>
            <w:tcW w:w="903" w:type="pct"/>
            <w:tcBorders>
              <w:bottom w:val="single" w:sz="4" w:space="0" w:color="auto"/>
            </w:tcBorders>
            <w:hideMark/>
          </w:tcPr>
          <w:p w14:paraId="4F900AA5" w14:textId="0AC08DB4" w:rsidR="00EE2DBA" w:rsidRPr="002B136D" w:rsidRDefault="00FF0E8D" w:rsidP="00AE1B94">
            <w:pPr>
              <w:jc w:val="both"/>
              <w:rPr>
                <w:rFonts w:cs="Times New Roman"/>
                <w:sz w:val="24"/>
                <w:szCs w:val="28"/>
              </w:rPr>
            </w:pPr>
            <w:r w:rsidRPr="002B136D">
              <w:rPr>
                <w:rFonts w:cs="Times New Roman"/>
                <w:sz w:val="24"/>
                <w:szCs w:val="28"/>
              </w:rPr>
              <w:t>40</w:t>
            </w:r>
            <w:r w:rsidR="00EE2DBA" w:rsidRPr="002B136D">
              <w:rPr>
                <w:rFonts w:cs="Times New Roman"/>
                <w:sz w:val="24"/>
                <w:szCs w:val="28"/>
              </w:rPr>
              <w:t>±5,4</w:t>
            </w:r>
          </w:p>
        </w:tc>
        <w:tc>
          <w:tcPr>
            <w:tcW w:w="486" w:type="pct"/>
            <w:tcBorders>
              <w:bottom w:val="single" w:sz="4" w:space="0" w:color="auto"/>
            </w:tcBorders>
          </w:tcPr>
          <w:p w14:paraId="63F52ECF" w14:textId="77777777" w:rsidR="00EE2DBA" w:rsidRPr="002B136D" w:rsidRDefault="00EE2DBA" w:rsidP="00AE1B94">
            <w:pPr>
              <w:jc w:val="both"/>
              <w:rPr>
                <w:rFonts w:cs="Times New Roman"/>
                <w:sz w:val="24"/>
                <w:szCs w:val="28"/>
              </w:rPr>
            </w:pPr>
            <w:r w:rsidRPr="002B136D">
              <w:rPr>
                <w:rFonts w:cs="Times New Roman"/>
                <w:sz w:val="24"/>
                <w:szCs w:val="28"/>
              </w:rPr>
              <w:t>0,25</w:t>
            </w:r>
          </w:p>
        </w:tc>
      </w:tr>
      <w:tr w:rsidR="00D51D40" w:rsidRPr="002B136D" w14:paraId="5D1A65A6" w14:textId="77777777" w:rsidTr="000346E5">
        <w:trPr>
          <w:trHeight w:val="300"/>
        </w:trPr>
        <w:tc>
          <w:tcPr>
            <w:tcW w:w="5000" w:type="pct"/>
            <w:gridSpan w:val="5"/>
            <w:tcBorders>
              <w:bottom w:val="nil"/>
            </w:tcBorders>
            <w:hideMark/>
          </w:tcPr>
          <w:p w14:paraId="52B3F713" w14:textId="77777777" w:rsidR="00EE2DBA" w:rsidRPr="002B136D" w:rsidRDefault="00EE2DBA" w:rsidP="00AE1B94">
            <w:pPr>
              <w:jc w:val="both"/>
              <w:rPr>
                <w:rFonts w:cs="Times New Roman"/>
                <w:sz w:val="24"/>
                <w:szCs w:val="28"/>
              </w:rPr>
            </w:pPr>
            <w:r w:rsidRPr="002B136D">
              <w:rPr>
                <w:rFonts w:cs="Times New Roman"/>
                <w:sz w:val="24"/>
                <w:szCs w:val="28"/>
              </w:rPr>
              <w:t xml:space="preserve">Пол, </w:t>
            </w:r>
            <w:r w:rsidRPr="002B136D">
              <w:rPr>
                <w:rFonts w:cs="Times New Roman"/>
                <w:sz w:val="24"/>
                <w:szCs w:val="28"/>
                <w:lang w:val="en-US"/>
              </w:rPr>
              <w:t>n (%)</w:t>
            </w:r>
          </w:p>
        </w:tc>
      </w:tr>
    </w:tbl>
    <w:p w14:paraId="2398206E" w14:textId="712D3E5C" w:rsidR="000346E5" w:rsidRDefault="00F35C00" w:rsidP="000346E5">
      <w:pPr>
        <w:spacing w:after="0" w:line="240" w:lineRule="auto"/>
      </w:pPr>
      <w:r>
        <w:lastRenderedPageBreak/>
        <w:t xml:space="preserve">Продолжение таблицы </w:t>
      </w:r>
      <w:r w:rsidR="000346E5">
        <w:t>1</w:t>
      </w:r>
      <w:r w:rsidR="0076161A">
        <w:t>2</w:t>
      </w:r>
    </w:p>
    <w:p w14:paraId="0D0C3EB2" w14:textId="77777777" w:rsidR="000346E5" w:rsidRDefault="000346E5" w:rsidP="000346E5">
      <w:pPr>
        <w:spacing w:after="0" w:line="240" w:lineRule="auto"/>
      </w:pPr>
    </w:p>
    <w:tbl>
      <w:tblPr>
        <w:tblStyle w:val="ac"/>
        <w:tblW w:w="4891" w:type="pct"/>
        <w:tblInd w:w="108" w:type="dxa"/>
        <w:tblLook w:val="04A0" w:firstRow="1" w:lastRow="0" w:firstColumn="1" w:lastColumn="0" w:noHBand="0" w:noVBand="1"/>
      </w:tblPr>
      <w:tblGrid>
        <w:gridCol w:w="3168"/>
        <w:gridCol w:w="1781"/>
        <w:gridCol w:w="2013"/>
        <w:gridCol w:w="1741"/>
        <w:gridCol w:w="937"/>
      </w:tblGrid>
      <w:tr w:rsidR="000346E5" w:rsidRPr="002B136D" w14:paraId="4D6B50F3" w14:textId="77777777" w:rsidTr="000346E5">
        <w:trPr>
          <w:trHeight w:val="300"/>
        </w:trPr>
        <w:tc>
          <w:tcPr>
            <w:tcW w:w="1643" w:type="pct"/>
          </w:tcPr>
          <w:p w14:paraId="0B2680BD" w14:textId="782AF8F0" w:rsidR="000346E5" w:rsidRPr="002B136D" w:rsidRDefault="000346E5" w:rsidP="000346E5">
            <w:pPr>
              <w:tabs>
                <w:tab w:val="left" w:pos="210"/>
              </w:tabs>
              <w:jc w:val="center"/>
              <w:rPr>
                <w:rFonts w:cs="Times New Roman"/>
                <w:sz w:val="24"/>
                <w:szCs w:val="28"/>
              </w:rPr>
            </w:pPr>
            <w:r>
              <w:rPr>
                <w:rFonts w:cs="Times New Roman"/>
                <w:sz w:val="24"/>
                <w:szCs w:val="28"/>
              </w:rPr>
              <w:t>1</w:t>
            </w:r>
          </w:p>
        </w:tc>
        <w:tc>
          <w:tcPr>
            <w:tcW w:w="924" w:type="pct"/>
          </w:tcPr>
          <w:p w14:paraId="5F2599C4" w14:textId="239CF8EA" w:rsidR="000346E5" w:rsidRPr="002B136D" w:rsidRDefault="000346E5" w:rsidP="000346E5">
            <w:pPr>
              <w:jc w:val="center"/>
              <w:rPr>
                <w:rFonts w:cs="Times New Roman"/>
                <w:sz w:val="24"/>
                <w:szCs w:val="28"/>
              </w:rPr>
            </w:pPr>
            <w:r>
              <w:rPr>
                <w:rFonts w:cs="Times New Roman"/>
                <w:sz w:val="24"/>
                <w:szCs w:val="28"/>
              </w:rPr>
              <w:t>2</w:t>
            </w:r>
          </w:p>
        </w:tc>
        <w:tc>
          <w:tcPr>
            <w:tcW w:w="1044" w:type="pct"/>
          </w:tcPr>
          <w:p w14:paraId="4088DC81" w14:textId="5805E7DF" w:rsidR="000346E5" w:rsidRPr="002B136D" w:rsidRDefault="000346E5" w:rsidP="000346E5">
            <w:pPr>
              <w:jc w:val="center"/>
              <w:rPr>
                <w:rFonts w:cs="Times New Roman"/>
                <w:sz w:val="24"/>
                <w:szCs w:val="28"/>
                <w:lang w:val="en-US"/>
              </w:rPr>
            </w:pPr>
            <w:r>
              <w:rPr>
                <w:rFonts w:cs="Times New Roman"/>
                <w:sz w:val="24"/>
                <w:szCs w:val="28"/>
              </w:rPr>
              <w:t>3</w:t>
            </w:r>
          </w:p>
        </w:tc>
        <w:tc>
          <w:tcPr>
            <w:tcW w:w="903" w:type="pct"/>
          </w:tcPr>
          <w:p w14:paraId="5D8014B5" w14:textId="759D3F0F" w:rsidR="000346E5" w:rsidRPr="002B136D" w:rsidRDefault="000346E5" w:rsidP="000346E5">
            <w:pPr>
              <w:jc w:val="center"/>
              <w:rPr>
                <w:rFonts w:cs="Times New Roman"/>
                <w:sz w:val="24"/>
                <w:szCs w:val="28"/>
                <w:lang w:val="kk-KZ"/>
              </w:rPr>
            </w:pPr>
            <w:r>
              <w:rPr>
                <w:rFonts w:cs="Times New Roman"/>
                <w:sz w:val="24"/>
                <w:szCs w:val="28"/>
              </w:rPr>
              <w:t>4</w:t>
            </w:r>
          </w:p>
        </w:tc>
        <w:tc>
          <w:tcPr>
            <w:tcW w:w="486" w:type="pct"/>
          </w:tcPr>
          <w:p w14:paraId="15A74769" w14:textId="2C89159E" w:rsidR="000346E5" w:rsidRPr="002B136D" w:rsidRDefault="000346E5" w:rsidP="000346E5">
            <w:pPr>
              <w:jc w:val="center"/>
              <w:rPr>
                <w:rFonts w:cs="Times New Roman"/>
                <w:sz w:val="24"/>
                <w:szCs w:val="28"/>
                <w:lang w:val="en-US"/>
              </w:rPr>
            </w:pPr>
            <w:r>
              <w:rPr>
                <w:rFonts w:cs="Times New Roman"/>
                <w:sz w:val="24"/>
                <w:szCs w:val="28"/>
              </w:rPr>
              <w:t>5</w:t>
            </w:r>
          </w:p>
        </w:tc>
      </w:tr>
      <w:tr w:rsidR="000346E5" w:rsidRPr="002B136D" w14:paraId="3B870F1F" w14:textId="77777777" w:rsidTr="000346E5">
        <w:trPr>
          <w:trHeight w:val="300"/>
        </w:trPr>
        <w:tc>
          <w:tcPr>
            <w:tcW w:w="1643" w:type="pct"/>
          </w:tcPr>
          <w:p w14:paraId="58BA71A9" w14:textId="67F4561A" w:rsidR="000346E5" w:rsidRPr="002B136D" w:rsidRDefault="000346E5" w:rsidP="000346E5">
            <w:pPr>
              <w:tabs>
                <w:tab w:val="left" w:pos="210"/>
              </w:tabs>
              <w:jc w:val="center"/>
              <w:rPr>
                <w:rFonts w:cs="Times New Roman"/>
                <w:sz w:val="24"/>
                <w:szCs w:val="28"/>
              </w:rPr>
            </w:pPr>
            <w:r w:rsidRPr="002B136D">
              <w:rPr>
                <w:rFonts w:cs="Times New Roman"/>
                <w:sz w:val="24"/>
                <w:szCs w:val="28"/>
              </w:rPr>
              <w:t>Мужской</w:t>
            </w:r>
          </w:p>
        </w:tc>
        <w:tc>
          <w:tcPr>
            <w:tcW w:w="924" w:type="pct"/>
          </w:tcPr>
          <w:p w14:paraId="03A750DE" w14:textId="4AE5DB2C" w:rsidR="000346E5" w:rsidRPr="002B136D" w:rsidRDefault="000346E5" w:rsidP="000346E5">
            <w:pPr>
              <w:jc w:val="both"/>
              <w:rPr>
                <w:rFonts w:cs="Times New Roman"/>
                <w:sz w:val="24"/>
                <w:szCs w:val="28"/>
                <w:lang w:val="en-US"/>
              </w:rPr>
            </w:pPr>
            <w:r w:rsidRPr="002B136D">
              <w:rPr>
                <w:rFonts w:cs="Times New Roman"/>
                <w:sz w:val="24"/>
                <w:szCs w:val="28"/>
              </w:rPr>
              <w:t>29</w:t>
            </w:r>
            <w:r w:rsidRPr="002B136D">
              <w:rPr>
                <w:rFonts w:cs="Times New Roman"/>
                <w:sz w:val="24"/>
                <w:szCs w:val="28"/>
                <w:lang w:val="en-US"/>
              </w:rPr>
              <w:t xml:space="preserve"> (6</w:t>
            </w:r>
            <w:r w:rsidRPr="002B136D">
              <w:rPr>
                <w:rFonts w:cs="Times New Roman"/>
                <w:sz w:val="24"/>
                <w:szCs w:val="28"/>
              </w:rPr>
              <w:t>7,4</w:t>
            </w:r>
            <w:r w:rsidRPr="002B136D">
              <w:rPr>
                <w:rFonts w:cs="Times New Roman"/>
                <w:sz w:val="24"/>
                <w:szCs w:val="28"/>
                <w:lang w:val="en-US"/>
              </w:rPr>
              <w:t>)</w:t>
            </w:r>
          </w:p>
        </w:tc>
        <w:tc>
          <w:tcPr>
            <w:tcW w:w="1044" w:type="pct"/>
          </w:tcPr>
          <w:p w14:paraId="44D5FA6A" w14:textId="1A5B1DC3" w:rsidR="000346E5" w:rsidRPr="002B136D" w:rsidRDefault="000346E5" w:rsidP="000346E5">
            <w:pPr>
              <w:jc w:val="both"/>
              <w:rPr>
                <w:rFonts w:cs="Times New Roman"/>
                <w:sz w:val="24"/>
                <w:szCs w:val="28"/>
              </w:rPr>
            </w:pPr>
            <w:r w:rsidRPr="002B136D">
              <w:rPr>
                <w:rFonts w:cs="Times New Roman"/>
                <w:sz w:val="24"/>
                <w:szCs w:val="28"/>
                <w:lang w:val="en-US"/>
              </w:rPr>
              <w:t>7 (2</w:t>
            </w:r>
            <w:r w:rsidRPr="002B136D">
              <w:rPr>
                <w:rFonts w:cs="Times New Roman"/>
                <w:sz w:val="24"/>
                <w:szCs w:val="28"/>
              </w:rPr>
              <w:t>6</w:t>
            </w:r>
            <w:r w:rsidRPr="002B136D">
              <w:rPr>
                <w:rFonts w:cs="Times New Roman"/>
                <w:sz w:val="24"/>
                <w:szCs w:val="28"/>
                <w:lang w:val="en-US"/>
              </w:rPr>
              <w:t>)</w:t>
            </w:r>
          </w:p>
        </w:tc>
        <w:tc>
          <w:tcPr>
            <w:tcW w:w="903" w:type="pct"/>
          </w:tcPr>
          <w:p w14:paraId="5FF47CF6" w14:textId="3A767336" w:rsidR="000346E5" w:rsidRPr="002B136D" w:rsidRDefault="000346E5" w:rsidP="000346E5">
            <w:pPr>
              <w:jc w:val="both"/>
              <w:rPr>
                <w:rFonts w:cs="Times New Roman"/>
                <w:sz w:val="24"/>
                <w:szCs w:val="28"/>
              </w:rPr>
            </w:pPr>
            <w:r w:rsidRPr="002B136D">
              <w:rPr>
                <w:rFonts w:cs="Times New Roman"/>
                <w:sz w:val="24"/>
                <w:szCs w:val="28"/>
                <w:lang w:val="kk-KZ"/>
              </w:rPr>
              <w:t>12</w:t>
            </w:r>
            <w:r w:rsidRPr="002B136D">
              <w:rPr>
                <w:rFonts w:cs="Times New Roman"/>
                <w:sz w:val="24"/>
                <w:szCs w:val="28"/>
                <w:lang w:val="en-US"/>
              </w:rPr>
              <w:t xml:space="preserve"> (70</w:t>
            </w:r>
            <w:r w:rsidRPr="002B136D">
              <w:rPr>
                <w:rFonts w:cs="Times New Roman"/>
                <w:sz w:val="24"/>
                <w:szCs w:val="28"/>
                <w:lang w:val="kk-KZ"/>
              </w:rPr>
              <w:t>,6</w:t>
            </w:r>
            <w:r w:rsidRPr="002B136D">
              <w:rPr>
                <w:rFonts w:cs="Times New Roman"/>
                <w:sz w:val="24"/>
                <w:szCs w:val="28"/>
                <w:lang w:val="en-US"/>
              </w:rPr>
              <w:t>)</w:t>
            </w:r>
          </w:p>
        </w:tc>
        <w:tc>
          <w:tcPr>
            <w:tcW w:w="486" w:type="pct"/>
          </w:tcPr>
          <w:p w14:paraId="416ADC02" w14:textId="2D38946D" w:rsidR="000346E5" w:rsidRPr="002B136D" w:rsidRDefault="000346E5" w:rsidP="000346E5">
            <w:pPr>
              <w:jc w:val="both"/>
              <w:rPr>
                <w:rFonts w:cs="Times New Roman"/>
                <w:sz w:val="24"/>
                <w:szCs w:val="28"/>
                <w:lang w:val="en-US"/>
              </w:rPr>
            </w:pPr>
            <w:r w:rsidRPr="002B136D">
              <w:rPr>
                <w:rFonts w:cs="Times New Roman"/>
                <w:sz w:val="24"/>
                <w:szCs w:val="28"/>
                <w:lang w:val="en-US"/>
              </w:rPr>
              <w:t>0.0</w:t>
            </w:r>
            <w:r w:rsidRPr="002B136D">
              <w:rPr>
                <w:rFonts w:cs="Times New Roman"/>
                <w:sz w:val="24"/>
                <w:szCs w:val="28"/>
              </w:rPr>
              <w:t>1</w:t>
            </w:r>
            <w:r w:rsidRPr="002B136D">
              <w:rPr>
                <w:rFonts w:cs="Times New Roman"/>
                <w:sz w:val="24"/>
                <w:szCs w:val="28"/>
                <w:lang w:val="en-US"/>
              </w:rPr>
              <w:t>*</w:t>
            </w:r>
          </w:p>
        </w:tc>
      </w:tr>
      <w:tr w:rsidR="000346E5" w:rsidRPr="002B136D" w14:paraId="4EB4214D" w14:textId="77777777" w:rsidTr="000346E5">
        <w:trPr>
          <w:trHeight w:val="369"/>
        </w:trPr>
        <w:tc>
          <w:tcPr>
            <w:tcW w:w="1643" w:type="pct"/>
          </w:tcPr>
          <w:p w14:paraId="475BDC4C" w14:textId="4572FD63" w:rsidR="000346E5" w:rsidRPr="002B136D" w:rsidRDefault="000346E5" w:rsidP="000346E5">
            <w:pPr>
              <w:tabs>
                <w:tab w:val="left" w:pos="210"/>
              </w:tabs>
              <w:jc w:val="center"/>
              <w:rPr>
                <w:rFonts w:cs="Times New Roman"/>
                <w:sz w:val="24"/>
                <w:szCs w:val="28"/>
                <w:lang w:val="kk-KZ"/>
              </w:rPr>
            </w:pPr>
            <w:r w:rsidRPr="002B136D">
              <w:rPr>
                <w:rFonts w:cs="Times New Roman"/>
                <w:sz w:val="24"/>
                <w:szCs w:val="28"/>
              </w:rPr>
              <w:t>Женский</w:t>
            </w:r>
          </w:p>
        </w:tc>
        <w:tc>
          <w:tcPr>
            <w:tcW w:w="924" w:type="pct"/>
          </w:tcPr>
          <w:p w14:paraId="2A1F26C1" w14:textId="3BB43E9B" w:rsidR="000346E5" w:rsidRPr="002B136D" w:rsidRDefault="000346E5" w:rsidP="000346E5">
            <w:pPr>
              <w:jc w:val="both"/>
              <w:rPr>
                <w:rFonts w:cs="Times New Roman"/>
                <w:sz w:val="24"/>
                <w:szCs w:val="28"/>
                <w:lang w:val="en-US"/>
              </w:rPr>
            </w:pPr>
            <w:r w:rsidRPr="002B136D">
              <w:rPr>
                <w:rFonts w:cs="Times New Roman"/>
                <w:sz w:val="24"/>
                <w:szCs w:val="28"/>
              </w:rPr>
              <w:t>14</w:t>
            </w:r>
            <w:r w:rsidRPr="002B136D">
              <w:rPr>
                <w:rFonts w:cs="Times New Roman"/>
                <w:sz w:val="24"/>
                <w:szCs w:val="28"/>
                <w:lang w:val="en-US"/>
              </w:rPr>
              <w:t xml:space="preserve"> (32</w:t>
            </w:r>
            <w:r w:rsidRPr="002B136D">
              <w:rPr>
                <w:rFonts w:cs="Times New Roman"/>
                <w:sz w:val="24"/>
                <w:szCs w:val="28"/>
              </w:rPr>
              <w:t>,6</w:t>
            </w:r>
            <w:r w:rsidRPr="002B136D">
              <w:rPr>
                <w:rFonts w:cs="Times New Roman"/>
                <w:sz w:val="24"/>
                <w:szCs w:val="28"/>
                <w:lang w:val="en-US"/>
              </w:rPr>
              <w:t>)</w:t>
            </w:r>
          </w:p>
        </w:tc>
        <w:tc>
          <w:tcPr>
            <w:tcW w:w="1044" w:type="pct"/>
          </w:tcPr>
          <w:p w14:paraId="081E771C" w14:textId="740F28E3" w:rsidR="000346E5" w:rsidRPr="002B136D" w:rsidRDefault="000346E5" w:rsidP="000346E5">
            <w:pPr>
              <w:jc w:val="both"/>
              <w:rPr>
                <w:rFonts w:cs="Times New Roman"/>
                <w:sz w:val="24"/>
                <w:szCs w:val="28"/>
              </w:rPr>
            </w:pPr>
            <w:r w:rsidRPr="002B136D">
              <w:rPr>
                <w:rFonts w:cs="Times New Roman"/>
                <w:sz w:val="24"/>
                <w:szCs w:val="28"/>
              </w:rPr>
              <w:t>20</w:t>
            </w:r>
            <w:r w:rsidRPr="002B136D">
              <w:rPr>
                <w:rFonts w:cs="Times New Roman"/>
                <w:sz w:val="24"/>
                <w:szCs w:val="28"/>
                <w:lang w:val="en-US"/>
              </w:rPr>
              <w:t xml:space="preserve"> (7</w:t>
            </w:r>
            <w:r w:rsidRPr="002B136D">
              <w:rPr>
                <w:rFonts w:cs="Times New Roman"/>
                <w:sz w:val="24"/>
                <w:szCs w:val="28"/>
              </w:rPr>
              <w:t>4</w:t>
            </w:r>
            <w:r w:rsidRPr="002B136D">
              <w:rPr>
                <w:rFonts w:cs="Times New Roman"/>
                <w:sz w:val="24"/>
                <w:szCs w:val="28"/>
                <w:lang w:val="en-US"/>
              </w:rPr>
              <w:t>)</w:t>
            </w:r>
          </w:p>
        </w:tc>
        <w:tc>
          <w:tcPr>
            <w:tcW w:w="903" w:type="pct"/>
          </w:tcPr>
          <w:p w14:paraId="13CC1B1B" w14:textId="530E1360" w:rsidR="000346E5" w:rsidRPr="002B136D" w:rsidRDefault="000346E5" w:rsidP="000346E5">
            <w:pPr>
              <w:jc w:val="both"/>
              <w:rPr>
                <w:rFonts w:cs="Times New Roman"/>
                <w:sz w:val="24"/>
                <w:szCs w:val="28"/>
              </w:rPr>
            </w:pPr>
            <w:r w:rsidRPr="002B136D">
              <w:rPr>
                <w:rFonts w:cs="Times New Roman"/>
                <w:sz w:val="24"/>
                <w:szCs w:val="28"/>
                <w:lang w:val="kk-KZ"/>
              </w:rPr>
              <w:t>5</w:t>
            </w:r>
            <w:r w:rsidRPr="002B136D">
              <w:rPr>
                <w:rFonts w:cs="Times New Roman"/>
                <w:sz w:val="24"/>
                <w:szCs w:val="28"/>
                <w:lang w:val="en-US"/>
              </w:rPr>
              <w:t xml:space="preserve"> (</w:t>
            </w:r>
            <w:r w:rsidRPr="002B136D">
              <w:rPr>
                <w:rFonts w:cs="Times New Roman"/>
                <w:sz w:val="24"/>
                <w:szCs w:val="28"/>
                <w:lang w:val="kk-KZ"/>
              </w:rPr>
              <w:t>29,4</w:t>
            </w:r>
            <w:r w:rsidRPr="002B136D">
              <w:rPr>
                <w:rFonts w:cs="Times New Roman"/>
                <w:sz w:val="24"/>
                <w:szCs w:val="28"/>
                <w:lang w:val="en-US"/>
              </w:rPr>
              <w:t>)</w:t>
            </w:r>
          </w:p>
        </w:tc>
        <w:tc>
          <w:tcPr>
            <w:tcW w:w="486" w:type="pct"/>
          </w:tcPr>
          <w:p w14:paraId="18389B8D" w14:textId="0BDD67FD" w:rsidR="000346E5" w:rsidRPr="002B136D" w:rsidRDefault="000346E5" w:rsidP="000346E5">
            <w:pPr>
              <w:jc w:val="both"/>
              <w:rPr>
                <w:rFonts w:cs="Times New Roman"/>
                <w:sz w:val="24"/>
                <w:szCs w:val="28"/>
                <w:lang w:val="en-US"/>
              </w:rPr>
            </w:pPr>
            <w:r w:rsidRPr="002B136D">
              <w:rPr>
                <w:rFonts w:ascii="Calibri" w:hAnsi="Calibri" w:cs="Calibri"/>
                <w:sz w:val="24"/>
                <w:szCs w:val="28"/>
                <w:lang w:val="en-US"/>
              </w:rPr>
              <w:t>&lt;</w:t>
            </w:r>
            <w:r w:rsidRPr="002B136D">
              <w:rPr>
                <w:rFonts w:ascii="Calibri" w:hAnsi="Calibri" w:cs="Calibri"/>
                <w:sz w:val="24"/>
                <w:szCs w:val="28"/>
              </w:rPr>
              <w:t xml:space="preserve"> </w:t>
            </w:r>
            <w:r w:rsidRPr="002B136D">
              <w:rPr>
                <w:rFonts w:cs="Times New Roman"/>
                <w:sz w:val="24"/>
                <w:szCs w:val="28"/>
                <w:lang w:val="en-US"/>
              </w:rPr>
              <w:t>0.01*</w:t>
            </w:r>
          </w:p>
        </w:tc>
      </w:tr>
      <w:tr w:rsidR="000346E5" w:rsidRPr="002B136D" w14:paraId="7765C0E0" w14:textId="77777777" w:rsidTr="000346E5">
        <w:trPr>
          <w:trHeight w:val="300"/>
        </w:trPr>
        <w:tc>
          <w:tcPr>
            <w:tcW w:w="1643" w:type="pct"/>
            <w:hideMark/>
          </w:tcPr>
          <w:p w14:paraId="6F6E5FD6" w14:textId="77777777" w:rsidR="000346E5" w:rsidRPr="002B136D" w:rsidRDefault="000346E5" w:rsidP="000346E5">
            <w:pPr>
              <w:tabs>
                <w:tab w:val="left" w:pos="210"/>
              </w:tabs>
              <w:jc w:val="both"/>
              <w:rPr>
                <w:rFonts w:cs="Times New Roman"/>
                <w:sz w:val="24"/>
                <w:szCs w:val="28"/>
              </w:rPr>
            </w:pPr>
            <w:bookmarkStart w:id="7" w:name="_Hlk102553154"/>
            <w:r w:rsidRPr="002B136D">
              <w:rPr>
                <w:rFonts w:cs="Times New Roman"/>
                <w:sz w:val="24"/>
                <w:szCs w:val="28"/>
              </w:rPr>
              <w:t>Время появления симптомов ЭОП, (месяцы)</w:t>
            </w:r>
          </w:p>
        </w:tc>
        <w:tc>
          <w:tcPr>
            <w:tcW w:w="924" w:type="pct"/>
            <w:hideMark/>
          </w:tcPr>
          <w:p w14:paraId="785F7EEA" w14:textId="77777777" w:rsidR="000346E5" w:rsidRPr="002B136D" w:rsidRDefault="000346E5" w:rsidP="000346E5">
            <w:pPr>
              <w:jc w:val="both"/>
              <w:rPr>
                <w:rFonts w:cs="Times New Roman"/>
                <w:sz w:val="24"/>
                <w:szCs w:val="28"/>
              </w:rPr>
            </w:pPr>
            <w:r w:rsidRPr="002B136D">
              <w:rPr>
                <w:rFonts w:cs="Times New Roman"/>
                <w:sz w:val="24"/>
                <w:szCs w:val="28"/>
              </w:rPr>
              <w:t>25±15,8</w:t>
            </w:r>
          </w:p>
        </w:tc>
        <w:tc>
          <w:tcPr>
            <w:tcW w:w="1044" w:type="pct"/>
            <w:hideMark/>
          </w:tcPr>
          <w:p w14:paraId="0294BFB0" w14:textId="77777777" w:rsidR="000346E5" w:rsidRPr="002B136D" w:rsidRDefault="000346E5" w:rsidP="000346E5">
            <w:pPr>
              <w:jc w:val="both"/>
              <w:rPr>
                <w:rFonts w:cs="Times New Roman"/>
                <w:sz w:val="24"/>
                <w:szCs w:val="28"/>
              </w:rPr>
            </w:pPr>
            <w:r w:rsidRPr="002B136D">
              <w:rPr>
                <w:rFonts w:cs="Times New Roman"/>
                <w:sz w:val="24"/>
                <w:szCs w:val="28"/>
              </w:rPr>
              <w:t>20±11,7</w:t>
            </w:r>
          </w:p>
        </w:tc>
        <w:tc>
          <w:tcPr>
            <w:tcW w:w="903" w:type="pct"/>
            <w:hideMark/>
          </w:tcPr>
          <w:p w14:paraId="1F8A6CF9" w14:textId="77777777" w:rsidR="000346E5" w:rsidRPr="002B136D" w:rsidRDefault="000346E5" w:rsidP="000346E5">
            <w:pPr>
              <w:jc w:val="both"/>
              <w:rPr>
                <w:rFonts w:cs="Times New Roman"/>
                <w:sz w:val="24"/>
                <w:szCs w:val="28"/>
              </w:rPr>
            </w:pPr>
            <w:r w:rsidRPr="002B136D">
              <w:rPr>
                <w:rFonts w:cs="Times New Roman"/>
                <w:sz w:val="24"/>
                <w:szCs w:val="28"/>
              </w:rPr>
              <w:t>-</w:t>
            </w:r>
          </w:p>
        </w:tc>
        <w:tc>
          <w:tcPr>
            <w:tcW w:w="486" w:type="pct"/>
          </w:tcPr>
          <w:p w14:paraId="1C83627B" w14:textId="47EAFA00" w:rsidR="000346E5" w:rsidRPr="002B136D" w:rsidRDefault="000346E5" w:rsidP="000346E5">
            <w:pPr>
              <w:jc w:val="both"/>
              <w:rPr>
                <w:rFonts w:cs="Times New Roman"/>
                <w:sz w:val="24"/>
                <w:szCs w:val="28"/>
                <w:lang w:val="en-US"/>
              </w:rPr>
            </w:pPr>
            <w:r w:rsidRPr="002B136D">
              <w:rPr>
                <w:rFonts w:ascii="Calibri" w:hAnsi="Calibri" w:cs="Calibri"/>
                <w:sz w:val="24"/>
                <w:szCs w:val="28"/>
                <w:lang w:val="en-US"/>
              </w:rPr>
              <w:t>&lt;</w:t>
            </w:r>
            <w:r w:rsidRPr="002B136D">
              <w:rPr>
                <w:rFonts w:ascii="Calibri" w:hAnsi="Calibri" w:cs="Calibri"/>
                <w:sz w:val="24"/>
                <w:szCs w:val="28"/>
              </w:rPr>
              <w:t xml:space="preserve"> </w:t>
            </w:r>
            <w:r w:rsidRPr="002B136D">
              <w:rPr>
                <w:rFonts w:cs="Times New Roman"/>
                <w:sz w:val="24"/>
                <w:szCs w:val="28"/>
                <w:lang w:val="en-US"/>
              </w:rPr>
              <w:t>0.05*</w:t>
            </w:r>
          </w:p>
        </w:tc>
      </w:tr>
      <w:tr w:rsidR="000346E5" w:rsidRPr="002B136D" w14:paraId="671B4CF4" w14:textId="77777777" w:rsidTr="000346E5">
        <w:trPr>
          <w:trHeight w:val="300"/>
        </w:trPr>
        <w:tc>
          <w:tcPr>
            <w:tcW w:w="1643" w:type="pct"/>
          </w:tcPr>
          <w:p w14:paraId="48F52C8B" w14:textId="53660CCF" w:rsidR="000346E5" w:rsidRPr="002B136D" w:rsidRDefault="000346E5" w:rsidP="000346E5">
            <w:pPr>
              <w:tabs>
                <w:tab w:val="left" w:pos="210"/>
              </w:tabs>
              <w:jc w:val="both"/>
              <w:rPr>
                <w:rFonts w:cs="Times New Roman"/>
                <w:sz w:val="24"/>
                <w:szCs w:val="28"/>
              </w:rPr>
            </w:pPr>
            <w:r w:rsidRPr="002B136D">
              <w:rPr>
                <w:rFonts w:cs="Times New Roman"/>
                <w:sz w:val="24"/>
                <w:szCs w:val="28"/>
              </w:rPr>
              <w:t>Курение,</w:t>
            </w:r>
            <w:r w:rsidRPr="002B136D">
              <w:rPr>
                <w:rFonts w:cs="Times New Roman"/>
                <w:sz w:val="24"/>
                <w:szCs w:val="28"/>
                <w:lang w:val="en-US"/>
              </w:rPr>
              <w:t xml:space="preserve"> n (%)</w:t>
            </w:r>
          </w:p>
        </w:tc>
        <w:tc>
          <w:tcPr>
            <w:tcW w:w="924" w:type="pct"/>
          </w:tcPr>
          <w:p w14:paraId="00BAA1CC" w14:textId="77777777" w:rsidR="000346E5" w:rsidRPr="002B136D" w:rsidRDefault="000346E5" w:rsidP="000346E5">
            <w:pPr>
              <w:jc w:val="both"/>
              <w:rPr>
                <w:rFonts w:cs="Times New Roman"/>
                <w:sz w:val="24"/>
                <w:szCs w:val="28"/>
              </w:rPr>
            </w:pPr>
          </w:p>
        </w:tc>
        <w:tc>
          <w:tcPr>
            <w:tcW w:w="1044" w:type="pct"/>
          </w:tcPr>
          <w:p w14:paraId="12DDC5A9" w14:textId="77777777" w:rsidR="000346E5" w:rsidRPr="002B136D" w:rsidRDefault="000346E5" w:rsidP="000346E5">
            <w:pPr>
              <w:jc w:val="both"/>
              <w:rPr>
                <w:rFonts w:cs="Times New Roman"/>
                <w:sz w:val="24"/>
                <w:szCs w:val="28"/>
              </w:rPr>
            </w:pPr>
          </w:p>
        </w:tc>
        <w:tc>
          <w:tcPr>
            <w:tcW w:w="903" w:type="pct"/>
          </w:tcPr>
          <w:p w14:paraId="60F4A0DC" w14:textId="77777777" w:rsidR="000346E5" w:rsidRPr="002B136D" w:rsidRDefault="000346E5" w:rsidP="000346E5">
            <w:pPr>
              <w:jc w:val="both"/>
              <w:rPr>
                <w:rFonts w:cs="Times New Roman"/>
                <w:sz w:val="24"/>
                <w:szCs w:val="28"/>
              </w:rPr>
            </w:pPr>
          </w:p>
        </w:tc>
        <w:tc>
          <w:tcPr>
            <w:tcW w:w="486" w:type="pct"/>
          </w:tcPr>
          <w:p w14:paraId="23CC13AB" w14:textId="77777777" w:rsidR="000346E5" w:rsidRPr="002B136D" w:rsidRDefault="000346E5" w:rsidP="000346E5">
            <w:pPr>
              <w:jc w:val="both"/>
              <w:rPr>
                <w:rFonts w:cs="Times New Roman"/>
                <w:sz w:val="24"/>
                <w:szCs w:val="28"/>
                <w:lang w:val="en-US"/>
              </w:rPr>
            </w:pPr>
          </w:p>
        </w:tc>
      </w:tr>
      <w:tr w:rsidR="000346E5" w:rsidRPr="002B136D" w14:paraId="34BE6E67" w14:textId="77777777" w:rsidTr="000346E5">
        <w:trPr>
          <w:trHeight w:val="300"/>
        </w:trPr>
        <w:tc>
          <w:tcPr>
            <w:tcW w:w="1643" w:type="pct"/>
          </w:tcPr>
          <w:p w14:paraId="738D529F" w14:textId="41739AE2" w:rsidR="000346E5" w:rsidRPr="002B136D" w:rsidRDefault="000346E5" w:rsidP="000346E5">
            <w:pPr>
              <w:tabs>
                <w:tab w:val="left" w:pos="210"/>
              </w:tabs>
              <w:jc w:val="center"/>
              <w:rPr>
                <w:rFonts w:cs="Times New Roman"/>
                <w:sz w:val="24"/>
                <w:szCs w:val="28"/>
              </w:rPr>
            </w:pPr>
            <w:r w:rsidRPr="002B136D">
              <w:rPr>
                <w:rFonts w:cs="Times New Roman"/>
                <w:sz w:val="24"/>
                <w:szCs w:val="28"/>
              </w:rPr>
              <w:t>Некурящие</w:t>
            </w:r>
          </w:p>
        </w:tc>
        <w:tc>
          <w:tcPr>
            <w:tcW w:w="924" w:type="pct"/>
          </w:tcPr>
          <w:p w14:paraId="0FA78B03" w14:textId="563704D6" w:rsidR="000346E5" w:rsidRPr="002B136D" w:rsidRDefault="000346E5" w:rsidP="000346E5">
            <w:pPr>
              <w:tabs>
                <w:tab w:val="left" w:pos="1389"/>
              </w:tabs>
              <w:jc w:val="both"/>
              <w:rPr>
                <w:rFonts w:cs="Times New Roman"/>
                <w:sz w:val="24"/>
                <w:szCs w:val="28"/>
              </w:rPr>
            </w:pPr>
            <w:r w:rsidRPr="002B136D">
              <w:rPr>
                <w:rFonts w:cs="Times New Roman"/>
                <w:sz w:val="24"/>
                <w:szCs w:val="28"/>
              </w:rPr>
              <w:t>9 (20,9)</w:t>
            </w:r>
            <w:r w:rsidRPr="002B136D">
              <w:rPr>
                <w:rFonts w:cs="Times New Roman"/>
                <w:sz w:val="24"/>
                <w:szCs w:val="28"/>
              </w:rPr>
              <w:tab/>
            </w:r>
          </w:p>
        </w:tc>
        <w:tc>
          <w:tcPr>
            <w:tcW w:w="1044" w:type="pct"/>
          </w:tcPr>
          <w:p w14:paraId="298C9F46" w14:textId="1A7D6DDC" w:rsidR="000346E5" w:rsidRPr="002B136D" w:rsidRDefault="000346E5" w:rsidP="000346E5">
            <w:pPr>
              <w:jc w:val="both"/>
              <w:rPr>
                <w:rFonts w:cs="Times New Roman"/>
                <w:sz w:val="24"/>
                <w:szCs w:val="28"/>
              </w:rPr>
            </w:pPr>
            <w:r w:rsidRPr="002B136D">
              <w:rPr>
                <w:rFonts w:cs="Times New Roman"/>
                <w:sz w:val="24"/>
                <w:szCs w:val="28"/>
              </w:rPr>
              <w:t>19</w:t>
            </w:r>
            <w:r w:rsidRPr="002B136D">
              <w:rPr>
                <w:rFonts w:cs="Times New Roman"/>
                <w:sz w:val="24"/>
                <w:szCs w:val="28"/>
                <w:lang w:val="en-US"/>
              </w:rPr>
              <w:t xml:space="preserve"> (</w:t>
            </w:r>
            <w:r w:rsidRPr="002B136D">
              <w:rPr>
                <w:rFonts w:cs="Times New Roman"/>
                <w:sz w:val="24"/>
                <w:szCs w:val="28"/>
              </w:rPr>
              <w:t>70</w:t>
            </w:r>
            <w:r w:rsidRPr="002B136D">
              <w:rPr>
                <w:rFonts w:cs="Times New Roman"/>
                <w:sz w:val="24"/>
                <w:szCs w:val="28"/>
                <w:lang w:val="en-US"/>
              </w:rPr>
              <w:t>)</w:t>
            </w:r>
          </w:p>
        </w:tc>
        <w:tc>
          <w:tcPr>
            <w:tcW w:w="903" w:type="pct"/>
          </w:tcPr>
          <w:p w14:paraId="12C70837" w14:textId="38D55503" w:rsidR="000346E5" w:rsidRPr="002B136D" w:rsidRDefault="000346E5" w:rsidP="000346E5">
            <w:pPr>
              <w:jc w:val="both"/>
              <w:rPr>
                <w:rFonts w:cs="Times New Roman"/>
                <w:sz w:val="24"/>
                <w:szCs w:val="28"/>
              </w:rPr>
            </w:pPr>
            <w:r w:rsidRPr="002B136D">
              <w:rPr>
                <w:rFonts w:cs="Times New Roman"/>
                <w:sz w:val="24"/>
                <w:szCs w:val="28"/>
                <w:lang w:val="kk-KZ"/>
              </w:rPr>
              <w:t>6</w:t>
            </w:r>
            <w:r w:rsidRPr="002B136D">
              <w:rPr>
                <w:rFonts w:cs="Times New Roman"/>
                <w:sz w:val="24"/>
                <w:szCs w:val="28"/>
                <w:lang w:val="en-US"/>
              </w:rPr>
              <w:t xml:space="preserve"> (</w:t>
            </w:r>
            <w:r w:rsidRPr="002B136D">
              <w:rPr>
                <w:rFonts w:cs="Times New Roman"/>
                <w:sz w:val="24"/>
                <w:szCs w:val="28"/>
              </w:rPr>
              <w:t>3</w:t>
            </w:r>
            <w:r w:rsidRPr="002B136D">
              <w:rPr>
                <w:rFonts w:cs="Times New Roman"/>
                <w:sz w:val="24"/>
                <w:szCs w:val="28"/>
                <w:lang w:val="kk-KZ"/>
              </w:rPr>
              <w:t>5</w:t>
            </w:r>
            <w:r w:rsidRPr="002B136D">
              <w:rPr>
                <w:rFonts w:cs="Times New Roman"/>
                <w:sz w:val="24"/>
                <w:szCs w:val="28"/>
                <w:lang w:val="en-US"/>
              </w:rPr>
              <w:t>)</w:t>
            </w:r>
          </w:p>
        </w:tc>
        <w:tc>
          <w:tcPr>
            <w:tcW w:w="486" w:type="pct"/>
          </w:tcPr>
          <w:p w14:paraId="7892D9E7" w14:textId="78C75F06" w:rsidR="000346E5" w:rsidRPr="002B136D" w:rsidRDefault="000346E5" w:rsidP="000346E5">
            <w:pPr>
              <w:jc w:val="both"/>
              <w:rPr>
                <w:rFonts w:cs="Times New Roman"/>
                <w:sz w:val="24"/>
                <w:szCs w:val="28"/>
                <w:lang w:val="en-US"/>
              </w:rPr>
            </w:pPr>
            <w:r w:rsidRPr="002B136D">
              <w:rPr>
                <w:rFonts w:ascii="Calibri" w:hAnsi="Calibri" w:cs="Calibri"/>
                <w:sz w:val="24"/>
                <w:szCs w:val="28"/>
                <w:lang w:val="en-US"/>
              </w:rPr>
              <w:t>&lt;</w:t>
            </w:r>
            <w:r w:rsidRPr="002B136D">
              <w:rPr>
                <w:rFonts w:ascii="Calibri" w:hAnsi="Calibri" w:cs="Calibri"/>
                <w:sz w:val="24"/>
                <w:szCs w:val="28"/>
              </w:rPr>
              <w:t xml:space="preserve"> </w:t>
            </w:r>
            <w:r w:rsidRPr="002B136D">
              <w:rPr>
                <w:rFonts w:cs="Times New Roman"/>
                <w:sz w:val="24"/>
                <w:szCs w:val="28"/>
                <w:lang w:val="en-US"/>
              </w:rPr>
              <w:t>0.01*</w:t>
            </w:r>
          </w:p>
        </w:tc>
      </w:tr>
      <w:tr w:rsidR="000346E5" w:rsidRPr="002B136D" w14:paraId="4C8B0911" w14:textId="77777777" w:rsidTr="000346E5">
        <w:trPr>
          <w:trHeight w:val="300"/>
        </w:trPr>
        <w:tc>
          <w:tcPr>
            <w:tcW w:w="1643" w:type="pct"/>
          </w:tcPr>
          <w:p w14:paraId="0570F708" w14:textId="0C70383C" w:rsidR="000346E5" w:rsidRPr="002B136D" w:rsidRDefault="000346E5" w:rsidP="000346E5">
            <w:pPr>
              <w:tabs>
                <w:tab w:val="left" w:pos="210"/>
              </w:tabs>
              <w:jc w:val="center"/>
              <w:rPr>
                <w:rFonts w:cs="Times New Roman"/>
                <w:sz w:val="24"/>
                <w:szCs w:val="28"/>
              </w:rPr>
            </w:pPr>
            <w:r w:rsidRPr="002B136D">
              <w:rPr>
                <w:rFonts w:cs="Times New Roman"/>
                <w:sz w:val="24"/>
                <w:szCs w:val="28"/>
              </w:rPr>
              <w:t>Курящие</w:t>
            </w:r>
          </w:p>
        </w:tc>
        <w:tc>
          <w:tcPr>
            <w:tcW w:w="924" w:type="pct"/>
          </w:tcPr>
          <w:p w14:paraId="59C1B11E" w14:textId="10B2FB6C" w:rsidR="000346E5" w:rsidRPr="002B136D" w:rsidRDefault="000346E5" w:rsidP="000346E5">
            <w:pPr>
              <w:jc w:val="both"/>
              <w:rPr>
                <w:rFonts w:cs="Times New Roman"/>
                <w:sz w:val="24"/>
                <w:szCs w:val="28"/>
              </w:rPr>
            </w:pPr>
            <w:r w:rsidRPr="002B136D">
              <w:rPr>
                <w:rFonts w:cs="Times New Roman"/>
                <w:sz w:val="24"/>
                <w:szCs w:val="28"/>
              </w:rPr>
              <w:t>34</w:t>
            </w:r>
            <w:r w:rsidRPr="002B136D">
              <w:rPr>
                <w:rFonts w:cs="Times New Roman"/>
                <w:sz w:val="24"/>
                <w:szCs w:val="28"/>
                <w:lang w:val="en-US"/>
              </w:rPr>
              <w:t xml:space="preserve"> (</w:t>
            </w:r>
            <w:r w:rsidRPr="002B136D">
              <w:rPr>
                <w:rFonts w:cs="Times New Roman"/>
                <w:sz w:val="24"/>
                <w:szCs w:val="28"/>
              </w:rPr>
              <w:t>79,1</w:t>
            </w:r>
            <w:r w:rsidRPr="002B136D">
              <w:rPr>
                <w:rFonts w:cs="Times New Roman"/>
                <w:sz w:val="24"/>
                <w:szCs w:val="28"/>
                <w:lang w:val="en-US"/>
              </w:rPr>
              <w:t>)</w:t>
            </w:r>
          </w:p>
        </w:tc>
        <w:tc>
          <w:tcPr>
            <w:tcW w:w="1044" w:type="pct"/>
          </w:tcPr>
          <w:p w14:paraId="76B4A31D" w14:textId="5E28163B" w:rsidR="000346E5" w:rsidRPr="002B136D" w:rsidRDefault="000346E5" w:rsidP="000346E5">
            <w:pPr>
              <w:jc w:val="both"/>
              <w:rPr>
                <w:rFonts w:cs="Times New Roman"/>
                <w:sz w:val="24"/>
                <w:szCs w:val="28"/>
              </w:rPr>
            </w:pPr>
            <w:r w:rsidRPr="002B136D">
              <w:rPr>
                <w:rFonts w:cs="Times New Roman"/>
                <w:sz w:val="24"/>
                <w:szCs w:val="28"/>
              </w:rPr>
              <w:t>8</w:t>
            </w:r>
            <w:r w:rsidRPr="002B136D">
              <w:rPr>
                <w:rFonts w:cs="Times New Roman"/>
                <w:sz w:val="24"/>
                <w:szCs w:val="28"/>
                <w:lang w:val="en-US"/>
              </w:rPr>
              <w:t xml:space="preserve"> (</w:t>
            </w:r>
            <w:r w:rsidRPr="002B136D">
              <w:rPr>
                <w:rFonts w:cs="Times New Roman"/>
                <w:sz w:val="24"/>
                <w:szCs w:val="28"/>
              </w:rPr>
              <w:t>30</w:t>
            </w:r>
            <w:r w:rsidRPr="002B136D">
              <w:rPr>
                <w:rFonts w:cs="Times New Roman"/>
                <w:sz w:val="24"/>
                <w:szCs w:val="28"/>
                <w:lang w:val="en-US"/>
              </w:rPr>
              <w:t>)</w:t>
            </w:r>
          </w:p>
        </w:tc>
        <w:tc>
          <w:tcPr>
            <w:tcW w:w="903" w:type="pct"/>
          </w:tcPr>
          <w:p w14:paraId="0AE279DD" w14:textId="015B4D4A" w:rsidR="000346E5" w:rsidRPr="002B136D" w:rsidRDefault="000346E5" w:rsidP="000346E5">
            <w:pPr>
              <w:jc w:val="both"/>
              <w:rPr>
                <w:rFonts w:cs="Times New Roman"/>
                <w:sz w:val="24"/>
                <w:szCs w:val="28"/>
              </w:rPr>
            </w:pPr>
            <w:r w:rsidRPr="002B136D">
              <w:rPr>
                <w:rFonts w:cs="Times New Roman"/>
                <w:sz w:val="24"/>
                <w:szCs w:val="28"/>
                <w:lang w:val="kk-KZ"/>
              </w:rPr>
              <w:t>11</w:t>
            </w:r>
            <w:r w:rsidRPr="002B136D">
              <w:rPr>
                <w:rFonts w:cs="Times New Roman"/>
                <w:sz w:val="24"/>
                <w:szCs w:val="28"/>
                <w:lang w:val="en-US"/>
              </w:rPr>
              <w:t xml:space="preserve"> (</w:t>
            </w:r>
            <w:r w:rsidRPr="002B136D">
              <w:rPr>
                <w:rFonts w:cs="Times New Roman"/>
                <w:sz w:val="24"/>
                <w:szCs w:val="28"/>
              </w:rPr>
              <w:t>6</w:t>
            </w:r>
            <w:r w:rsidRPr="002B136D">
              <w:rPr>
                <w:rFonts w:cs="Times New Roman"/>
                <w:sz w:val="24"/>
                <w:szCs w:val="28"/>
                <w:lang w:val="kk-KZ"/>
              </w:rPr>
              <w:t>5</w:t>
            </w:r>
            <w:r w:rsidRPr="002B136D">
              <w:rPr>
                <w:rFonts w:cs="Times New Roman"/>
                <w:sz w:val="24"/>
                <w:szCs w:val="28"/>
                <w:lang w:val="en-US"/>
              </w:rPr>
              <w:t>)</w:t>
            </w:r>
          </w:p>
        </w:tc>
        <w:tc>
          <w:tcPr>
            <w:tcW w:w="486" w:type="pct"/>
          </w:tcPr>
          <w:p w14:paraId="2D69BD2C" w14:textId="1C8D6E26" w:rsidR="000346E5" w:rsidRPr="002B136D" w:rsidRDefault="000346E5" w:rsidP="000346E5">
            <w:pPr>
              <w:jc w:val="both"/>
              <w:rPr>
                <w:rFonts w:cs="Times New Roman"/>
                <w:sz w:val="24"/>
                <w:szCs w:val="28"/>
                <w:lang w:val="en-US"/>
              </w:rPr>
            </w:pPr>
            <w:r w:rsidRPr="002B136D">
              <w:rPr>
                <w:rFonts w:ascii="Calibri" w:hAnsi="Calibri" w:cs="Calibri"/>
                <w:sz w:val="24"/>
                <w:szCs w:val="28"/>
                <w:lang w:val="en-US"/>
              </w:rPr>
              <w:t>&lt;</w:t>
            </w:r>
            <w:r w:rsidRPr="002B136D">
              <w:rPr>
                <w:rFonts w:ascii="Calibri" w:hAnsi="Calibri" w:cs="Calibri"/>
                <w:sz w:val="24"/>
                <w:szCs w:val="28"/>
              </w:rPr>
              <w:t xml:space="preserve"> </w:t>
            </w:r>
            <w:r w:rsidRPr="002B136D">
              <w:rPr>
                <w:rFonts w:cs="Times New Roman"/>
                <w:sz w:val="24"/>
                <w:szCs w:val="28"/>
                <w:lang w:val="en-US"/>
              </w:rPr>
              <w:t>0.01*</w:t>
            </w:r>
          </w:p>
        </w:tc>
      </w:tr>
      <w:bookmarkEnd w:id="7"/>
    </w:tbl>
    <w:p w14:paraId="5B8CBE8A" w14:textId="77777777" w:rsidR="000346E5" w:rsidRDefault="000346E5" w:rsidP="00AE1B94">
      <w:pPr>
        <w:spacing w:after="0" w:line="240" w:lineRule="auto"/>
        <w:ind w:firstLine="709"/>
        <w:contextualSpacing/>
        <w:jc w:val="both"/>
        <w:rPr>
          <w:rFonts w:cs="Times New Roman"/>
          <w:b/>
          <w:szCs w:val="28"/>
        </w:rPr>
      </w:pPr>
    </w:p>
    <w:p w14:paraId="4806BC80" w14:textId="1FA7320F" w:rsidR="00474239" w:rsidRPr="002B136D" w:rsidRDefault="00474239" w:rsidP="000346E5">
      <w:pPr>
        <w:spacing w:after="0" w:line="240" w:lineRule="auto"/>
        <w:ind w:firstLine="567"/>
        <w:contextualSpacing/>
        <w:jc w:val="both"/>
        <w:rPr>
          <w:rFonts w:cs="Times New Roman"/>
          <w:szCs w:val="28"/>
        </w:rPr>
      </w:pPr>
      <w:r w:rsidRPr="002B136D">
        <w:rPr>
          <w:rFonts w:cs="Times New Roman"/>
          <w:szCs w:val="28"/>
        </w:rPr>
        <w:t>Применение антит</w:t>
      </w:r>
      <w:r w:rsidR="00F218B4" w:rsidRPr="002B136D">
        <w:rPr>
          <w:rFonts w:cs="Times New Roman"/>
          <w:szCs w:val="28"/>
        </w:rPr>
        <w:t xml:space="preserve">иреоидных препаратов </w:t>
      </w:r>
      <w:r w:rsidR="0067708D">
        <w:rPr>
          <w:rFonts w:cs="Times New Roman"/>
          <w:szCs w:val="28"/>
        </w:rPr>
        <w:t xml:space="preserve">(таблица </w:t>
      </w:r>
      <w:r w:rsidR="00F218B4" w:rsidRPr="002B136D">
        <w:rPr>
          <w:rFonts w:cs="Times New Roman"/>
          <w:szCs w:val="28"/>
        </w:rPr>
        <w:t>1</w:t>
      </w:r>
      <w:r w:rsidR="0076161A">
        <w:rPr>
          <w:rFonts w:cs="Times New Roman"/>
          <w:szCs w:val="28"/>
        </w:rPr>
        <w:t>3</w:t>
      </w:r>
      <w:r w:rsidRPr="002B136D">
        <w:rPr>
          <w:rFonts w:cs="Times New Roman"/>
          <w:szCs w:val="28"/>
        </w:rPr>
        <w:t xml:space="preserve">) было более распространено среди пациентов с активной ЭОП (56%) по сравнению с неактивной ЭОП (31%), </w:t>
      </w:r>
      <w:proofErr w:type="gramStart"/>
      <w:r w:rsidRPr="002B136D">
        <w:rPr>
          <w:rFonts w:cs="Times New Roman"/>
          <w:szCs w:val="28"/>
        </w:rPr>
        <w:t>с</w:t>
      </w:r>
      <w:proofErr w:type="gramEnd"/>
      <w:r w:rsidRPr="002B136D">
        <w:rPr>
          <w:rFonts w:cs="Times New Roman"/>
          <w:szCs w:val="28"/>
        </w:rPr>
        <w:t xml:space="preserve"> статистической значимостью (p=0.03). Это может свидетельствовать о том, что в активной фазе ЭОП чаще требуется коррекция гипертиреоидного состояния.</w:t>
      </w:r>
    </w:p>
    <w:p w14:paraId="03BFBFBA" w14:textId="1E96E4B8" w:rsidR="00474239" w:rsidRPr="002B136D" w:rsidRDefault="00474239" w:rsidP="000346E5">
      <w:pPr>
        <w:spacing w:after="0" w:line="240" w:lineRule="auto"/>
        <w:ind w:firstLine="567"/>
        <w:contextualSpacing/>
        <w:jc w:val="both"/>
        <w:rPr>
          <w:rFonts w:cs="Times New Roman"/>
          <w:szCs w:val="28"/>
        </w:rPr>
      </w:pPr>
      <w:r w:rsidRPr="002B136D">
        <w:rPr>
          <w:rFonts w:cs="Times New Roman"/>
          <w:szCs w:val="28"/>
        </w:rPr>
        <w:t>Лечение L-тироксином также чаще встречалос</w:t>
      </w:r>
      <w:r w:rsidR="008B5B2D" w:rsidRPr="002B136D">
        <w:rPr>
          <w:rFonts w:cs="Times New Roman"/>
          <w:szCs w:val="28"/>
        </w:rPr>
        <w:t xml:space="preserve">ь у пациентов </w:t>
      </w:r>
      <w:proofErr w:type="gramStart"/>
      <w:r w:rsidR="008B5B2D" w:rsidRPr="002B136D">
        <w:rPr>
          <w:rFonts w:cs="Times New Roman"/>
          <w:szCs w:val="28"/>
        </w:rPr>
        <w:t>с</w:t>
      </w:r>
      <w:proofErr w:type="gramEnd"/>
      <w:r w:rsidR="008B5B2D" w:rsidRPr="002B136D">
        <w:rPr>
          <w:rFonts w:cs="Times New Roman"/>
          <w:szCs w:val="28"/>
        </w:rPr>
        <w:t xml:space="preserve"> активной ЭОП (67%) против неактивной ЭОП (37</w:t>
      </w:r>
      <w:r w:rsidRPr="002B136D">
        <w:rPr>
          <w:rFonts w:cs="Times New Roman"/>
          <w:szCs w:val="28"/>
        </w:rPr>
        <w:t>%), с</w:t>
      </w:r>
      <w:r w:rsidR="008B5B2D" w:rsidRPr="002B136D">
        <w:rPr>
          <w:rFonts w:cs="Times New Roman"/>
          <w:szCs w:val="28"/>
        </w:rPr>
        <w:t>о</w:t>
      </w:r>
      <w:r w:rsidRPr="002B136D">
        <w:rPr>
          <w:rFonts w:cs="Times New Roman"/>
          <w:szCs w:val="28"/>
        </w:rPr>
        <w:t xml:space="preserve"> </w:t>
      </w:r>
      <w:r w:rsidR="008B5B2D" w:rsidRPr="002B136D">
        <w:rPr>
          <w:rFonts w:cs="Times New Roman"/>
          <w:szCs w:val="28"/>
        </w:rPr>
        <w:t xml:space="preserve">статической </w:t>
      </w:r>
      <w:r w:rsidRPr="002B136D">
        <w:rPr>
          <w:rFonts w:cs="Times New Roman"/>
          <w:szCs w:val="28"/>
        </w:rPr>
        <w:t>значимостью (p=0.0</w:t>
      </w:r>
      <w:r w:rsidR="008B5B2D" w:rsidRPr="002B136D">
        <w:rPr>
          <w:rFonts w:cs="Times New Roman"/>
          <w:szCs w:val="28"/>
        </w:rPr>
        <w:t>4</w:t>
      </w:r>
      <w:r w:rsidRPr="002B136D">
        <w:rPr>
          <w:rFonts w:cs="Times New Roman"/>
          <w:szCs w:val="28"/>
        </w:rPr>
        <w:t>). Это подчеркивает роль тиреоидной функции в активности ЭОП и возможную необходимость поддерживающей гормональной терапии для стабилизации гормонального фона.</w:t>
      </w:r>
    </w:p>
    <w:p w14:paraId="7FE64AC5" w14:textId="77777777" w:rsidR="00474239" w:rsidRPr="002B136D" w:rsidRDefault="00474239" w:rsidP="000346E5">
      <w:pPr>
        <w:spacing w:after="0" w:line="240" w:lineRule="auto"/>
        <w:ind w:firstLine="567"/>
        <w:contextualSpacing/>
        <w:jc w:val="both"/>
        <w:rPr>
          <w:rFonts w:cs="Times New Roman"/>
          <w:szCs w:val="28"/>
        </w:rPr>
      </w:pPr>
      <w:proofErr w:type="gramStart"/>
      <w:r w:rsidRPr="002B136D">
        <w:rPr>
          <w:rFonts w:cs="Times New Roman"/>
          <w:szCs w:val="28"/>
        </w:rPr>
        <w:t>Уровни тиреотропного гормона (ТТГ) были слегка выше у пациентов с активной ЭОП (1,18 ± 3,11 мкМЕ/мл) по сравнению с неактивной ЭОП (0,79 ± 1,51 мкМЕ/мл), однако различие было на грани статистической значимости (p=0.05).</w:t>
      </w:r>
      <w:proofErr w:type="gramEnd"/>
      <w:r w:rsidRPr="002B136D">
        <w:rPr>
          <w:rFonts w:cs="Times New Roman"/>
          <w:szCs w:val="28"/>
        </w:rPr>
        <w:t xml:space="preserve"> Это может отражать динамику изменения уровня ТТГ в контексте активности заболевания.</w:t>
      </w:r>
    </w:p>
    <w:p w14:paraId="7125B2CB" w14:textId="77777777" w:rsidR="00474239" w:rsidRPr="002B136D" w:rsidRDefault="00474239" w:rsidP="000346E5">
      <w:pPr>
        <w:spacing w:after="0" w:line="240" w:lineRule="auto"/>
        <w:ind w:firstLine="567"/>
        <w:contextualSpacing/>
        <w:jc w:val="both"/>
        <w:rPr>
          <w:rFonts w:cs="Times New Roman"/>
          <w:szCs w:val="28"/>
        </w:rPr>
      </w:pPr>
      <w:r w:rsidRPr="002B136D">
        <w:rPr>
          <w:rFonts w:cs="Times New Roman"/>
          <w:szCs w:val="28"/>
        </w:rPr>
        <w:t>Концентрация трийодтиронина (Т3) и свободного тироксина (Т</w:t>
      </w:r>
      <w:proofErr w:type="gramStart"/>
      <w:r w:rsidRPr="002B136D">
        <w:rPr>
          <w:rFonts w:cs="Times New Roman"/>
          <w:szCs w:val="28"/>
        </w:rPr>
        <w:t>4</w:t>
      </w:r>
      <w:proofErr w:type="gramEnd"/>
      <w:r w:rsidRPr="002B136D">
        <w:rPr>
          <w:rFonts w:cs="Times New Roman"/>
          <w:szCs w:val="28"/>
        </w:rPr>
        <w:t>) не показала статистически значимых различий между активной и неактивной группами ЭОП (p=0.32 и p=0.71 соответственно), что указывает на стабильность этих параметров независимо от стадии заболевания.</w:t>
      </w:r>
    </w:p>
    <w:p w14:paraId="60B72CD2" w14:textId="77777777" w:rsidR="00474239" w:rsidRPr="002B136D" w:rsidRDefault="00474239" w:rsidP="000346E5">
      <w:pPr>
        <w:spacing w:after="0" w:line="240" w:lineRule="auto"/>
        <w:ind w:firstLine="567"/>
        <w:contextualSpacing/>
        <w:jc w:val="both"/>
        <w:rPr>
          <w:rFonts w:cs="Times New Roman"/>
          <w:szCs w:val="28"/>
        </w:rPr>
      </w:pPr>
      <w:r w:rsidRPr="002B136D">
        <w:rPr>
          <w:rFonts w:cs="Times New Roman"/>
          <w:szCs w:val="28"/>
        </w:rPr>
        <w:t>Уровни антител к тиреотропному гормону (ТТГ), анализируемые как маркер аутоиммунного процесса при ЭОП, также не показали значимых различий (p=0.86), что может свидетельствовать о сложности связи антител с активностью ЭОП.</w:t>
      </w:r>
    </w:p>
    <w:p w14:paraId="5884ECF5" w14:textId="0D96BA4F" w:rsidR="007B646B" w:rsidRPr="002B136D" w:rsidRDefault="00474239" w:rsidP="000346E5">
      <w:pPr>
        <w:spacing w:after="0" w:line="240" w:lineRule="auto"/>
        <w:ind w:firstLine="567"/>
        <w:contextualSpacing/>
        <w:jc w:val="both"/>
        <w:rPr>
          <w:rFonts w:cs="Times New Roman"/>
          <w:szCs w:val="28"/>
        </w:rPr>
      </w:pPr>
      <w:proofErr w:type="gramStart"/>
      <w:r w:rsidRPr="002B136D">
        <w:rPr>
          <w:rFonts w:cs="Times New Roman"/>
          <w:szCs w:val="28"/>
        </w:rPr>
        <w:t>Клиническая активность ЭОП, оцененная по шкале от 0 до 6, была значительно выше у группы с активной ЭОП (4,14 ± 1,54) по сравнению с неактивной ЭОП (0.5±0,3), с высокой статистической значимостью (p=0.001).</w:t>
      </w:r>
      <w:proofErr w:type="gramEnd"/>
      <w:r w:rsidRPr="002B136D">
        <w:rPr>
          <w:rFonts w:cs="Times New Roman"/>
          <w:szCs w:val="28"/>
        </w:rPr>
        <w:t xml:space="preserve"> Это подтверждает надежность шкалы CAS в качестве инструмента для оценки активности ЭОП и показывает необходимость тщательного клинического мониторинга для таких пациентов.</w:t>
      </w:r>
    </w:p>
    <w:p w14:paraId="30FC1FEC" w14:textId="77777777" w:rsidR="00AE1B94" w:rsidRPr="002B136D" w:rsidRDefault="00AE1B94" w:rsidP="00AE1B94">
      <w:pPr>
        <w:spacing w:after="0" w:line="240" w:lineRule="auto"/>
        <w:ind w:firstLine="709"/>
        <w:contextualSpacing/>
        <w:jc w:val="both"/>
        <w:rPr>
          <w:rFonts w:cs="Times New Roman"/>
          <w:szCs w:val="28"/>
        </w:rPr>
      </w:pPr>
    </w:p>
    <w:p w14:paraId="0574B726" w14:textId="77777777" w:rsidR="000346E5" w:rsidRDefault="000346E5" w:rsidP="000346E5">
      <w:pPr>
        <w:spacing w:after="0" w:line="240" w:lineRule="auto"/>
        <w:contextualSpacing/>
        <w:jc w:val="both"/>
        <w:rPr>
          <w:rFonts w:cs="Times New Roman"/>
          <w:b/>
          <w:szCs w:val="28"/>
        </w:rPr>
      </w:pPr>
      <w:r>
        <w:rPr>
          <w:rFonts w:cs="Times New Roman"/>
          <w:b/>
          <w:szCs w:val="28"/>
        </w:rPr>
        <w:br w:type="page"/>
      </w:r>
    </w:p>
    <w:p w14:paraId="2859886B" w14:textId="4038FC14" w:rsidR="007B646B" w:rsidRPr="000346E5" w:rsidRDefault="00825C0A" w:rsidP="000346E5">
      <w:pPr>
        <w:spacing w:after="0" w:line="240" w:lineRule="auto"/>
        <w:contextualSpacing/>
        <w:jc w:val="both"/>
        <w:rPr>
          <w:rFonts w:cs="Times New Roman"/>
          <w:bCs/>
          <w:szCs w:val="28"/>
        </w:rPr>
      </w:pPr>
      <w:r w:rsidRPr="000346E5">
        <w:rPr>
          <w:rFonts w:cs="Times New Roman"/>
          <w:bCs/>
          <w:szCs w:val="28"/>
        </w:rPr>
        <w:lastRenderedPageBreak/>
        <w:t>Таблица 1</w:t>
      </w:r>
      <w:r w:rsidR="0076161A">
        <w:rPr>
          <w:rFonts w:cs="Times New Roman"/>
          <w:bCs/>
          <w:szCs w:val="28"/>
        </w:rPr>
        <w:t>3</w:t>
      </w:r>
      <w:r w:rsidR="000346E5" w:rsidRPr="000346E5">
        <w:rPr>
          <w:rFonts w:cs="Times New Roman"/>
          <w:bCs/>
          <w:szCs w:val="28"/>
        </w:rPr>
        <w:t xml:space="preserve"> -</w:t>
      </w:r>
      <w:r w:rsidR="00474239" w:rsidRPr="000346E5">
        <w:rPr>
          <w:rFonts w:cs="Times New Roman"/>
          <w:bCs/>
          <w:szCs w:val="28"/>
        </w:rPr>
        <w:t xml:space="preserve"> Анализ данных о применение антитиреоидных препаратов в исследуемых группах</w:t>
      </w:r>
    </w:p>
    <w:p w14:paraId="1EE0225D" w14:textId="77777777" w:rsidR="000346E5" w:rsidRPr="002B136D" w:rsidRDefault="000346E5" w:rsidP="000346E5">
      <w:pPr>
        <w:spacing w:after="0" w:line="240" w:lineRule="auto"/>
        <w:contextualSpacing/>
        <w:jc w:val="both"/>
        <w:rPr>
          <w:rFonts w:cs="Times New Roman"/>
          <w:b/>
          <w:szCs w:val="28"/>
        </w:rPr>
      </w:pPr>
    </w:p>
    <w:tbl>
      <w:tblPr>
        <w:tblStyle w:val="ac"/>
        <w:tblW w:w="4891" w:type="pct"/>
        <w:tblInd w:w="108" w:type="dxa"/>
        <w:tblLook w:val="04A0" w:firstRow="1" w:lastRow="0" w:firstColumn="1" w:lastColumn="0" w:noHBand="0" w:noVBand="1"/>
      </w:tblPr>
      <w:tblGrid>
        <w:gridCol w:w="3168"/>
        <w:gridCol w:w="1783"/>
        <w:gridCol w:w="2013"/>
        <w:gridCol w:w="1402"/>
        <w:gridCol w:w="1274"/>
      </w:tblGrid>
      <w:tr w:rsidR="00D51D40" w:rsidRPr="002B136D" w14:paraId="2D66209D" w14:textId="77777777" w:rsidTr="000346E5">
        <w:trPr>
          <w:trHeight w:val="278"/>
        </w:trPr>
        <w:tc>
          <w:tcPr>
            <w:tcW w:w="1643" w:type="pct"/>
            <w:vMerge w:val="restart"/>
            <w:hideMark/>
          </w:tcPr>
          <w:p w14:paraId="6C37CFA0" w14:textId="77777777" w:rsidR="007B646B" w:rsidRPr="002B136D" w:rsidRDefault="007B646B" w:rsidP="00AE1B94">
            <w:pPr>
              <w:contextualSpacing/>
              <w:jc w:val="both"/>
              <w:rPr>
                <w:rFonts w:cs="Times New Roman"/>
                <w:bCs/>
                <w:sz w:val="24"/>
                <w:szCs w:val="28"/>
              </w:rPr>
            </w:pPr>
            <w:r w:rsidRPr="002B136D">
              <w:rPr>
                <w:rFonts w:cs="Times New Roman"/>
                <w:sz w:val="24"/>
                <w:szCs w:val="28"/>
              </w:rPr>
              <w:t>Характеристики</w:t>
            </w:r>
            <w:r w:rsidRPr="002B136D">
              <w:rPr>
                <w:rFonts w:cs="Times New Roman"/>
                <w:bCs/>
                <w:sz w:val="24"/>
                <w:szCs w:val="28"/>
              </w:rPr>
              <w:t>,</w:t>
            </w:r>
            <w:r w:rsidRPr="002B136D">
              <w:rPr>
                <w:rFonts w:cs="Times New Roman"/>
                <w:sz w:val="24"/>
                <w:szCs w:val="28"/>
              </w:rPr>
              <w:t xml:space="preserve"> </w:t>
            </w:r>
            <w:r w:rsidRPr="002B136D">
              <w:rPr>
                <w:rFonts w:cs="Times New Roman"/>
                <w:sz w:val="24"/>
                <w:szCs w:val="28"/>
                <w:lang w:val="en-US"/>
              </w:rPr>
              <w:t>mean</w:t>
            </w:r>
            <w:r w:rsidRPr="002B136D">
              <w:rPr>
                <w:rFonts w:cs="Times New Roman"/>
                <w:sz w:val="24"/>
                <w:szCs w:val="28"/>
              </w:rPr>
              <w:t>+</w:t>
            </w:r>
            <w:r w:rsidRPr="002B136D">
              <w:rPr>
                <w:rFonts w:cs="Times New Roman"/>
                <w:sz w:val="24"/>
                <w:szCs w:val="28"/>
                <w:lang w:val="en-US"/>
              </w:rPr>
              <w:t>SD</w:t>
            </w:r>
          </w:p>
        </w:tc>
        <w:tc>
          <w:tcPr>
            <w:tcW w:w="2696" w:type="pct"/>
            <w:gridSpan w:val="3"/>
            <w:hideMark/>
          </w:tcPr>
          <w:p w14:paraId="342525C3" w14:textId="77777777" w:rsidR="007B646B" w:rsidRPr="002B136D" w:rsidRDefault="007B646B" w:rsidP="00AE1B94">
            <w:pPr>
              <w:contextualSpacing/>
              <w:jc w:val="both"/>
              <w:rPr>
                <w:rFonts w:cs="Times New Roman"/>
                <w:bCs/>
                <w:sz w:val="24"/>
                <w:szCs w:val="28"/>
              </w:rPr>
            </w:pPr>
            <w:r w:rsidRPr="002B136D">
              <w:rPr>
                <w:rFonts w:cs="Times New Roman"/>
                <w:bCs/>
                <w:sz w:val="24"/>
                <w:szCs w:val="28"/>
              </w:rPr>
              <w:t>Группы</w:t>
            </w:r>
          </w:p>
        </w:tc>
        <w:tc>
          <w:tcPr>
            <w:tcW w:w="661" w:type="pct"/>
            <w:vMerge w:val="restart"/>
          </w:tcPr>
          <w:p w14:paraId="10266E67" w14:textId="77777777" w:rsidR="007B646B" w:rsidRPr="002B136D" w:rsidRDefault="007B646B" w:rsidP="00AE1B94">
            <w:pPr>
              <w:contextualSpacing/>
              <w:jc w:val="both"/>
              <w:rPr>
                <w:rFonts w:cs="Times New Roman"/>
                <w:bCs/>
                <w:sz w:val="24"/>
                <w:szCs w:val="28"/>
                <w:lang w:val="en-US"/>
              </w:rPr>
            </w:pPr>
            <w:r w:rsidRPr="002B136D">
              <w:rPr>
                <w:rFonts w:cs="Times New Roman"/>
                <w:bCs/>
                <w:sz w:val="24"/>
                <w:szCs w:val="28"/>
                <w:lang w:val="en-US"/>
              </w:rPr>
              <w:t>p</w:t>
            </w:r>
          </w:p>
        </w:tc>
      </w:tr>
      <w:tr w:rsidR="00D51D40" w:rsidRPr="002B136D" w14:paraId="3E858383" w14:textId="77777777" w:rsidTr="000346E5">
        <w:trPr>
          <w:trHeight w:val="277"/>
        </w:trPr>
        <w:tc>
          <w:tcPr>
            <w:tcW w:w="1643" w:type="pct"/>
            <w:vMerge/>
          </w:tcPr>
          <w:p w14:paraId="41FDED8B" w14:textId="77777777" w:rsidR="007B646B" w:rsidRPr="002B136D" w:rsidRDefault="007B646B" w:rsidP="00AE1B94">
            <w:pPr>
              <w:contextualSpacing/>
              <w:jc w:val="both"/>
              <w:rPr>
                <w:rFonts w:cs="Times New Roman"/>
                <w:bCs/>
                <w:sz w:val="24"/>
                <w:szCs w:val="28"/>
              </w:rPr>
            </w:pPr>
          </w:p>
        </w:tc>
        <w:tc>
          <w:tcPr>
            <w:tcW w:w="925" w:type="pct"/>
          </w:tcPr>
          <w:p w14:paraId="458EC46A" w14:textId="6F8CBDE8" w:rsidR="007B646B" w:rsidRPr="002B136D" w:rsidRDefault="007B646B" w:rsidP="00AE1B94">
            <w:pPr>
              <w:contextualSpacing/>
              <w:jc w:val="both"/>
              <w:rPr>
                <w:rFonts w:cs="Times New Roman"/>
                <w:bCs/>
                <w:sz w:val="24"/>
                <w:szCs w:val="28"/>
              </w:rPr>
            </w:pPr>
            <w:r w:rsidRPr="002B136D">
              <w:rPr>
                <w:rFonts w:cs="Times New Roman"/>
                <w:bCs/>
                <w:sz w:val="24"/>
                <w:szCs w:val="28"/>
              </w:rPr>
              <w:t>Активная ЭОП (</w:t>
            </w:r>
            <w:r w:rsidRPr="002B136D">
              <w:rPr>
                <w:rFonts w:cs="Times New Roman"/>
                <w:bCs/>
                <w:sz w:val="24"/>
                <w:szCs w:val="28"/>
                <w:lang w:val="en-US"/>
              </w:rPr>
              <w:t>n</w:t>
            </w:r>
            <w:r w:rsidR="00C82952" w:rsidRPr="002B136D">
              <w:rPr>
                <w:rFonts w:cs="Times New Roman"/>
                <w:bCs/>
                <w:sz w:val="24"/>
                <w:szCs w:val="28"/>
              </w:rPr>
              <w:t>-43</w:t>
            </w:r>
            <w:r w:rsidRPr="002B136D">
              <w:rPr>
                <w:rFonts w:cs="Times New Roman"/>
                <w:bCs/>
                <w:sz w:val="24"/>
                <w:szCs w:val="28"/>
              </w:rPr>
              <w:t>)</w:t>
            </w:r>
          </w:p>
        </w:tc>
        <w:tc>
          <w:tcPr>
            <w:tcW w:w="1044" w:type="pct"/>
          </w:tcPr>
          <w:p w14:paraId="1111E4F6" w14:textId="77777777" w:rsidR="007B646B" w:rsidRPr="002B136D" w:rsidRDefault="007B646B" w:rsidP="00AE1B94">
            <w:pPr>
              <w:contextualSpacing/>
              <w:jc w:val="both"/>
              <w:rPr>
                <w:rFonts w:cs="Times New Roman"/>
                <w:bCs/>
                <w:sz w:val="24"/>
                <w:szCs w:val="28"/>
              </w:rPr>
            </w:pPr>
            <w:r w:rsidRPr="002B136D">
              <w:rPr>
                <w:rFonts w:cs="Times New Roman"/>
                <w:bCs/>
                <w:sz w:val="24"/>
                <w:szCs w:val="28"/>
              </w:rPr>
              <w:t>Неактивная ЭОП</w:t>
            </w:r>
          </w:p>
          <w:p w14:paraId="76896BA9" w14:textId="6B77F620" w:rsidR="007B646B" w:rsidRPr="002B136D" w:rsidRDefault="007B646B" w:rsidP="00AE1B94">
            <w:pPr>
              <w:contextualSpacing/>
              <w:jc w:val="both"/>
              <w:rPr>
                <w:rFonts w:cs="Times New Roman"/>
                <w:bCs/>
                <w:sz w:val="24"/>
                <w:szCs w:val="28"/>
              </w:rPr>
            </w:pPr>
            <w:r w:rsidRPr="002B136D">
              <w:rPr>
                <w:rFonts w:cs="Times New Roman"/>
                <w:bCs/>
                <w:sz w:val="24"/>
                <w:szCs w:val="28"/>
              </w:rPr>
              <w:t>(</w:t>
            </w:r>
            <w:r w:rsidRPr="002B136D">
              <w:rPr>
                <w:rFonts w:cs="Times New Roman"/>
                <w:bCs/>
                <w:sz w:val="24"/>
                <w:szCs w:val="28"/>
                <w:lang w:val="en-US"/>
              </w:rPr>
              <w:t>n</w:t>
            </w:r>
            <w:r w:rsidR="00C82952" w:rsidRPr="002B136D">
              <w:rPr>
                <w:rFonts w:cs="Times New Roman"/>
                <w:bCs/>
                <w:sz w:val="24"/>
                <w:szCs w:val="28"/>
              </w:rPr>
              <w:t>-27</w:t>
            </w:r>
            <w:r w:rsidRPr="002B136D">
              <w:rPr>
                <w:rFonts w:cs="Times New Roman"/>
                <w:bCs/>
                <w:sz w:val="24"/>
                <w:szCs w:val="28"/>
              </w:rPr>
              <w:t>)</w:t>
            </w:r>
          </w:p>
        </w:tc>
        <w:tc>
          <w:tcPr>
            <w:tcW w:w="727" w:type="pct"/>
          </w:tcPr>
          <w:p w14:paraId="10F41860" w14:textId="77777777" w:rsidR="007B646B" w:rsidRPr="002B136D" w:rsidRDefault="007B646B" w:rsidP="00AE1B94">
            <w:pPr>
              <w:contextualSpacing/>
              <w:jc w:val="both"/>
              <w:rPr>
                <w:rFonts w:cs="Times New Roman"/>
                <w:bCs/>
                <w:sz w:val="24"/>
                <w:szCs w:val="28"/>
              </w:rPr>
            </w:pPr>
            <w:r w:rsidRPr="002B136D">
              <w:rPr>
                <w:rFonts w:cs="Times New Roman"/>
                <w:bCs/>
                <w:sz w:val="24"/>
                <w:szCs w:val="28"/>
              </w:rPr>
              <w:t>Контроль</w:t>
            </w:r>
          </w:p>
          <w:p w14:paraId="7F57D697" w14:textId="3A6A05EB" w:rsidR="007B646B" w:rsidRPr="002B136D" w:rsidRDefault="007B646B" w:rsidP="00AE1B94">
            <w:pPr>
              <w:contextualSpacing/>
              <w:jc w:val="both"/>
              <w:rPr>
                <w:rFonts w:cs="Times New Roman"/>
                <w:bCs/>
                <w:sz w:val="24"/>
                <w:szCs w:val="28"/>
              </w:rPr>
            </w:pPr>
            <w:r w:rsidRPr="002B136D">
              <w:rPr>
                <w:rFonts w:cs="Times New Roman"/>
                <w:bCs/>
                <w:sz w:val="24"/>
                <w:szCs w:val="28"/>
              </w:rPr>
              <w:t>(</w:t>
            </w:r>
            <w:r w:rsidRPr="002B136D">
              <w:rPr>
                <w:rFonts w:cs="Times New Roman"/>
                <w:bCs/>
                <w:sz w:val="24"/>
                <w:szCs w:val="28"/>
                <w:lang w:val="en-US"/>
              </w:rPr>
              <w:t>n</w:t>
            </w:r>
            <w:r w:rsidR="000B27B6" w:rsidRPr="002B136D">
              <w:rPr>
                <w:rFonts w:cs="Times New Roman"/>
                <w:bCs/>
                <w:sz w:val="24"/>
                <w:szCs w:val="28"/>
              </w:rPr>
              <w:t>-</w:t>
            </w:r>
            <w:r w:rsidR="000B27B6" w:rsidRPr="002B136D">
              <w:rPr>
                <w:rFonts w:cs="Times New Roman"/>
                <w:bCs/>
                <w:sz w:val="24"/>
                <w:szCs w:val="28"/>
                <w:lang w:val="en-US"/>
              </w:rPr>
              <w:t>17</w:t>
            </w:r>
            <w:r w:rsidRPr="002B136D">
              <w:rPr>
                <w:rFonts w:cs="Times New Roman"/>
                <w:bCs/>
                <w:sz w:val="24"/>
                <w:szCs w:val="28"/>
              </w:rPr>
              <w:t>)</w:t>
            </w:r>
          </w:p>
        </w:tc>
        <w:tc>
          <w:tcPr>
            <w:tcW w:w="661" w:type="pct"/>
            <w:vMerge/>
          </w:tcPr>
          <w:p w14:paraId="67D05624" w14:textId="77777777" w:rsidR="007B646B" w:rsidRPr="002B136D" w:rsidRDefault="007B646B" w:rsidP="00AE1B94">
            <w:pPr>
              <w:contextualSpacing/>
              <w:jc w:val="both"/>
              <w:rPr>
                <w:rFonts w:cs="Times New Roman"/>
                <w:bCs/>
                <w:sz w:val="24"/>
                <w:szCs w:val="28"/>
                <w:lang w:val="en-US"/>
              </w:rPr>
            </w:pPr>
          </w:p>
        </w:tc>
      </w:tr>
      <w:tr w:rsidR="00D51D40" w:rsidRPr="002B136D" w14:paraId="6C7CAFBE" w14:textId="77777777" w:rsidTr="000346E5">
        <w:trPr>
          <w:trHeight w:val="540"/>
        </w:trPr>
        <w:tc>
          <w:tcPr>
            <w:tcW w:w="1643" w:type="pct"/>
            <w:hideMark/>
          </w:tcPr>
          <w:p w14:paraId="2140E18E" w14:textId="77777777" w:rsidR="007B646B" w:rsidRPr="002B136D" w:rsidRDefault="007B646B" w:rsidP="00AE1B94">
            <w:pPr>
              <w:contextualSpacing/>
              <w:jc w:val="both"/>
              <w:rPr>
                <w:rFonts w:cs="Times New Roman"/>
                <w:sz w:val="24"/>
                <w:szCs w:val="28"/>
              </w:rPr>
            </w:pPr>
            <w:r w:rsidRPr="002B136D">
              <w:rPr>
                <w:rFonts w:cs="Times New Roman"/>
                <w:sz w:val="24"/>
                <w:szCs w:val="28"/>
              </w:rPr>
              <w:t>Антитиреоидные препараты</w:t>
            </w:r>
            <w:r w:rsidRPr="002B136D">
              <w:rPr>
                <w:rFonts w:cs="Times New Roman"/>
                <w:sz w:val="24"/>
                <w:szCs w:val="28"/>
                <w:lang w:val="en-US"/>
              </w:rPr>
              <w:t>, n (%)</w:t>
            </w:r>
          </w:p>
        </w:tc>
        <w:tc>
          <w:tcPr>
            <w:tcW w:w="925" w:type="pct"/>
            <w:hideMark/>
          </w:tcPr>
          <w:p w14:paraId="5119D13D" w14:textId="2D32ADA5" w:rsidR="007B646B" w:rsidRPr="002B136D" w:rsidRDefault="0041163D" w:rsidP="00AE1B94">
            <w:pPr>
              <w:contextualSpacing/>
              <w:jc w:val="both"/>
              <w:rPr>
                <w:rFonts w:cs="Times New Roman"/>
                <w:sz w:val="24"/>
                <w:szCs w:val="28"/>
                <w:lang w:val="en-US"/>
              </w:rPr>
            </w:pPr>
            <w:r w:rsidRPr="002B136D">
              <w:rPr>
                <w:rFonts w:cs="Times New Roman"/>
                <w:sz w:val="24"/>
                <w:szCs w:val="28"/>
              </w:rPr>
              <w:t>29</w:t>
            </w:r>
            <w:r w:rsidR="0090161A" w:rsidRPr="002B136D">
              <w:rPr>
                <w:rFonts w:cs="Times New Roman"/>
                <w:sz w:val="24"/>
                <w:szCs w:val="28"/>
                <w:lang w:val="en-US"/>
              </w:rPr>
              <w:t>(</w:t>
            </w:r>
            <w:r w:rsidR="008B5B2D" w:rsidRPr="002B136D">
              <w:rPr>
                <w:rFonts w:cs="Times New Roman"/>
                <w:sz w:val="24"/>
                <w:szCs w:val="28"/>
              </w:rPr>
              <w:t>67,4</w:t>
            </w:r>
            <w:r w:rsidR="007B646B" w:rsidRPr="002B136D">
              <w:rPr>
                <w:rFonts w:cs="Times New Roman"/>
                <w:sz w:val="24"/>
                <w:szCs w:val="28"/>
                <w:lang w:val="en-US"/>
              </w:rPr>
              <w:t>)</w:t>
            </w:r>
          </w:p>
        </w:tc>
        <w:tc>
          <w:tcPr>
            <w:tcW w:w="1044" w:type="pct"/>
            <w:hideMark/>
          </w:tcPr>
          <w:p w14:paraId="667CE407" w14:textId="240532B4" w:rsidR="007B646B" w:rsidRPr="002B136D" w:rsidRDefault="008B5B2D" w:rsidP="00AE1B94">
            <w:pPr>
              <w:contextualSpacing/>
              <w:jc w:val="both"/>
              <w:rPr>
                <w:rFonts w:cs="Times New Roman"/>
                <w:sz w:val="24"/>
                <w:szCs w:val="28"/>
                <w:lang w:val="en-US"/>
              </w:rPr>
            </w:pPr>
            <w:r w:rsidRPr="002B136D">
              <w:rPr>
                <w:rFonts w:cs="Times New Roman"/>
                <w:sz w:val="24"/>
                <w:szCs w:val="28"/>
              </w:rPr>
              <w:t xml:space="preserve">10 </w:t>
            </w:r>
            <w:r w:rsidRPr="002B136D">
              <w:rPr>
                <w:rFonts w:cs="Times New Roman"/>
                <w:sz w:val="24"/>
                <w:szCs w:val="28"/>
                <w:lang w:val="en-US"/>
              </w:rPr>
              <w:t>(3</w:t>
            </w:r>
            <w:r w:rsidRPr="002B136D">
              <w:rPr>
                <w:rFonts w:cs="Times New Roman"/>
                <w:sz w:val="24"/>
                <w:szCs w:val="28"/>
              </w:rPr>
              <w:t>7</w:t>
            </w:r>
            <w:r w:rsidR="007B646B" w:rsidRPr="002B136D">
              <w:rPr>
                <w:rFonts w:cs="Times New Roman"/>
                <w:sz w:val="24"/>
                <w:szCs w:val="28"/>
                <w:lang w:val="en-US"/>
              </w:rPr>
              <w:t>)</w:t>
            </w:r>
          </w:p>
        </w:tc>
        <w:tc>
          <w:tcPr>
            <w:tcW w:w="727" w:type="pct"/>
            <w:hideMark/>
          </w:tcPr>
          <w:p w14:paraId="6044DCB3" w14:textId="77777777" w:rsidR="007B646B" w:rsidRPr="002B136D" w:rsidRDefault="007B646B" w:rsidP="00AE1B94">
            <w:pPr>
              <w:contextualSpacing/>
              <w:jc w:val="both"/>
              <w:rPr>
                <w:rFonts w:cs="Times New Roman"/>
                <w:sz w:val="24"/>
                <w:szCs w:val="28"/>
                <w:lang w:val="en-US"/>
              </w:rPr>
            </w:pPr>
            <w:r w:rsidRPr="002B136D">
              <w:rPr>
                <w:rFonts w:cs="Times New Roman"/>
                <w:sz w:val="24"/>
                <w:szCs w:val="28"/>
                <w:lang w:val="en-US"/>
              </w:rPr>
              <w:t>-</w:t>
            </w:r>
          </w:p>
        </w:tc>
        <w:tc>
          <w:tcPr>
            <w:tcW w:w="661" w:type="pct"/>
          </w:tcPr>
          <w:p w14:paraId="4CD3980B" w14:textId="4790E0DA" w:rsidR="007B646B" w:rsidRPr="002B136D" w:rsidRDefault="008B5B2D" w:rsidP="00AE1B94">
            <w:pPr>
              <w:contextualSpacing/>
              <w:jc w:val="both"/>
              <w:rPr>
                <w:rFonts w:cs="Times New Roman"/>
                <w:sz w:val="24"/>
                <w:szCs w:val="28"/>
                <w:lang w:val="en-US"/>
              </w:rPr>
            </w:pPr>
            <w:r w:rsidRPr="002B136D">
              <w:rPr>
                <w:rFonts w:cs="Times New Roman"/>
                <w:sz w:val="24"/>
                <w:szCs w:val="28"/>
                <w:lang w:val="en-US"/>
              </w:rPr>
              <w:t>0.0</w:t>
            </w:r>
            <w:r w:rsidRPr="002B136D">
              <w:rPr>
                <w:rFonts w:cs="Times New Roman"/>
                <w:sz w:val="24"/>
                <w:szCs w:val="28"/>
              </w:rPr>
              <w:t>4</w:t>
            </w:r>
            <w:r w:rsidR="007B646B" w:rsidRPr="002B136D">
              <w:rPr>
                <w:rFonts w:cs="Times New Roman"/>
                <w:sz w:val="24"/>
                <w:szCs w:val="28"/>
                <w:lang w:val="en-US"/>
              </w:rPr>
              <w:t>*</w:t>
            </w:r>
          </w:p>
        </w:tc>
      </w:tr>
      <w:tr w:rsidR="00D51D40" w:rsidRPr="002B136D" w14:paraId="440D7A33" w14:textId="77777777" w:rsidTr="000346E5">
        <w:trPr>
          <w:trHeight w:val="300"/>
        </w:trPr>
        <w:tc>
          <w:tcPr>
            <w:tcW w:w="1643" w:type="pct"/>
            <w:hideMark/>
          </w:tcPr>
          <w:p w14:paraId="0FBCB1E6" w14:textId="77777777" w:rsidR="00C82952" w:rsidRPr="002B136D" w:rsidRDefault="007B646B" w:rsidP="00AE1B94">
            <w:pPr>
              <w:contextualSpacing/>
              <w:jc w:val="both"/>
              <w:rPr>
                <w:rFonts w:cs="Times New Roman"/>
                <w:sz w:val="24"/>
                <w:szCs w:val="28"/>
              </w:rPr>
            </w:pPr>
            <w:r w:rsidRPr="002B136D">
              <w:rPr>
                <w:rFonts w:cs="Times New Roman"/>
                <w:sz w:val="24"/>
                <w:szCs w:val="28"/>
              </w:rPr>
              <w:t xml:space="preserve">Лечение </w:t>
            </w:r>
            <w:bookmarkStart w:id="8" w:name="_Hlk102553246"/>
            <w:r w:rsidRPr="002B136D">
              <w:rPr>
                <w:rFonts w:cs="Times New Roman"/>
                <w:sz w:val="24"/>
                <w:szCs w:val="28"/>
              </w:rPr>
              <w:t>L-тироксином</w:t>
            </w:r>
            <w:bookmarkEnd w:id="8"/>
            <w:r w:rsidR="00C82952" w:rsidRPr="002B136D">
              <w:rPr>
                <w:rFonts w:cs="Times New Roman"/>
                <w:sz w:val="24"/>
                <w:szCs w:val="28"/>
              </w:rPr>
              <w:t xml:space="preserve"> </w:t>
            </w:r>
          </w:p>
          <w:p w14:paraId="066EEC63" w14:textId="55016CB7" w:rsidR="007B646B" w:rsidRPr="002B136D" w:rsidRDefault="007B646B" w:rsidP="00AE1B94">
            <w:pPr>
              <w:contextualSpacing/>
              <w:jc w:val="both"/>
              <w:rPr>
                <w:rFonts w:cs="Times New Roman"/>
                <w:sz w:val="24"/>
                <w:szCs w:val="28"/>
              </w:rPr>
            </w:pPr>
            <w:proofErr w:type="gramStart"/>
            <w:r w:rsidRPr="002B136D">
              <w:rPr>
                <w:rFonts w:cs="Times New Roman"/>
                <w:sz w:val="24"/>
                <w:szCs w:val="28"/>
                <w:lang w:val="en-US"/>
              </w:rPr>
              <w:t>n</w:t>
            </w:r>
            <w:proofErr w:type="gramEnd"/>
            <w:r w:rsidRPr="002B136D">
              <w:rPr>
                <w:rFonts w:cs="Times New Roman"/>
                <w:sz w:val="24"/>
                <w:szCs w:val="28"/>
                <w:lang w:val="en-US"/>
              </w:rPr>
              <w:t xml:space="preserve"> (%)</w:t>
            </w:r>
          </w:p>
        </w:tc>
        <w:tc>
          <w:tcPr>
            <w:tcW w:w="925" w:type="pct"/>
            <w:hideMark/>
          </w:tcPr>
          <w:p w14:paraId="686F35DA" w14:textId="7EA0A759" w:rsidR="007B646B" w:rsidRPr="002B136D" w:rsidRDefault="0041163D" w:rsidP="00AE1B94">
            <w:pPr>
              <w:contextualSpacing/>
              <w:jc w:val="both"/>
              <w:rPr>
                <w:rFonts w:cs="Times New Roman"/>
                <w:sz w:val="24"/>
                <w:szCs w:val="28"/>
                <w:lang w:val="en-US"/>
              </w:rPr>
            </w:pPr>
            <w:r w:rsidRPr="002B136D">
              <w:rPr>
                <w:rFonts w:cs="Times New Roman"/>
                <w:sz w:val="24"/>
                <w:szCs w:val="28"/>
              </w:rPr>
              <w:t>18</w:t>
            </w:r>
            <w:r w:rsidR="008B5B2D" w:rsidRPr="002B136D">
              <w:rPr>
                <w:rFonts w:cs="Times New Roman"/>
                <w:sz w:val="24"/>
                <w:szCs w:val="28"/>
                <w:lang w:val="en-US"/>
              </w:rPr>
              <w:t xml:space="preserve"> (</w:t>
            </w:r>
            <w:r w:rsidR="008B5B2D" w:rsidRPr="002B136D">
              <w:rPr>
                <w:rFonts w:cs="Times New Roman"/>
                <w:sz w:val="24"/>
                <w:szCs w:val="28"/>
              </w:rPr>
              <w:t>32,6</w:t>
            </w:r>
            <w:r w:rsidR="007B646B" w:rsidRPr="002B136D">
              <w:rPr>
                <w:rFonts w:cs="Times New Roman"/>
                <w:sz w:val="24"/>
                <w:szCs w:val="28"/>
                <w:lang w:val="en-US"/>
              </w:rPr>
              <w:t>)</w:t>
            </w:r>
          </w:p>
        </w:tc>
        <w:tc>
          <w:tcPr>
            <w:tcW w:w="1044" w:type="pct"/>
            <w:hideMark/>
          </w:tcPr>
          <w:p w14:paraId="0D71ECA0" w14:textId="49B04237" w:rsidR="007B646B" w:rsidRPr="002B136D" w:rsidRDefault="00C82952" w:rsidP="00AE1B94">
            <w:pPr>
              <w:contextualSpacing/>
              <w:jc w:val="both"/>
              <w:rPr>
                <w:rFonts w:cs="Times New Roman"/>
                <w:sz w:val="24"/>
                <w:szCs w:val="28"/>
                <w:lang w:val="en-US"/>
              </w:rPr>
            </w:pPr>
            <w:r w:rsidRPr="002B136D">
              <w:rPr>
                <w:rFonts w:cs="Times New Roman"/>
                <w:sz w:val="24"/>
                <w:szCs w:val="28"/>
              </w:rPr>
              <w:t>1</w:t>
            </w:r>
            <w:r w:rsidR="008B5B2D" w:rsidRPr="002B136D">
              <w:rPr>
                <w:rFonts w:cs="Times New Roman"/>
                <w:sz w:val="24"/>
                <w:szCs w:val="28"/>
              </w:rPr>
              <w:t>7</w:t>
            </w:r>
            <w:r w:rsidRPr="002B136D">
              <w:rPr>
                <w:rFonts w:cs="Times New Roman"/>
                <w:sz w:val="24"/>
                <w:szCs w:val="28"/>
              </w:rPr>
              <w:t xml:space="preserve"> </w:t>
            </w:r>
            <w:r w:rsidRPr="002B136D">
              <w:rPr>
                <w:rFonts w:cs="Times New Roman"/>
                <w:sz w:val="24"/>
                <w:szCs w:val="28"/>
                <w:lang w:val="en-US"/>
              </w:rPr>
              <w:t>(</w:t>
            </w:r>
            <w:r w:rsidRPr="002B136D">
              <w:rPr>
                <w:rFonts w:cs="Times New Roman"/>
                <w:sz w:val="24"/>
                <w:szCs w:val="28"/>
              </w:rPr>
              <w:t>6</w:t>
            </w:r>
            <w:r w:rsidR="008B5B2D" w:rsidRPr="002B136D">
              <w:rPr>
                <w:rFonts w:cs="Times New Roman"/>
                <w:sz w:val="24"/>
                <w:szCs w:val="28"/>
              </w:rPr>
              <w:t>3</w:t>
            </w:r>
            <w:r w:rsidR="007B646B" w:rsidRPr="002B136D">
              <w:rPr>
                <w:rFonts w:cs="Times New Roman"/>
                <w:sz w:val="24"/>
                <w:szCs w:val="28"/>
                <w:lang w:val="en-US"/>
              </w:rPr>
              <w:t>)</w:t>
            </w:r>
          </w:p>
        </w:tc>
        <w:tc>
          <w:tcPr>
            <w:tcW w:w="727" w:type="pct"/>
            <w:hideMark/>
          </w:tcPr>
          <w:p w14:paraId="668F7656" w14:textId="77777777" w:rsidR="007B646B" w:rsidRPr="002B136D" w:rsidRDefault="007B646B" w:rsidP="00AE1B94">
            <w:pPr>
              <w:contextualSpacing/>
              <w:jc w:val="both"/>
              <w:rPr>
                <w:rFonts w:cs="Times New Roman"/>
                <w:sz w:val="24"/>
                <w:szCs w:val="28"/>
              </w:rPr>
            </w:pPr>
          </w:p>
        </w:tc>
        <w:tc>
          <w:tcPr>
            <w:tcW w:w="661" w:type="pct"/>
          </w:tcPr>
          <w:p w14:paraId="28BBB4A2" w14:textId="6282D399" w:rsidR="007B646B" w:rsidRPr="002B136D" w:rsidRDefault="008B5B2D" w:rsidP="00AE1B94">
            <w:pPr>
              <w:contextualSpacing/>
              <w:jc w:val="both"/>
              <w:rPr>
                <w:rFonts w:cs="Times New Roman"/>
                <w:sz w:val="24"/>
                <w:szCs w:val="28"/>
                <w:lang w:val="en-US"/>
              </w:rPr>
            </w:pPr>
            <w:r w:rsidRPr="002B136D">
              <w:rPr>
                <w:rFonts w:cs="Times New Roman"/>
                <w:sz w:val="24"/>
                <w:szCs w:val="28"/>
                <w:lang w:val="en-US"/>
              </w:rPr>
              <w:t>0.0</w:t>
            </w:r>
            <w:r w:rsidRPr="002B136D">
              <w:rPr>
                <w:rFonts w:cs="Times New Roman"/>
                <w:sz w:val="24"/>
                <w:szCs w:val="28"/>
              </w:rPr>
              <w:t>4</w:t>
            </w:r>
            <w:r w:rsidR="007B646B" w:rsidRPr="002B136D">
              <w:rPr>
                <w:rFonts w:cs="Times New Roman"/>
                <w:sz w:val="24"/>
                <w:szCs w:val="28"/>
                <w:lang w:val="en-US"/>
              </w:rPr>
              <w:t>*</w:t>
            </w:r>
          </w:p>
        </w:tc>
      </w:tr>
      <w:tr w:rsidR="00D51D40" w:rsidRPr="002B136D" w14:paraId="7990B7E7" w14:textId="77777777" w:rsidTr="000346E5">
        <w:tc>
          <w:tcPr>
            <w:tcW w:w="1643" w:type="pct"/>
            <w:hideMark/>
          </w:tcPr>
          <w:p w14:paraId="5415DE14" w14:textId="77777777" w:rsidR="007B646B" w:rsidRPr="002B136D" w:rsidRDefault="007B646B" w:rsidP="00AE1B94">
            <w:pPr>
              <w:contextualSpacing/>
              <w:jc w:val="both"/>
              <w:rPr>
                <w:rFonts w:cs="Times New Roman"/>
                <w:sz w:val="24"/>
                <w:szCs w:val="28"/>
              </w:rPr>
            </w:pPr>
            <w:r w:rsidRPr="002B136D">
              <w:rPr>
                <w:rFonts w:cs="Times New Roman"/>
                <w:sz w:val="24"/>
                <w:szCs w:val="28"/>
              </w:rPr>
              <w:t>Тиреотропный гормон (</w:t>
            </w:r>
            <w:bookmarkStart w:id="9" w:name="_Hlk102555097"/>
            <w:r w:rsidRPr="002B136D">
              <w:rPr>
                <w:rFonts w:cs="Times New Roman"/>
                <w:sz w:val="24"/>
                <w:szCs w:val="28"/>
              </w:rPr>
              <w:t>мкМЕ/мл</w:t>
            </w:r>
            <w:bookmarkEnd w:id="9"/>
            <w:r w:rsidRPr="002B136D">
              <w:rPr>
                <w:rFonts w:cs="Times New Roman"/>
                <w:sz w:val="24"/>
                <w:szCs w:val="28"/>
              </w:rPr>
              <w:t>)</w:t>
            </w:r>
          </w:p>
        </w:tc>
        <w:tc>
          <w:tcPr>
            <w:tcW w:w="925" w:type="pct"/>
            <w:hideMark/>
          </w:tcPr>
          <w:p w14:paraId="65F58027" w14:textId="77777777" w:rsidR="007B646B" w:rsidRPr="002B136D" w:rsidRDefault="007B646B" w:rsidP="00AE1B94">
            <w:pPr>
              <w:contextualSpacing/>
              <w:jc w:val="both"/>
              <w:rPr>
                <w:rFonts w:cs="Times New Roman"/>
                <w:sz w:val="24"/>
                <w:szCs w:val="28"/>
              </w:rPr>
            </w:pPr>
            <w:r w:rsidRPr="002B136D">
              <w:rPr>
                <w:rFonts w:cs="Times New Roman"/>
                <w:sz w:val="24"/>
                <w:szCs w:val="28"/>
              </w:rPr>
              <w:t xml:space="preserve">1,18 </w:t>
            </w:r>
            <w:bookmarkStart w:id="10" w:name="_Hlk102555086"/>
            <w:r w:rsidRPr="002B136D">
              <w:rPr>
                <w:rFonts w:cs="Times New Roman"/>
                <w:sz w:val="24"/>
                <w:szCs w:val="28"/>
              </w:rPr>
              <w:t>±</w:t>
            </w:r>
            <w:bookmarkEnd w:id="10"/>
            <w:r w:rsidRPr="002B136D">
              <w:rPr>
                <w:rFonts w:cs="Times New Roman"/>
                <w:sz w:val="24"/>
                <w:szCs w:val="28"/>
              </w:rPr>
              <w:t xml:space="preserve"> 3,11</w:t>
            </w:r>
          </w:p>
        </w:tc>
        <w:tc>
          <w:tcPr>
            <w:tcW w:w="1044" w:type="pct"/>
            <w:hideMark/>
          </w:tcPr>
          <w:p w14:paraId="16423EAC" w14:textId="77777777" w:rsidR="007B646B" w:rsidRPr="002B136D" w:rsidRDefault="007B646B" w:rsidP="00AE1B94">
            <w:pPr>
              <w:contextualSpacing/>
              <w:jc w:val="both"/>
              <w:rPr>
                <w:rFonts w:cs="Times New Roman"/>
                <w:sz w:val="24"/>
                <w:szCs w:val="28"/>
              </w:rPr>
            </w:pPr>
            <w:r w:rsidRPr="002B136D">
              <w:rPr>
                <w:rFonts w:cs="Times New Roman"/>
                <w:sz w:val="24"/>
                <w:szCs w:val="28"/>
              </w:rPr>
              <w:t>0,79 ± 1,51</w:t>
            </w:r>
          </w:p>
        </w:tc>
        <w:tc>
          <w:tcPr>
            <w:tcW w:w="727" w:type="pct"/>
            <w:hideMark/>
          </w:tcPr>
          <w:p w14:paraId="066B128C" w14:textId="77777777" w:rsidR="007B646B" w:rsidRPr="002B136D" w:rsidRDefault="007B646B" w:rsidP="00AE1B94">
            <w:pPr>
              <w:contextualSpacing/>
              <w:jc w:val="both"/>
              <w:rPr>
                <w:rFonts w:cs="Times New Roman"/>
                <w:sz w:val="24"/>
                <w:szCs w:val="28"/>
              </w:rPr>
            </w:pPr>
            <w:r w:rsidRPr="002B136D">
              <w:rPr>
                <w:rFonts w:cs="Times New Roman"/>
                <w:sz w:val="24"/>
                <w:szCs w:val="28"/>
              </w:rPr>
              <w:t>-</w:t>
            </w:r>
          </w:p>
        </w:tc>
        <w:tc>
          <w:tcPr>
            <w:tcW w:w="661" w:type="pct"/>
          </w:tcPr>
          <w:p w14:paraId="54B331F7" w14:textId="77777777" w:rsidR="007B646B" w:rsidRPr="002B136D" w:rsidRDefault="007B646B" w:rsidP="00AE1B94">
            <w:pPr>
              <w:contextualSpacing/>
              <w:jc w:val="both"/>
              <w:rPr>
                <w:rFonts w:cs="Times New Roman"/>
                <w:sz w:val="24"/>
                <w:szCs w:val="28"/>
                <w:lang w:val="en-US"/>
              </w:rPr>
            </w:pPr>
            <w:r w:rsidRPr="002B136D">
              <w:rPr>
                <w:rFonts w:cs="Times New Roman"/>
                <w:sz w:val="24"/>
                <w:szCs w:val="28"/>
                <w:lang w:val="en-US"/>
              </w:rPr>
              <w:t>0.05*</w:t>
            </w:r>
          </w:p>
        </w:tc>
      </w:tr>
      <w:tr w:rsidR="00D51D40" w:rsidRPr="002B136D" w14:paraId="1FD4CBF2" w14:textId="77777777" w:rsidTr="000346E5">
        <w:tc>
          <w:tcPr>
            <w:tcW w:w="1643" w:type="pct"/>
            <w:hideMark/>
          </w:tcPr>
          <w:p w14:paraId="3FEC1DB1" w14:textId="77777777" w:rsidR="007B646B" w:rsidRPr="002B136D" w:rsidRDefault="007B646B" w:rsidP="00AE1B94">
            <w:pPr>
              <w:contextualSpacing/>
              <w:jc w:val="both"/>
              <w:rPr>
                <w:rFonts w:cs="Times New Roman"/>
                <w:sz w:val="24"/>
                <w:szCs w:val="28"/>
              </w:rPr>
            </w:pPr>
            <w:r w:rsidRPr="002B136D">
              <w:rPr>
                <w:rFonts w:cs="Times New Roman"/>
                <w:sz w:val="24"/>
                <w:szCs w:val="28"/>
              </w:rPr>
              <w:t>Трийодтиронин (нг/мл)</w:t>
            </w:r>
          </w:p>
        </w:tc>
        <w:tc>
          <w:tcPr>
            <w:tcW w:w="925" w:type="pct"/>
            <w:hideMark/>
          </w:tcPr>
          <w:p w14:paraId="603BE40B" w14:textId="77777777" w:rsidR="007B646B" w:rsidRPr="002B136D" w:rsidRDefault="007B646B" w:rsidP="00AE1B94">
            <w:pPr>
              <w:contextualSpacing/>
              <w:jc w:val="both"/>
              <w:rPr>
                <w:rFonts w:cs="Times New Roman"/>
                <w:sz w:val="24"/>
                <w:szCs w:val="28"/>
              </w:rPr>
            </w:pPr>
            <w:r w:rsidRPr="002B136D">
              <w:rPr>
                <w:rFonts w:cs="Times New Roman"/>
                <w:sz w:val="24"/>
                <w:szCs w:val="28"/>
              </w:rPr>
              <w:t>1,97 ± 2,01</w:t>
            </w:r>
          </w:p>
        </w:tc>
        <w:tc>
          <w:tcPr>
            <w:tcW w:w="1044" w:type="pct"/>
            <w:hideMark/>
          </w:tcPr>
          <w:p w14:paraId="74A8648B" w14:textId="77777777" w:rsidR="007B646B" w:rsidRPr="002B136D" w:rsidRDefault="007B646B" w:rsidP="00AE1B94">
            <w:pPr>
              <w:contextualSpacing/>
              <w:jc w:val="both"/>
              <w:rPr>
                <w:rFonts w:cs="Times New Roman"/>
                <w:sz w:val="24"/>
                <w:szCs w:val="28"/>
              </w:rPr>
            </w:pPr>
            <w:r w:rsidRPr="002B136D">
              <w:rPr>
                <w:rFonts w:cs="Times New Roman"/>
                <w:sz w:val="24"/>
                <w:szCs w:val="28"/>
              </w:rPr>
              <w:t>2,16 ± 2,01</w:t>
            </w:r>
          </w:p>
        </w:tc>
        <w:tc>
          <w:tcPr>
            <w:tcW w:w="727" w:type="pct"/>
            <w:hideMark/>
          </w:tcPr>
          <w:p w14:paraId="7B260D92" w14:textId="77777777" w:rsidR="007B646B" w:rsidRPr="002B136D" w:rsidRDefault="007B646B" w:rsidP="00AE1B94">
            <w:pPr>
              <w:contextualSpacing/>
              <w:jc w:val="both"/>
              <w:rPr>
                <w:rFonts w:cs="Times New Roman"/>
                <w:sz w:val="24"/>
                <w:szCs w:val="28"/>
              </w:rPr>
            </w:pPr>
          </w:p>
        </w:tc>
        <w:tc>
          <w:tcPr>
            <w:tcW w:w="661" w:type="pct"/>
          </w:tcPr>
          <w:p w14:paraId="7DE39B96" w14:textId="77777777" w:rsidR="007B646B" w:rsidRPr="002B136D" w:rsidRDefault="007B646B" w:rsidP="00AE1B94">
            <w:pPr>
              <w:contextualSpacing/>
              <w:jc w:val="both"/>
              <w:rPr>
                <w:rFonts w:cs="Times New Roman"/>
                <w:sz w:val="24"/>
                <w:szCs w:val="28"/>
                <w:lang w:val="en-US"/>
              </w:rPr>
            </w:pPr>
            <w:r w:rsidRPr="002B136D">
              <w:rPr>
                <w:rFonts w:cs="Times New Roman"/>
                <w:sz w:val="24"/>
                <w:szCs w:val="28"/>
                <w:lang w:val="en-US"/>
              </w:rPr>
              <w:t>0.32</w:t>
            </w:r>
          </w:p>
        </w:tc>
      </w:tr>
      <w:tr w:rsidR="00D51D40" w:rsidRPr="002B136D" w14:paraId="01CA222C" w14:textId="77777777" w:rsidTr="000346E5">
        <w:tc>
          <w:tcPr>
            <w:tcW w:w="1643" w:type="pct"/>
            <w:hideMark/>
          </w:tcPr>
          <w:p w14:paraId="41A0BF88" w14:textId="77777777" w:rsidR="007B646B" w:rsidRPr="002B136D" w:rsidRDefault="007B646B" w:rsidP="00AE1B94">
            <w:pPr>
              <w:contextualSpacing/>
              <w:jc w:val="both"/>
              <w:rPr>
                <w:rFonts w:cs="Times New Roman"/>
                <w:sz w:val="24"/>
                <w:szCs w:val="28"/>
              </w:rPr>
            </w:pPr>
            <w:r w:rsidRPr="002B136D">
              <w:rPr>
                <w:rFonts w:cs="Times New Roman"/>
                <w:sz w:val="24"/>
                <w:szCs w:val="28"/>
              </w:rPr>
              <w:t>Свободный тироксин (нг/дл)</w:t>
            </w:r>
          </w:p>
        </w:tc>
        <w:tc>
          <w:tcPr>
            <w:tcW w:w="925" w:type="pct"/>
            <w:hideMark/>
          </w:tcPr>
          <w:p w14:paraId="4EE09C39" w14:textId="77777777" w:rsidR="007B646B" w:rsidRPr="002B136D" w:rsidRDefault="007B646B" w:rsidP="00AE1B94">
            <w:pPr>
              <w:contextualSpacing/>
              <w:jc w:val="both"/>
              <w:rPr>
                <w:rFonts w:cs="Times New Roman"/>
                <w:sz w:val="24"/>
                <w:szCs w:val="28"/>
              </w:rPr>
            </w:pPr>
            <w:r w:rsidRPr="002B136D">
              <w:rPr>
                <w:rFonts w:cs="Times New Roman"/>
                <w:sz w:val="24"/>
                <w:szCs w:val="28"/>
              </w:rPr>
              <w:t>1,71 ± 1,31</w:t>
            </w:r>
          </w:p>
        </w:tc>
        <w:tc>
          <w:tcPr>
            <w:tcW w:w="1044" w:type="pct"/>
            <w:hideMark/>
          </w:tcPr>
          <w:p w14:paraId="19D60C0E" w14:textId="77777777" w:rsidR="007B646B" w:rsidRPr="002B136D" w:rsidRDefault="007B646B" w:rsidP="00AE1B94">
            <w:pPr>
              <w:contextualSpacing/>
              <w:jc w:val="both"/>
              <w:rPr>
                <w:rFonts w:cs="Times New Roman"/>
                <w:sz w:val="24"/>
                <w:szCs w:val="28"/>
              </w:rPr>
            </w:pPr>
            <w:r w:rsidRPr="002B136D">
              <w:rPr>
                <w:rFonts w:cs="Times New Roman"/>
                <w:sz w:val="24"/>
                <w:szCs w:val="28"/>
              </w:rPr>
              <w:t>1,68 ± 0,97</w:t>
            </w:r>
          </w:p>
        </w:tc>
        <w:tc>
          <w:tcPr>
            <w:tcW w:w="727" w:type="pct"/>
            <w:hideMark/>
          </w:tcPr>
          <w:p w14:paraId="4399244A" w14:textId="77777777" w:rsidR="007B646B" w:rsidRPr="002B136D" w:rsidRDefault="007B646B" w:rsidP="00AE1B94">
            <w:pPr>
              <w:contextualSpacing/>
              <w:jc w:val="both"/>
              <w:rPr>
                <w:rFonts w:cs="Times New Roman"/>
                <w:sz w:val="24"/>
                <w:szCs w:val="28"/>
              </w:rPr>
            </w:pPr>
            <w:r w:rsidRPr="002B136D">
              <w:rPr>
                <w:rFonts w:cs="Times New Roman"/>
                <w:sz w:val="24"/>
                <w:szCs w:val="28"/>
              </w:rPr>
              <w:t>-</w:t>
            </w:r>
          </w:p>
        </w:tc>
        <w:tc>
          <w:tcPr>
            <w:tcW w:w="661" w:type="pct"/>
          </w:tcPr>
          <w:p w14:paraId="6512155B" w14:textId="77777777" w:rsidR="007B646B" w:rsidRPr="002B136D" w:rsidRDefault="007B646B" w:rsidP="00AE1B94">
            <w:pPr>
              <w:contextualSpacing/>
              <w:jc w:val="both"/>
              <w:rPr>
                <w:rFonts w:cs="Times New Roman"/>
                <w:sz w:val="24"/>
                <w:szCs w:val="28"/>
                <w:lang w:val="en-US"/>
              </w:rPr>
            </w:pPr>
            <w:r w:rsidRPr="002B136D">
              <w:rPr>
                <w:rFonts w:cs="Times New Roman"/>
                <w:sz w:val="24"/>
                <w:szCs w:val="28"/>
                <w:lang w:val="en-US"/>
              </w:rPr>
              <w:t>0.71</w:t>
            </w:r>
          </w:p>
        </w:tc>
      </w:tr>
      <w:tr w:rsidR="00D51D40" w:rsidRPr="002B136D" w14:paraId="3D7EAAA2" w14:textId="77777777" w:rsidTr="000346E5">
        <w:tc>
          <w:tcPr>
            <w:tcW w:w="1643" w:type="pct"/>
            <w:hideMark/>
          </w:tcPr>
          <w:p w14:paraId="428DAADB" w14:textId="26959879" w:rsidR="007B646B" w:rsidRPr="002B136D" w:rsidRDefault="00F0671F" w:rsidP="00AE1B94">
            <w:pPr>
              <w:contextualSpacing/>
              <w:jc w:val="both"/>
              <w:rPr>
                <w:rFonts w:cs="Times New Roman"/>
                <w:sz w:val="24"/>
                <w:szCs w:val="28"/>
              </w:rPr>
            </w:pPr>
            <w:r w:rsidRPr="002B136D">
              <w:rPr>
                <w:rFonts w:cs="Times New Roman"/>
                <w:sz w:val="24"/>
                <w:szCs w:val="28"/>
              </w:rPr>
              <w:t>Антитела</w:t>
            </w:r>
            <w:r w:rsidR="007B646B" w:rsidRPr="002B136D">
              <w:rPr>
                <w:rFonts w:cs="Times New Roman"/>
                <w:sz w:val="24"/>
                <w:szCs w:val="28"/>
              </w:rPr>
              <w:t xml:space="preserve"> к</w:t>
            </w:r>
            <w:r w:rsidRPr="002B136D">
              <w:rPr>
                <w:rFonts w:cs="Times New Roman"/>
                <w:sz w:val="24"/>
                <w:szCs w:val="28"/>
              </w:rPr>
              <w:t xml:space="preserve"> рецептору тиреотропного гормона</w:t>
            </w:r>
            <w:r w:rsidR="007B646B" w:rsidRPr="002B136D">
              <w:rPr>
                <w:rFonts w:cs="Times New Roman"/>
                <w:sz w:val="24"/>
                <w:szCs w:val="28"/>
              </w:rPr>
              <w:t xml:space="preserve"> (МЕ/л)</w:t>
            </w:r>
          </w:p>
        </w:tc>
        <w:tc>
          <w:tcPr>
            <w:tcW w:w="925" w:type="pct"/>
            <w:hideMark/>
          </w:tcPr>
          <w:p w14:paraId="4FE0683B" w14:textId="77777777" w:rsidR="007B646B" w:rsidRPr="002B136D" w:rsidRDefault="007B646B" w:rsidP="00AE1B94">
            <w:pPr>
              <w:contextualSpacing/>
              <w:jc w:val="both"/>
              <w:rPr>
                <w:rFonts w:cs="Times New Roman"/>
                <w:sz w:val="24"/>
                <w:szCs w:val="28"/>
              </w:rPr>
            </w:pPr>
            <w:r w:rsidRPr="002B136D">
              <w:rPr>
                <w:rFonts w:cs="Times New Roman"/>
                <w:sz w:val="24"/>
                <w:szCs w:val="28"/>
              </w:rPr>
              <w:t>12,71 ± 12,51</w:t>
            </w:r>
          </w:p>
        </w:tc>
        <w:tc>
          <w:tcPr>
            <w:tcW w:w="1044" w:type="pct"/>
            <w:hideMark/>
          </w:tcPr>
          <w:p w14:paraId="6F0B73A7" w14:textId="77777777" w:rsidR="007B646B" w:rsidRPr="002B136D" w:rsidRDefault="007B646B" w:rsidP="00AE1B94">
            <w:pPr>
              <w:contextualSpacing/>
              <w:jc w:val="both"/>
              <w:rPr>
                <w:rFonts w:cs="Times New Roman"/>
                <w:sz w:val="24"/>
                <w:szCs w:val="28"/>
              </w:rPr>
            </w:pPr>
            <w:r w:rsidRPr="002B136D">
              <w:rPr>
                <w:rFonts w:cs="Times New Roman"/>
                <w:sz w:val="24"/>
                <w:szCs w:val="28"/>
              </w:rPr>
              <w:t>10,97 ± 14,71</w:t>
            </w:r>
          </w:p>
        </w:tc>
        <w:tc>
          <w:tcPr>
            <w:tcW w:w="727" w:type="pct"/>
            <w:hideMark/>
          </w:tcPr>
          <w:p w14:paraId="2560ADCE" w14:textId="77777777" w:rsidR="007B646B" w:rsidRPr="002B136D" w:rsidRDefault="007B646B" w:rsidP="00AE1B94">
            <w:pPr>
              <w:contextualSpacing/>
              <w:jc w:val="both"/>
              <w:rPr>
                <w:rFonts w:cs="Times New Roman"/>
                <w:sz w:val="24"/>
                <w:szCs w:val="28"/>
              </w:rPr>
            </w:pPr>
            <w:r w:rsidRPr="002B136D">
              <w:rPr>
                <w:rFonts w:cs="Times New Roman"/>
                <w:sz w:val="24"/>
                <w:szCs w:val="28"/>
              </w:rPr>
              <w:t>-</w:t>
            </w:r>
          </w:p>
        </w:tc>
        <w:tc>
          <w:tcPr>
            <w:tcW w:w="661" w:type="pct"/>
          </w:tcPr>
          <w:p w14:paraId="08F86D1D" w14:textId="77777777" w:rsidR="007B646B" w:rsidRPr="002B136D" w:rsidRDefault="007B646B" w:rsidP="00AE1B94">
            <w:pPr>
              <w:contextualSpacing/>
              <w:jc w:val="both"/>
              <w:rPr>
                <w:rFonts w:cs="Times New Roman"/>
                <w:sz w:val="24"/>
                <w:szCs w:val="28"/>
                <w:lang w:val="en-US"/>
              </w:rPr>
            </w:pPr>
            <w:r w:rsidRPr="002B136D">
              <w:rPr>
                <w:rFonts w:cs="Times New Roman"/>
                <w:sz w:val="24"/>
                <w:szCs w:val="28"/>
                <w:lang w:val="en-US"/>
              </w:rPr>
              <w:t>0.86</w:t>
            </w:r>
          </w:p>
        </w:tc>
      </w:tr>
      <w:tr w:rsidR="00D51D40" w:rsidRPr="002B136D" w14:paraId="40E6E120" w14:textId="77777777" w:rsidTr="000346E5">
        <w:tc>
          <w:tcPr>
            <w:tcW w:w="1643" w:type="pct"/>
            <w:hideMark/>
          </w:tcPr>
          <w:p w14:paraId="3F64CC10" w14:textId="77777777" w:rsidR="007B646B" w:rsidRPr="002B136D" w:rsidRDefault="007B646B" w:rsidP="00AE1B94">
            <w:pPr>
              <w:contextualSpacing/>
              <w:jc w:val="both"/>
              <w:rPr>
                <w:rFonts w:cs="Times New Roman"/>
                <w:sz w:val="24"/>
                <w:szCs w:val="28"/>
              </w:rPr>
            </w:pPr>
            <w:r w:rsidRPr="002B136D">
              <w:rPr>
                <w:rFonts w:cs="Times New Roman"/>
                <w:sz w:val="24"/>
                <w:szCs w:val="28"/>
              </w:rPr>
              <w:t>Оценка клинической активности (диапазон 0–6)</w:t>
            </w:r>
          </w:p>
        </w:tc>
        <w:tc>
          <w:tcPr>
            <w:tcW w:w="925" w:type="pct"/>
            <w:hideMark/>
          </w:tcPr>
          <w:p w14:paraId="18F55908" w14:textId="77777777" w:rsidR="007B646B" w:rsidRPr="002B136D" w:rsidRDefault="007B646B" w:rsidP="00AE1B94">
            <w:pPr>
              <w:contextualSpacing/>
              <w:jc w:val="both"/>
              <w:rPr>
                <w:rFonts w:cs="Times New Roman"/>
                <w:sz w:val="24"/>
                <w:szCs w:val="28"/>
              </w:rPr>
            </w:pPr>
            <w:r w:rsidRPr="002B136D">
              <w:rPr>
                <w:rFonts w:cs="Times New Roman"/>
                <w:sz w:val="24"/>
                <w:szCs w:val="28"/>
                <w:lang w:val="en-US"/>
              </w:rPr>
              <w:t>4</w:t>
            </w:r>
            <w:r w:rsidRPr="002B136D">
              <w:rPr>
                <w:rFonts w:cs="Times New Roman"/>
                <w:sz w:val="24"/>
                <w:szCs w:val="28"/>
              </w:rPr>
              <w:t>,14 ± 1,54</w:t>
            </w:r>
          </w:p>
        </w:tc>
        <w:tc>
          <w:tcPr>
            <w:tcW w:w="1044" w:type="pct"/>
            <w:hideMark/>
          </w:tcPr>
          <w:p w14:paraId="17654BDE" w14:textId="77777777" w:rsidR="007B646B" w:rsidRPr="002B136D" w:rsidRDefault="007B646B" w:rsidP="00AE1B94">
            <w:pPr>
              <w:contextualSpacing/>
              <w:jc w:val="both"/>
              <w:rPr>
                <w:rFonts w:cs="Times New Roman"/>
                <w:sz w:val="24"/>
                <w:szCs w:val="28"/>
              </w:rPr>
            </w:pPr>
            <w:r w:rsidRPr="002B136D">
              <w:rPr>
                <w:rFonts w:cs="Times New Roman"/>
                <w:sz w:val="24"/>
                <w:szCs w:val="28"/>
                <w:lang w:val="en-US"/>
              </w:rPr>
              <w:t>0.</w:t>
            </w:r>
            <w:r w:rsidRPr="002B136D">
              <w:rPr>
                <w:rFonts w:cs="Times New Roman"/>
                <w:sz w:val="24"/>
                <w:szCs w:val="28"/>
              </w:rPr>
              <w:t>5±0,3</w:t>
            </w:r>
          </w:p>
        </w:tc>
        <w:tc>
          <w:tcPr>
            <w:tcW w:w="727" w:type="pct"/>
            <w:hideMark/>
          </w:tcPr>
          <w:p w14:paraId="241C53D3" w14:textId="77777777" w:rsidR="007B646B" w:rsidRPr="002B136D" w:rsidRDefault="007B646B" w:rsidP="00AE1B94">
            <w:pPr>
              <w:contextualSpacing/>
              <w:jc w:val="both"/>
              <w:rPr>
                <w:rFonts w:cs="Times New Roman"/>
                <w:sz w:val="24"/>
                <w:szCs w:val="28"/>
              </w:rPr>
            </w:pPr>
            <w:r w:rsidRPr="002B136D">
              <w:rPr>
                <w:rFonts w:cs="Times New Roman"/>
                <w:sz w:val="24"/>
                <w:szCs w:val="28"/>
              </w:rPr>
              <w:t>-</w:t>
            </w:r>
          </w:p>
        </w:tc>
        <w:tc>
          <w:tcPr>
            <w:tcW w:w="661" w:type="pct"/>
          </w:tcPr>
          <w:p w14:paraId="6DC886C3" w14:textId="77777777" w:rsidR="007B646B" w:rsidRPr="002B136D" w:rsidRDefault="007B646B" w:rsidP="00AE1B94">
            <w:pPr>
              <w:contextualSpacing/>
              <w:jc w:val="both"/>
              <w:rPr>
                <w:rFonts w:cs="Times New Roman"/>
                <w:sz w:val="24"/>
                <w:szCs w:val="28"/>
                <w:lang w:val="en-US"/>
              </w:rPr>
            </w:pPr>
            <w:r w:rsidRPr="002B136D">
              <w:rPr>
                <w:rFonts w:cs="Times New Roman"/>
                <w:sz w:val="24"/>
                <w:szCs w:val="28"/>
                <w:lang w:val="en-US"/>
              </w:rPr>
              <w:t>0.001*</w:t>
            </w:r>
          </w:p>
        </w:tc>
      </w:tr>
    </w:tbl>
    <w:p w14:paraId="7903CC75" w14:textId="77777777" w:rsidR="000346E5" w:rsidRPr="000346E5" w:rsidRDefault="000346E5" w:rsidP="00AE1B94">
      <w:pPr>
        <w:spacing w:after="0" w:line="240" w:lineRule="auto"/>
        <w:ind w:firstLine="709"/>
        <w:contextualSpacing/>
        <w:jc w:val="both"/>
        <w:rPr>
          <w:rFonts w:cs="Times New Roman"/>
          <w:b/>
          <w:szCs w:val="28"/>
        </w:rPr>
      </w:pPr>
    </w:p>
    <w:p w14:paraId="7F6534F6" w14:textId="4E597CE4" w:rsidR="00474239" w:rsidRPr="002B136D" w:rsidRDefault="00F218B4" w:rsidP="000346E5">
      <w:pPr>
        <w:spacing w:after="0" w:line="240" w:lineRule="auto"/>
        <w:ind w:firstLine="567"/>
        <w:contextualSpacing/>
        <w:jc w:val="both"/>
        <w:rPr>
          <w:rFonts w:cs="Times New Roman"/>
          <w:szCs w:val="28"/>
        </w:rPr>
      </w:pPr>
      <w:r w:rsidRPr="002B136D">
        <w:rPr>
          <w:rFonts w:cs="Times New Roman"/>
          <w:szCs w:val="28"/>
        </w:rPr>
        <w:t xml:space="preserve">Глазные проявления </w:t>
      </w:r>
      <w:r w:rsidR="0067708D">
        <w:rPr>
          <w:rFonts w:cs="Times New Roman"/>
          <w:szCs w:val="28"/>
        </w:rPr>
        <w:t xml:space="preserve">(таблица </w:t>
      </w:r>
      <w:r w:rsidRPr="002B136D">
        <w:rPr>
          <w:rFonts w:cs="Times New Roman"/>
          <w:szCs w:val="28"/>
        </w:rPr>
        <w:t>1</w:t>
      </w:r>
      <w:r w:rsidR="0076161A">
        <w:rPr>
          <w:rFonts w:cs="Times New Roman"/>
          <w:szCs w:val="28"/>
        </w:rPr>
        <w:t>4</w:t>
      </w:r>
      <w:r w:rsidR="00474239" w:rsidRPr="002B136D">
        <w:rPr>
          <w:rFonts w:cs="Times New Roman"/>
          <w:szCs w:val="28"/>
        </w:rPr>
        <w:t xml:space="preserve">) в группе </w:t>
      </w:r>
      <w:proofErr w:type="gramStart"/>
      <w:r w:rsidR="00474239" w:rsidRPr="002B136D">
        <w:rPr>
          <w:rFonts w:cs="Times New Roman"/>
          <w:szCs w:val="28"/>
        </w:rPr>
        <w:t>с</w:t>
      </w:r>
      <w:proofErr w:type="gramEnd"/>
      <w:r w:rsidR="00474239" w:rsidRPr="002B136D">
        <w:rPr>
          <w:rFonts w:cs="Times New Roman"/>
          <w:szCs w:val="28"/>
        </w:rPr>
        <w:t xml:space="preserve"> активной ЭОП были значительно более выражены. Проптоз в активной группе ЭОП значительно меньшее количество пациентов имели проптоз менее 17 мм по с</w:t>
      </w:r>
      <w:r w:rsidR="003B7A0F" w:rsidRPr="002B136D">
        <w:rPr>
          <w:rFonts w:cs="Times New Roman"/>
          <w:szCs w:val="28"/>
        </w:rPr>
        <w:t>равнению с неактивной группой (7% против 85.1</w:t>
      </w:r>
      <w:r w:rsidR="00474239" w:rsidRPr="002B136D">
        <w:rPr>
          <w:rFonts w:cs="Times New Roman"/>
          <w:szCs w:val="28"/>
        </w:rPr>
        <w:t xml:space="preserve">%, p=0.01). Это свидетельствует о более тяжелой степени заболевания у пациентов </w:t>
      </w:r>
      <w:proofErr w:type="gramStart"/>
      <w:r w:rsidR="00474239" w:rsidRPr="002B136D">
        <w:rPr>
          <w:rFonts w:cs="Times New Roman"/>
          <w:szCs w:val="28"/>
        </w:rPr>
        <w:t>с</w:t>
      </w:r>
      <w:proofErr w:type="gramEnd"/>
      <w:r w:rsidR="00474239" w:rsidRPr="002B136D">
        <w:rPr>
          <w:rFonts w:cs="Times New Roman"/>
          <w:szCs w:val="28"/>
        </w:rPr>
        <w:t xml:space="preserve"> активной ЭОП.</w:t>
      </w:r>
    </w:p>
    <w:p w14:paraId="6E3260FC" w14:textId="781ADB95" w:rsidR="00474239" w:rsidRPr="002B136D" w:rsidRDefault="00474239" w:rsidP="000346E5">
      <w:pPr>
        <w:spacing w:after="0" w:line="240" w:lineRule="auto"/>
        <w:ind w:firstLine="567"/>
        <w:contextualSpacing/>
        <w:jc w:val="both"/>
        <w:rPr>
          <w:rFonts w:cs="Times New Roman"/>
          <w:szCs w:val="28"/>
        </w:rPr>
      </w:pPr>
      <w:r w:rsidRPr="002B136D">
        <w:rPr>
          <w:rFonts w:cs="Times New Roman"/>
          <w:szCs w:val="28"/>
        </w:rPr>
        <w:t>В свою очередь дипло</w:t>
      </w:r>
      <w:r w:rsidR="003B7A0F" w:rsidRPr="002B136D">
        <w:rPr>
          <w:rFonts w:cs="Times New Roman"/>
          <w:szCs w:val="28"/>
        </w:rPr>
        <w:t>пия была зафиксирована у 51</w:t>
      </w:r>
      <w:r w:rsidRPr="002B136D">
        <w:rPr>
          <w:rFonts w:cs="Times New Roman"/>
          <w:szCs w:val="28"/>
        </w:rPr>
        <w:t xml:space="preserve">% пациентов в активной группе </w:t>
      </w:r>
      <w:proofErr w:type="gramStart"/>
      <w:r w:rsidRPr="002B136D">
        <w:rPr>
          <w:rFonts w:cs="Times New Roman"/>
          <w:szCs w:val="28"/>
        </w:rPr>
        <w:t>против</w:t>
      </w:r>
      <w:proofErr w:type="gramEnd"/>
      <w:r w:rsidRPr="002B136D">
        <w:rPr>
          <w:rFonts w:cs="Times New Roman"/>
          <w:szCs w:val="28"/>
        </w:rPr>
        <w:t xml:space="preserve"> только 4% </w:t>
      </w:r>
      <w:proofErr w:type="gramStart"/>
      <w:r w:rsidR="003B7A0F" w:rsidRPr="002B136D">
        <w:rPr>
          <w:rFonts w:cs="Times New Roman"/>
          <w:szCs w:val="28"/>
        </w:rPr>
        <w:t>в</w:t>
      </w:r>
      <w:proofErr w:type="gramEnd"/>
      <w:r w:rsidRPr="002B136D">
        <w:rPr>
          <w:rFonts w:cs="Times New Roman"/>
          <w:szCs w:val="28"/>
        </w:rPr>
        <w:t xml:space="preserve"> неактивной группе (p=0.01), что может указывать на более выраженное вовлечение глазодвигательных мышц в воспалительный процесс.</w:t>
      </w:r>
    </w:p>
    <w:p w14:paraId="58BA41B5" w14:textId="4247D55C" w:rsidR="00474239" w:rsidRPr="002B136D" w:rsidRDefault="00474239" w:rsidP="000346E5">
      <w:pPr>
        <w:spacing w:after="0" w:line="240" w:lineRule="auto"/>
        <w:ind w:firstLine="567"/>
        <w:contextualSpacing/>
        <w:jc w:val="both"/>
        <w:rPr>
          <w:rFonts w:cs="Times New Roman"/>
          <w:szCs w:val="28"/>
        </w:rPr>
      </w:pPr>
      <w:proofErr w:type="gramStart"/>
      <w:r w:rsidRPr="002B136D">
        <w:rPr>
          <w:rFonts w:cs="Times New Roman"/>
          <w:szCs w:val="28"/>
        </w:rPr>
        <w:t>Увеличение экстраокулярных мышц наблюдалось у 60% пациенто</w:t>
      </w:r>
      <w:r w:rsidR="003B7A0F" w:rsidRPr="002B136D">
        <w:rPr>
          <w:rFonts w:cs="Times New Roman"/>
          <w:szCs w:val="28"/>
        </w:rPr>
        <w:t>в с активной ЭОП и только у 11.1</w:t>
      </w:r>
      <w:r w:rsidRPr="002B136D">
        <w:rPr>
          <w:rFonts w:cs="Times New Roman"/>
          <w:szCs w:val="28"/>
        </w:rPr>
        <w:t>% с неактивной ЭОП (p=0.01), что также подчеркивает различие в степени воспаления и вовлеченности глазных мышц между активной и неактивной формами заболевания.</w:t>
      </w:r>
      <w:proofErr w:type="gramEnd"/>
    </w:p>
    <w:p w14:paraId="7359F1ED" w14:textId="7241933B" w:rsidR="00474239" w:rsidRPr="002B136D" w:rsidRDefault="00474239" w:rsidP="000346E5">
      <w:pPr>
        <w:spacing w:after="0" w:line="240" w:lineRule="auto"/>
        <w:ind w:firstLine="567"/>
        <w:contextualSpacing/>
        <w:jc w:val="both"/>
        <w:rPr>
          <w:rFonts w:cs="Times New Roman"/>
          <w:szCs w:val="28"/>
        </w:rPr>
      </w:pPr>
      <w:r w:rsidRPr="002B136D">
        <w:rPr>
          <w:rFonts w:cs="Times New Roman"/>
          <w:szCs w:val="28"/>
        </w:rPr>
        <w:t xml:space="preserve">Ретракция верхних век присутствовала у 48% пациентов </w:t>
      </w:r>
      <w:proofErr w:type="gramStart"/>
      <w:r w:rsidRPr="002B136D">
        <w:rPr>
          <w:rFonts w:cs="Times New Roman"/>
          <w:szCs w:val="28"/>
        </w:rPr>
        <w:t>с</w:t>
      </w:r>
      <w:proofErr w:type="gramEnd"/>
      <w:r w:rsidRPr="002B136D">
        <w:rPr>
          <w:rFonts w:cs="Times New Roman"/>
          <w:szCs w:val="28"/>
        </w:rPr>
        <w:t xml:space="preserve"> </w:t>
      </w:r>
      <w:proofErr w:type="gramStart"/>
      <w:r w:rsidRPr="002B136D">
        <w:rPr>
          <w:rFonts w:cs="Times New Roman"/>
          <w:szCs w:val="28"/>
        </w:rPr>
        <w:t>активной</w:t>
      </w:r>
      <w:proofErr w:type="gramEnd"/>
      <w:r w:rsidRPr="002B136D">
        <w:rPr>
          <w:rFonts w:cs="Times New Roman"/>
          <w:szCs w:val="28"/>
        </w:rPr>
        <w:t xml:space="preserve"> ЭОП по сравнению с 8% у неактивной группы (p=0.01), что может быть следствием фиброза и воспаления в тканях век.</w:t>
      </w:r>
    </w:p>
    <w:p w14:paraId="2C423D55" w14:textId="327F30DB" w:rsidR="007B646B" w:rsidRPr="002B136D" w:rsidRDefault="00474239" w:rsidP="000346E5">
      <w:pPr>
        <w:spacing w:after="0" w:line="240" w:lineRule="auto"/>
        <w:ind w:firstLine="567"/>
        <w:contextualSpacing/>
        <w:jc w:val="both"/>
        <w:rPr>
          <w:rFonts w:cs="Times New Roman"/>
          <w:szCs w:val="28"/>
        </w:rPr>
      </w:pPr>
      <w:r w:rsidRPr="002B136D">
        <w:rPr>
          <w:rFonts w:cs="Times New Roman"/>
          <w:szCs w:val="28"/>
        </w:rPr>
        <w:t xml:space="preserve">Компрессионная оптическая нейропатия была выявлена у 12% пациентов с активной формой и у 4% с неактивной формой ЭОП, однако </w:t>
      </w:r>
      <w:proofErr w:type="gramStart"/>
      <w:r w:rsidRPr="002B136D">
        <w:rPr>
          <w:rFonts w:cs="Times New Roman"/>
          <w:szCs w:val="28"/>
        </w:rPr>
        <w:t>различие не достигло</w:t>
      </w:r>
      <w:proofErr w:type="gramEnd"/>
      <w:r w:rsidRPr="002B136D">
        <w:rPr>
          <w:rFonts w:cs="Times New Roman"/>
          <w:szCs w:val="28"/>
        </w:rPr>
        <w:t xml:space="preserve"> статистической значимости (p=0.67), что может указывать на необходимость большей выборки для подтверждения этой тенденции.</w:t>
      </w:r>
    </w:p>
    <w:p w14:paraId="7C5D9B34" w14:textId="2E181BD1" w:rsidR="007B646B" w:rsidRPr="002B136D" w:rsidRDefault="007B646B" w:rsidP="000346E5">
      <w:pPr>
        <w:spacing w:after="0" w:line="240" w:lineRule="auto"/>
        <w:ind w:firstLine="567"/>
        <w:contextualSpacing/>
        <w:jc w:val="both"/>
        <w:rPr>
          <w:rFonts w:cs="Times New Roman"/>
          <w:b/>
          <w:szCs w:val="28"/>
        </w:rPr>
      </w:pPr>
    </w:p>
    <w:p w14:paraId="1095A401" w14:textId="77777777" w:rsidR="000346E5" w:rsidRDefault="000346E5" w:rsidP="000346E5">
      <w:pPr>
        <w:spacing w:after="0" w:line="240" w:lineRule="auto"/>
        <w:contextualSpacing/>
        <w:rPr>
          <w:rFonts w:cs="Times New Roman"/>
          <w:b/>
          <w:szCs w:val="28"/>
        </w:rPr>
      </w:pPr>
      <w:r>
        <w:rPr>
          <w:rFonts w:cs="Times New Roman"/>
          <w:b/>
          <w:szCs w:val="28"/>
        </w:rPr>
        <w:br w:type="page"/>
      </w:r>
    </w:p>
    <w:p w14:paraId="45497ED7" w14:textId="10CEE8B5" w:rsidR="00474239" w:rsidRPr="003B1C5C" w:rsidRDefault="00F218B4" w:rsidP="000346E5">
      <w:pPr>
        <w:spacing w:after="0" w:line="240" w:lineRule="auto"/>
        <w:contextualSpacing/>
        <w:rPr>
          <w:rFonts w:cs="Times New Roman"/>
          <w:bCs/>
          <w:szCs w:val="28"/>
        </w:rPr>
      </w:pPr>
      <w:r w:rsidRPr="003B1C5C">
        <w:rPr>
          <w:rFonts w:cs="Times New Roman"/>
          <w:bCs/>
          <w:szCs w:val="28"/>
        </w:rPr>
        <w:lastRenderedPageBreak/>
        <w:t>Таблица 1</w:t>
      </w:r>
      <w:r w:rsidR="0076161A">
        <w:rPr>
          <w:rFonts w:cs="Times New Roman"/>
          <w:bCs/>
          <w:szCs w:val="28"/>
        </w:rPr>
        <w:t>4</w:t>
      </w:r>
      <w:r w:rsidR="000346E5" w:rsidRPr="003B1C5C">
        <w:rPr>
          <w:rFonts w:cs="Times New Roman"/>
          <w:bCs/>
          <w:szCs w:val="28"/>
        </w:rPr>
        <w:t>-</w:t>
      </w:r>
      <w:r w:rsidR="00474239" w:rsidRPr="003B1C5C">
        <w:rPr>
          <w:rFonts w:cs="Times New Roman"/>
          <w:bCs/>
          <w:szCs w:val="28"/>
        </w:rPr>
        <w:t xml:space="preserve"> Анализ данных глазных проявлений в исследуемых группах</w:t>
      </w:r>
    </w:p>
    <w:p w14:paraId="4E8CAF96" w14:textId="77777777" w:rsidR="000346E5" w:rsidRPr="002B136D" w:rsidRDefault="000346E5" w:rsidP="000346E5">
      <w:pPr>
        <w:spacing w:after="0" w:line="240" w:lineRule="auto"/>
        <w:contextualSpacing/>
        <w:rPr>
          <w:rFonts w:cs="Times New Roman"/>
          <w:b/>
          <w:szCs w:val="28"/>
        </w:rPr>
      </w:pPr>
    </w:p>
    <w:tbl>
      <w:tblPr>
        <w:tblStyle w:val="ac"/>
        <w:tblW w:w="4891" w:type="pct"/>
        <w:tblInd w:w="108" w:type="dxa"/>
        <w:tblLook w:val="04A0" w:firstRow="1" w:lastRow="0" w:firstColumn="1" w:lastColumn="0" w:noHBand="0" w:noVBand="1"/>
      </w:tblPr>
      <w:tblGrid>
        <w:gridCol w:w="3544"/>
        <w:gridCol w:w="1841"/>
        <w:gridCol w:w="1986"/>
        <w:gridCol w:w="1332"/>
        <w:gridCol w:w="937"/>
      </w:tblGrid>
      <w:tr w:rsidR="00D51D40" w:rsidRPr="002B136D" w14:paraId="71BA5D86" w14:textId="77777777" w:rsidTr="00AF31F3">
        <w:trPr>
          <w:trHeight w:val="278"/>
        </w:trPr>
        <w:tc>
          <w:tcPr>
            <w:tcW w:w="1838" w:type="pct"/>
            <w:vMerge w:val="restart"/>
            <w:hideMark/>
          </w:tcPr>
          <w:p w14:paraId="338AB3A7" w14:textId="77777777" w:rsidR="007B646B" w:rsidRPr="002B136D" w:rsidRDefault="007B646B" w:rsidP="00AE1B94">
            <w:pPr>
              <w:jc w:val="both"/>
              <w:rPr>
                <w:rFonts w:cs="Times New Roman"/>
                <w:bCs/>
                <w:sz w:val="24"/>
                <w:szCs w:val="28"/>
              </w:rPr>
            </w:pPr>
            <w:r w:rsidRPr="002B136D">
              <w:rPr>
                <w:rFonts w:cs="Times New Roman"/>
                <w:sz w:val="24"/>
                <w:szCs w:val="28"/>
              </w:rPr>
              <w:t>Характеристики</w:t>
            </w:r>
            <w:r w:rsidRPr="002B136D">
              <w:rPr>
                <w:rFonts w:cs="Times New Roman"/>
                <w:bCs/>
                <w:sz w:val="24"/>
                <w:szCs w:val="28"/>
              </w:rPr>
              <w:t>,</w:t>
            </w:r>
            <w:r w:rsidRPr="002B136D">
              <w:rPr>
                <w:rFonts w:cs="Times New Roman"/>
                <w:sz w:val="24"/>
                <w:szCs w:val="28"/>
              </w:rPr>
              <w:t xml:space="preserve"> </w:t>
            </w:r>
            <w:r w:rsidRPr="002B136D">
              <w:rPr>
                <w:rFonts w:cs="Times New Roman"/>
                <w:sz w:val="24"/>
                <w:szCs w:val="28"/>
                <w:lang w:val="en-US"/>
              </w:rPr>
              <w:t>mean</w:t>
            </w:r>
            <w:r w:rsidRPr="002B136D">
              <w:rPr>
                <w:rFonts w:cs="Times New Roman"/>
                <w:sz w:val="24"/>
                <w:szCs w:val="28"/>
              </w:rPr>
              <w:t>+</w:t>
            </w:r>
            <w:r w:rsidRPr="002B136D">
              <w:rPr>
                <w:rFonts w:cs="Times New Roman"/>
                <w:sz w:val="24"/>
                <w:szCs w:val="28"/>
                <w:lang w:val="en-US"/>
              </w:rPr>
              <w:t>SD</w:t>
            </w:r>
          </w:p>
        </w:tc>
        <w:tc>
          <w:tcPr>
            <w:tcW w:w="2676" w:type="pct"/>
            <w:gridSpan w:val="3"/>
            <w:hideMark/>
          </w:tcPr>
          <w:p w14:paraId="6B1AD765" w14:textId="77777777" w:rsidR="007B646B" w:rsidRPr="002B136D" w:rsidRDefault="007B646B" w:rsidP="00AE1B94">
            <w:pPr>
              <w:jc w:val="both"/>
              <w:rPr>
                <w:rFonts w:cs="Times New Roman"/>
                <w:bCs/>
                <w:sz w:val="24"/>
                <w:szCs w:val="28"/>
              </w:rPr>
            </w:pPr>
            <w:r w:rsidRPr="002B136D">
              <w:rPr>
                <w:rFonts w:cs="Times New Roman"/>
                <w:bCs/>
                <w:sz w:val="24"/>
                <w:szCs w:val="28"/>
              </w:rPr>
              <w:t>Группы</w:t>
            </w:r>
          </w:p>
        </w:tc>
        <w:tc>
          <w:tcPr>
            <w:tcW w:w="486" w:type="pct"/>
            <w:vMerge w:val="restart"/>
          </w:tcPr>
          <w:p w14:paraId="7FC633B3" w14:textId="77777777" w:rsidR="007B646B" w:rsidRPr="002B136D" w:rsidRDefault="007B646B" w:rsidP="00AE1B94">
            <w:pPr>
              <w:jc w:val="both"/>
              <w:rPr>
                <w:rFonts w:cs="Times New Roman"/>
                <w:bCs/>
                <w:sz w:val="24"/>
                <w:szCs w:val="28"/>
                <w:lang w:val="en-US"/>
              </w:rPr>
            </w:pPr>
            <w:r w:rsidRPr="002B136D">
              <w:rPr>
                <w:rFonts w:cs="Times New Roman"/>
                <w:bCs/>
                <w:sz w:val="24"/>
                <w:szCs w:val="28"/>
                <w:lang w:val="en-US"/>
              </w:rPr>
              <w:t>p</w:t>
            </w:r>
          </w:p>
        </w:tc>
      </w:tr>
      <w:tr w:rsidR="00D51D40" w:rsidRPr="002B136D" w14:paraId="29FE37B7" w14:textId="77777777" w:rsidTr="00AF31F3">
        <w:trPr>
          <w:trHeight w:val="277"/>
        </w:trPr>
        <w:tc>
          <w:tcPr>
            <w:tcW w:w="1838" w:type="pct"/>
            <w:vMerge/>
          </w:tcPr>
          <w:p w14:paraId="15A2D57E" w14:textId="77777777" w:rsidR="007B646B" w:rsidRPr="002B136D" w:rsidRDefault="007B646B" w:rsidP="00AE1B94">
            <w:pPr>
              <w:jc w:val="both"/>
              <w:rPr>
                <w:rFonts w:cs="Times New Roman"/>
                <w:bCs/>
                <w:sz w:val="24"/>
                <w:szCs w:val="28"/>
              </w:rPr>
            </w:pPr>
          </w:p>
        </w:tc>
        <w:tc>
          <w:tcPr>
            <w:tcW w:w="955" w:type="pct"/>
          </w:tcPr>
          <w:p w14:paraId="22E50756" w14:textId="7E37A78E" w:rsidR="007B646B" w:rsidRPr="002B136D" w:rsidRDefault="007B646B" w:rsidP="00AE1B94">
            <w:pPr>
              <w:jc w:val="both"/>
              <w:rPr>
                <w:rFonts w:cs="Times New Roman"/>
                <w:bCs/>
                <w:sz w:val="24"/>
                <w:szCs w:val="28"/>
              </w:rPr>
            </w:pPr>
            <w:r w:rsidRPr="002B136D">
              <w:rPr>
                <w:rFonts w:cs="Times New Roman"/>
                <w:bCs/>
                <w:sz w:val="24"/>
                <w:szCs w:val="28"/>
              </w:rPr>
              <w:t>Активная ЭОП (</w:t>
            </w:r>
            <w:r w:rsidRPr="002B136D">
              <w:rPr>
                <w:rFonts w:cs="Times New Roman"/>
                <w:bCs/>
                <w:sz w:val="24"/>
                <w:szCs w:val="28"/>
                <w:lang w:val="en-US"/>
              </w:rPr>
              <w:t>n</w:t>
            </w:r>
            <w:r w:rsidR="00F30C08" w:rsidRPr="002B136D">
              <w:rPr>
                <w:rFonts w:cs="Times New Roman"/>
                <w:bCs/>
                <w:sz w:val="24"/>
                <w:szCs w:val="28"/>
              </w:rPr>
              <w:t>-43</w:t>
            </w:r>
            <w:r w:rsidRPr="002B136D">
              <w:rPr>
                <w:rFonts w:cs="Times New Roman"/>
                <w:bCs/>
                <w:sz w:val="24"/>
                <w:szCs w:val="28"/>
              </w:rPr>
              <w:t>)</w:t>
            </w:r>
          </w:p>
        </w:tc>
        <w:tc>
          <w:tcPr>
            <w:tcW w:w="1030" w:type="pct"/>
          </w:tcPr>
          <w:p w14:paraId="4757296F" w14:textId="77777777" w:rsidR="007B646B" w:rsidRPr="002B136D" w:rsidRDefault="007B646B" w:rsidP="00AE1B94">
            <w:pPr>
              <w:jc w:val="both"/>
              <w:rPr>
                <w:rFonts w:cs="Times New Roman"/>
                <w:bCs/>
                <w:sz w:val="24"/>
                <w:szCs w:val="28"/>
              </w:rPr>
            </w:pPr>
            <w:r w:rsidRPr="002B136D">
              <w:rPr>
                <w:rFonts w:cs="Times New Roman"/>
                <w:bCs/>
                <w:sz w:val="24"/>
                <w:szCs w:val="28"/>
              </w:rPr>
              <w:t>Неактивная ЭОП</w:t>
            </w:r>
          </w:p>
          <w:p w14:paraId="75DD7431" w14:textId="57E66CF4" w:rsidR="007B646B" w:rsidRPr="002B136D" w:rsidRDefault="007B646B" w:rsidP="00AE1B94">
            <w:pPr>
              <w:jc w:val="both"/>
              <w:rPr>
                <w:rFonts w:cs="Times New Roman"/>
                <w:bCs/>
                <w:sz w:val="24"/>
                <w:szCs w:val="28"/>
              </w:rPr>
            </w:pPr>
            <w:r w:rsidRPr="002B136D">
              <w:rPr>
                <w:rFonts w:cs="Times New Roman"/>
                <w:bCs/>
                <w:sz w:val="24"/>
                <w:szCs w:val="28"/>
              </w:rPr>
              <w:t>(</w:t>
            </w:r>
            <w:r w:rsidRPr="002B136D">
              <w:rPr>
                <w:rFonts w:cs="Times New Roman"/>
                <w:bCs/>
                <w:sz w:val="24"/>
                <w:szCs w:val="28"/>
                <w:lang w:val="en-US"/>
              </w:rPr>
              <w:t>n</w:t>
            </w:r>
            <w:r w:rsidRPr="002B136D">
              <w:rPr>
                <w:rFonts w:cs="Times New Roman"/>
                <w:bCs/>
                <w:sz w:val="24"/>
                <w:szCs w:val="28"/>
              </w:rPr>
              <w:t>-2</w:t>
            </w:r>
            <w:r w:rsidR="00F30C08" w:rsidRPr="002B136D">
              <w:rPr>
                <w:rFonts w:cs="Times New Roman"/>
                <w:bCs/>
                <w:sz w:val="24"/>
                <w:szCs w:val="28"/>
              </w:rPr>
              <w:t>7</w:t>
            </w:r>
            <w:r w:rsidRPr="002B136D">
              <w:rPr>
                <w:rFonts w:cs="Times New Roman"/>
                <w:bCs/>
                <w:sz w:val="24"/>
                <w:szCs w:val="28"/>
              </w:rPr>
              <w:t>)</w:t>
            </w:r>
          </w:p>
        </w:tc>
        <w:tc>
          <w:tcPr>
            <w:tcW w:w="690" w:type="pct"/>
          </w:tcPr>
          <w:p w14:paraId="4BBF7915" w14:textId="77777777" w:rsidR="007B646B" w:rsidRPr="002B136D" w:rsidRDefault="007B646B" w:rsidP="00AE1B94">
            <w:pPr>
              <w:jc w:val="both"/>
              <w:rPr>
                <w:rFonts w:cs="Times New Roman"/>
                <w:bCs/>
                <w:sz w:val="24"/>
                <w:szCs w:val="28"/>
              </w:rPr>
            </w:pPr>
            <w:r w:rsidRPr="002B136D">
              <w:rPr>
                <w:rFonts w:cs="Times New Roman"/>
                <w:bCs/>
                <w:sz w:val="24"/>
                <w:szCs w:val="28"/>
              </w:rPr>
              <w:t>Контроль</w:t>
            </w:r>
          </w:p>
          <w:p w14:paraId="0B94E915" w14:textId="12045669" w:rsidR="007B646B" w:rsidRPr="002B136D" w:rsidRDefault="007B646B" w:rsidP="00AE1B94">
            <w:pPr>
              <w:jc w:val="both"/>
              <w:rPr>
                <w:rFonts w:cs="Times New Roman"/>
                <w:bCs/>
                <w:sz w:val="24"/>
                <w:szCs w:val="28"/>
              </w:rPr>
            </w:pPr>
            <w:r w:rsidRPr="002B136D">
              <w:rPr>
                <w:rFonts w:cs="Times New Roman"/>
                <w:bCs/>
                <w:sz w:val="24"/>
                <w:szCs w:val="28"/>
              </w:rPr>
              <w:t>(</w:t>
            </w:r>
            <w:r w:rsidRPr="002B136D">
              <w:rPr>
                <w:rFonts w:cs="Times New Roman"/>
                <w:bCs/>
                <w:sz w:val="24"/>
                <w:szCs w:val="28"/>
                <w:lang w:val="en-US"/>
              </w:rPr>
              <w:t>n</w:t>
            </w:r>
            <w:r w:rsidR="000B27B6" w:rsidRPr="002B136D">
              <w:rPr>
                <w:rFonts w:cs="Times New Roman"/>
                <w:bCs/>
                <w:sz w:val="24"/>
                <w:szCs w:val="28"/>
              </w:rPr>
              <w:t>-</w:t>
            </w:r>
            <w:r w:rsidR="000B27B6" w:rsidRPr="002B136D">
              <w:rPr>
                <w:rFonts w:cs="Times New Roman"/>
                <w:bCs/>
                <w:sz w:val="24"/>
                <w:szCs w:val="28"/>
                <w:lang w:val="en-US"/>
              </w:rPr>
              <w:t>17</w:t>
            </w:r>
            <w:r w:rsidRPr="002B136D">
              <w:rPr>
                <w:rFonts w:cs="Times New Roman"/>
                <w:bCs/>
                <w:sz w:val="24"/>
                <w:szCs w:val="28"/>
              </w:rPr>
              <w:t>)</w:t>
            </w:r>
          </w:p>
        </w:tc>
        <w:tc>
          <w:tcPr>
            <w:tcW w:w="486" w:type="pct"/>
            <w:vMerge/>
          </w:tcPr>
          <w:p w14:paraId="6ABE84EC" w14:textId="77777777" w:rsidR="007B646B" w:rsidRPr="002B136D" w:rsidRDefault="007B646B" w:rsidP="00AE1B94">
            <w:pPr>
              <w:jc w:val="both"/>
              <w:rPr>
                <w:rFonts w:cs="Times New Roman"/>
                <w:bCs/>
                <w:sz w:val="24"/>
                <w:szCs w:val="28"/>
                <w:lang w:val="en-US"/>
              </w:rPr>
            </w:pPr>
          </w:p>
        </w:tc>
      </w:tr>
      <w:tr w:rsidR="00D51D40" w:rsidRPr="002B136D" w14:paraId="20031C6F" w14:textId="77777777" w:rsidTr="003B1C5C">
        <w:tc>
          <w:tcPr>
            <w:tcW w:w="5000" w:type="pct"/>
            <w:gridSpan w:val="5"/>
            <w:hideMark/>
          </w:tcPr>
          <w:p w14:paraId="34C5B6D0" w14:textId="77777777" w:rsidR="007B646B" w:rsidRPr="002B136D" w:rsidRDefault="007B646B" w:rsidP="00AE1B94">
            <w:pPr>
              <w:jc w:val="both"/>
              <w:rPr>
                <w:rFonts w:cs="Times New Roman"/>
                <w:sz w:val="24"/>
                <w:szCs w:val="28"/>
              </w:rPr>
            </w:pPr>
            <w:r w:rsidRPr="002B136D">
              <w:rPr>
                <w:rFonts w:cs="Times New Roman"/>
                <w:sz w:val="24"/>
                <w:szCs w:val="28"/>
              </w:rPr>
              <w:t>Проптоз (мм)</w:t>
            </w:r>
          </w:p>
        </w:tc>
      </w:tr>
      <w:tr w:rsidR="00D51D40" w:rsidRPr="002B136D" w14:paraId="1ADE5EF1" w14:textId="77777777" w:rsidTr="00AF31F3">
        <w:tc>
          <w:tcPr>
            <w:tcW w:w="1838" w:type="pct"/>
            <w:hideMark/>
          </w:tcPr>
          <w:p w14:paraId="3266A41E" w14:textId="77777777" w:rsidR="007B646B" w:rsidRPr="002B136D" w:rsidRDefault="007B646B" w:rsidP="00AE1B94">
            <w:pPr>
              <w:jc w:val="both"/>
              <w:rPr>
                <w:rFonts w:cs="Times New Roman"/>
                <w:sz w:val="24"/>
                <w:szCs w:val="28"/>
              </w:rPr>
            </w:pPr>
            <w:bookmarkStart w:id="11" w:name="_Hlk102555974"/>
            <w:r w:rsidRPr="002B136D">
              <w:rPr>
                <w:rFonts w:cs="Times New Roman"/>
                <w:sz w:val="24"/>
                <w:szCs w:val="28"/>
              </w:rPr>
              <w:t> </w:t>
            </w:r>
            <w:r w:rsidRPr="002B136D">
              <w:rPr>
                <w:rFonts w:cs="Times New Roman"/>
                <w:sz w:val="24"/>
                <w:szCs w:val="28"/>
              </w:rPr>
              <w:t>&lt;17</w:t>
            </w:r>
            <w:bookmarkEnd w:id="11"/>
          </w:p>
        </w:tc>
        <w:tc>
          <w:tcPr>
            <w:tcW w:w="955" w:type="pct"/>
            <w:hideMark/>
          </w:tcPr>
          <w:p w14:paraId="26B2EBEA" w14:textId="5FBC8BC5" w:rsidR="007B646B" w:rsidRPr="002B136D" w:rsidRDefault="00F30C08" w:rsidP="00AE1B94">
            <w:pPr>
              <w:jc w:val="both"/>
              <w:rPr>
                <w:rFonts w:cs="Times New Roman"/>
                <w:sz w:val="24"/>
                <w:szCs w:val="28"/>
              </w:rPr>
            </w:pPr>
            <w:r w:rsidRPr="002B136D">
              <w:rPr>
                <w:rFonts w:cs="Times New Roman"/>
                <w:sz w:val="24"/>
                <w:szCs w:val="28"/>
              </w:rPr>
              <w:t>3</w:t>
            </w:r>
            <w:r w:rsidR="007B646B" w:rsidRPr="002B136D">
              <w:rPr>
                <w:rFonts w:cs="Times New Roman"/>
                <w:sz w:val="24"/>
                <w:szCs w:val="28"/>
              </w:rPr>
              <w:t xml:space="preserve"> (</w:t>
            </w:r>
            <w:r w:rsidRPr="002B136D">
              <w:rPr>
                <w:rFonts w:cs="Times New Roman"/>
                <w:sz w:val="24"/>
                <w:szCs w:val="28"/>
              </w:rPr>
              <w:t>7</w:t>
            </w:r>
            <w:r w:rsidR="007B646B" w:rsidRPr="002B136D">
              <w:rPr>
                <w:rFonts w:cs="Times New Roman"/>
                <w:sz w:val="24"/>
                <w:szCs w:val="28"/>
              </w:rPr>
              <w:t>)</w:t>
            </w:r>
          </w:p>
        </w:tc>
        <w:tc>
          <w:tcPr>
            <w:tcW w:w="1030" w:type="pct"/>
          </w:tcPr>
          <w:p w14:paraId="391141C1" w14:textId="67C25E00" w:rsidR="007B646B" w:rsidRPr="002B136D" w:rsidRDefault="007B646B" w:rsidP="00AE1B94">
            <w:pPr>
              <w:jc w:val="both"/>
              <w:rPr>
                <w:rFonts w:cs="Times New Roman"/>
                <w:sz w:val="24"/>
                <w:szCs w:val="28"/>
              </w:rPr>
            </w:pPr>
            <w:r w:rsidRPr="002B136D">
              <w:rPr>
                <w:rFonts w:cs="Times New Roman"/>
                <w:sz w:val="24"/>
                <w:szCs w:val="28"/>
              </w:rPr>
              <w:t>23 (</w:t>
            </w:r>
            <w:r w:rsidR="00F30C08" w:rsidRPr="002B136D">
              <w:rPr>
                <w:rFonts w:cs="Times New Roman"/>
                <w:sz w:val="24"/>
                <w:szCs w:val="28"/>
                <w:lang w:val="en-US"/>
              </w:rPr>
              <w:t>8</w:t>
            </w:r>
            <w:r w:rsidR="00F30C08" w:rsidRPr="002B136D">
              <w:rPr>
                <w:rFonts w:cs="Times New Roman"/>
                <w:sz w:val="24"/>
                <w:szCs w:val="28"/>
              </w:rPr>
              <w:t>5</w:t>
            </w:r>
            <w:r w:rsidR="00F30C08" w:rsidRPr="002B136D">
              <w:rPr>
                <w:rFonts w:cs="Times New Roman"/>
                <w:sz w:val="24"/>
                <w:szCs w:val="28"/>
                <w:lang w:val="en-US"/>
              </w:rPr>
              <w:t>.</w:t>
            </w:r>
            <w:r w:rsidR="00F30C08" w:rsidRPr="002B136D">
              <w:rPr>
                <w:rFonts w:cs="Times New Roman"/>
                <w:sz w:val="24"/>
                <w:szCs w:val="28"/>
              </w:rPr>
              <w:t>1</w:t>
            </w:r>
            <w:r w:rsidRPr="002B136D">
              <w:rPr>
                <w:rFonts w:cs="Times New Roman"/>
                <w:sz w:val="24"/>
                <w:szCs w:val="28"/>
              </w:rPr>
              <w:t>)</w:t>
            </w:r>
          </w:p>
        </w:tc>
        <w:tc>
          <w:tcPr>
            <w:tcW w:w="690" w:type="pct"/>
          </w:tcPr>
          <w:p w14:paraId="66146978"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381F1110" w14:textId="77777777" w:rsidR="007B646B" w:rsidRPr="002B136D" w:rsidRDefault="007B646B" w:rsidP="00AE1B94">
            <w:pPr>
              <w:jc w:val="both"/>
              <w:rPr>
                <w:rFonts w:cs="Times New Roman"/>
                <w:sz w:val="24"/>
                <w:szCs w:val="28"/>
                <w:lang w:val="en-US"/>
              </w:rPr>
            </w:pPr>
            <w:r w:rsidRPr="002B136D">
              <w:rPr>
                <w:rFonts w:cs="Times New Roman"/>
                <w:sz w:val="24"/>
                <w:szCs w:val="28"/>
                <w:lang w:val="en-US"/>
              </w:rPr>
              <w:t>0.01*</w:t>
            </w:r>
          </w:p>
        </w:tc>
      </w:tr>
      <w:tr w:rsidR="00D51D40" w:rsidRPr="002B136D" w14:paraId="0EC0F84B" w14:textId="77777777" w:rsidTr="00AF31F3">
        <w:tc>
          <w:tcPr>
            <w:tcW w:w="1838" w:type="pct"/>
            <w:hideMark/>
          </w:tcPr>
          <w:p w14:paraId="5FED0C01" w14:textId="77777777" w:rsidR="007B646B" w:rsidRPr="002B136D" w:rsidRDefault="007B646B" w:rsidP="00AE1B94">
            <w:pPr>
              <w:jc w:val="both"/>
              <w:rPr>
                <w:rFonts w:cs="Times New Roman"/>
                <w:sz w:val="24"/>
                <w:szCs w:val="28"/>
              </w:rPr>
            </w:pPr>
            <w:r w:rsidRPr="002B136D">
              <w:rPr>
                <w:rFonts w:cs="Times New Roman"/>
                <w:sz w:val="24"/>
                <w:szCs w:val="28"/>
              </w:rPr>
              <w:t> </w:t>
            </w:r>
            <w:r w:rsidRPr="002B136D">
              <w:rPr>
                <w:rFonts w:cs="Times New Roman"/>
                <w:sz w:val="24"/>
                <w:szCs w:val="28"/>
              </w:rPr>
              <w:t>17–18</w:t>
            </w:r>
          </w:p>
        </w:tc>
        <w:tc>
          <w:tcPr>
            <w:tcW w:w="955" w:type="pct"/>
            <w:hideMark/>
          </w:tcPr>
          <w:p w14:paraId="23F27501" w14:textId="24DDD716" w:rsidR="007B646B" w:rsidRPr="002B136D" w:rsidRDefault="00F30C08" w:rsidP="00AE1B94">
            <w:pPr>
              <w:jc w:val="both"/>
              <w:rPr>
                <w:rFonts w:cs="Times New Roman"/>
                <w:sz w:val="24"/>
                <w:szCs w:val="28"/>
              </w:rPr>
            </w:pPr>
            <w:r w:rsidRPr="002B136D">
              <w:rPr>
                <w:rFonts w:cs="Times New Roman"/>
                <w:sz w:val="24"/>
                <w:szCs w:val="28"/>
              </w:rPr>
              <w:t xml:space="preserve">5 </w:t>
            </w:r>
            <w:r w:rsidR="007B646B" w:rsidRPr="002B136D">
              <w:rPr>
                <w:rFonts w:cs="Times New Roman"/>
                <w:sz w:val="24"/>
                <w:szCs w:val="28"/>
              </w:rPr>
              <w:t>(</w:t>
            </w:r>
            <w:r w:rsidRPr="002B136D">
              <w:rPr>
                <w:rFonts w:cs="Times New Roman"/>
                <w:sz w:val="24"/>
                <w:szCs w:val="28"/>
                <w:lang w:val="en-US"/>
              </w:rPr>
              <w:t>1</w:t>
            </w:r>
            <w:r w:rsidRPr="002B136D">
              <w:rPr>
                <w:rFonts w:cs="Times New Roman"/>
                <w:sz w:val="24"/>
                <w:szCs w:val="28"/>
              </w:rPr>
              <w:t>1,6</w:t>
            </w:r>
            <w:r w:rsidR="007B646B" w:rsidRPr="002B136D">
              <w:rPr>
                <w:rFonts w:cs="Times New Roman"/>
                <w:sz w:val="24"/>
                <w:szCs w:val="28"/>
              </w:rPr>
              <w:t>)</w:t>
            </w:r>
          </w:p>
        </w:tc>
        <w:tc>
          <w:tcPr>
            <w:tcW w:w="1030" w:type="pct"/>
          </w:tcPr>
          <w:p w14:paraId="277F7DC2" w14:textId="22B853A8" w:rsidR="007B646B" w:rsidRPr="002B136D" w:rsidRDefault="00F30C08" w:rsidP="00AE1B94">
            <w:pPr>
              <w:jc w:val="both"/>
              <w:rPr>
                <w:rFonts w:cs="Times New Roman"/>
                <w:sz w:val="24"/>
                <w:szCs w:val="28"/>
              </w:rPr>
            </w:pPr>
            <w:r w:rsidRPr="002B136D">
              <w:rPr>
                <w:rFonts w:cs="Times New Roman"/>
                <w:sz w:val="24"/>
                <w:szCs w:val="28"/>
              </w:rPr>
              <w:t>4</w:t>
            </w:r>
            <w:r w:rsidR="007B646B" w:rsidRPr="002B136D">
              <w:rPr>
                <w:rFonts w:cs="Times New Roman"/>
                <w:sz w:val="24"/>
                <w:szCs w:val="28"/>
              </w:rPr>
              <w:t xml:space="preserve"> (</w:t>
            </w:r>
            <w:r w:rsidRPr="002B136D">
              <w:rPr>
                <w:rFonts w:cs="Times New Roman"/>
                <w:sz w:val="24"/>
                <w:szCs w:val="28"/>
                <w:lang w:val="en-US"/>
              </w:rPr>
              <w:t>1</w:t>
            </w:r>
            <w:r w:rsidRPr="002B136D">
              <w:rPr>
                <w:rFonts w:cs="Times New Roman"/>
                <w:sz w:val="24"/>
                <w:szCs w:val="28"/>
              </w:rPr>
              <w:t>4</w:t>
            </w:r>
            <w:r w:rsidRPr="002B136D">
              <w:rPr>
                <w:rFonts w:cs="Times New Roman"/>
                <w:sz w:val="24"/>
                <w:szCs w:val="28"/>
                <w:lang w:val="en-US"/>
              </w:rPr>
              <w:t>.</w:t>
            </w:r>
            <w:r w:rsidRPr="002B136D">
              <w:rPr>
                <w:rFonts w:cs="Times New Roman"/>
                <w:sz w:val="24"/>
                <w:szCs w:val="28"/>
              </w:rPr>
              <w:t>9</w:t>
            </w:r>
            <w:r w:rsidR="007B646B" w:rsidRPr="002B136D">
              <w:rPr>
                <w:rFonts w:cs="Times New Roman"/>
                <w:sz w:val="24"/>
                <w:szCs w:val="28"/>
              </w:rPr>
              <w:t>)</w:t>
            </w:r>
          </w:p>
        </w:tc>
        <w:tc>
          <w:tcPr>
            <w:tcW w:w="690" w:type="pct"/>
          </w:tcPr>
          <w:p w14:paraId="61083F82"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14795BBC" w14:textId="77777777" w:rsidR="007B646B" w:rsidRPr="002B136D" w:rsidRDefault="007B646B" w:rsidP="00AE1B94">
            <w:pPr>
              <w:jc w:val="both"/>
              <w:rPr>
                <w:rFonts w:cs="Times New Roman"/>
                <w:sz w:val="24"/>
                <w:szCs w:val="28"/>
                <w:lang w:val="en-US"/>
              </w:rPr>
            </w:pPr>
            <w:r w:rsidRPr="002B136D">
              <w:rPr>
                <w:rFonts w:cs="Times New Roman"/>
                <w:sz w:val="24"/>
                <w:szCs w:val="28"/>
                <w:lang w:val="en-US"/>
              </w:rPr>
              <w:t>0.84</w:t>
            </w:r>
          </w:p>
        </w:tc>
      </w:tr>
      <w:tr w:rsidR="00D51D40" w:rsidRPr="002B136D" w14:paraId="42D48D33" w14:textId="77777777" w:rsidTr="00AF31F3">
        <w:tc>
          <w:tcPr>
            <w:tcW w:w="1838" w:type="pct"/>
            <w:hideMark/>
          </w:tcPr>
          <w:p w14:paraId="1C02032E" w14:textId="77777777" w:rsidR="007B646B" w:rsidRPr="002B136D" w:rsidRDefault="007B646B" w:rsidP="00AE1B94">
            <w:pPr>
              <w:jc w:val="both"/>
              <w:rPr>
                <w:rFonts w:cs="Times New Roman"/>
                <w:sz w:val="24"/>
                <w:szCs w:val="28"/>
              </w:rPr>
            </w:pPr>
            <w:r w:rsidRPr="002B136D">
              <w:rPr>
                <w:rFonts w:cs="Times New Roman"/>
                <w:sz w:val="24"/>
                <w:szCs w:val="28"/>
              </w:rPr>
              <w:t> </w:t>
            </w:r>
            <w:r w:rsidRPr="002B136D">
              <w:rPr>
                <w:rFonts w:cs="Times New Roman"/>
                <w:sz w:val="24"/>
                <w:szCs w:val="28"/>
              </w:rPr>
              <w:t>19–22</w:t>
            </w:r>
          </w:p>
        </w:tc>
        <w:tc>
          <w:tcPr>
            <w:tcW w:w="955" w:type="pct"/>
            <w:hideMark/>
          </w:tcPr>
          <w:p w14:paraId="1440BC74" w14:textId="363CEAAD" w:rsidR="007B646B" w:rsidRPr="002B136D" w:rsidRDefault="00F30C08" w:rsidP="00AE1B94">
            <w:pPr>
              <w:jc w:val="both"/>
              <w:rPr>
                <w:rFonts w:cs="Times New Roman"/>
                <w:sz w:val="24"/>
                <w:szCs w:val="28"/>
              </w:rPr>
            </w:pPr>
            <w:r w:rsidRPr="002B136D">
              <w:rPr>
                <w:rFonts w:cs="Times New Roman"/>
                <w:sz w:val="24"/>
                <w:szCs w:val="28"/>
              </w:rPr>
              <w:t>2</w:t>
            </w:r>
            <w:r w:rsidR="007B646B" w:rsidRPr="002B136D">
              <w:rPr>
                <w:rFonts w:cs="Times New Roman"/>
                <w:sz w:val="24"/>
                <w:szCs w:val="28"/>
              </w:rPr>
              <w:t>4 (</w:t>
            </w:r>
            <w:r w:rsidRPr="002B136D">
              <w:rPr>
                <w:rFonts w:cs="Times New Roman"/>
                <w:sz w:val="24"/>
                <w:szCs w:val="28"/>
                <w:lang w:val="en-US"/>
              </w:rPr>
              <w:t>5</w:t>
            </w:r>
            <w:r w:rsidRPr="002B136D">
              <w:rPr>
                <w:rFonts w:cs="Times New Roman"/>
                <w:sz w:val="24"/>
                <w:szCs w:val="28"/>
              </w:rPr>
              <w:t>5,8</w:t>
            </w:r>
            <w:r w:rsidR="007B646B" w:rsidRPr="002B136D">
              <w:rPr>
                <w:rFonts w:cs="Times New Roman"/>
                <w:sz w:val="24"/>
                <w:szCs w:val="28"/>
              </w:rPr>
              <w:t>)</w:t>
            </w:r>
          </w:p>
        </w:tc>
        <w:tc>
          <w:tcPr>
            <w:tcW w:w="1030" w:type="pct"/>
          </w:tcPr>
          <w:p w14:paraId="128A5F39"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690" w:type="pct"/>
          </w:tcPr>
          <w:p w14:paraId="6173C035"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30A19B6E" w14:textId="77777777" w:rsidR="007B646B" w:rsidRPr="002B136D" w:rsidRDefault="007B646B" w:rsidP="00AE1B94">
            <w:pPr>
              <w:jc w:val="both"/>
              <w:rPr>
                <w:rFonts w:cs="Times New Roman"/>
                <w:sz w:val="24"/>
                <w:szCs w:val="28"/>
              </w:rPr>
            </w:pPr>
          </w:p>
        </w:tc>
      </w:tr>
      <w:tr w:rsidR="00D51D40" w:rsidRPr="002B136D" w14:paraId="070EE005" w14:textId="77777777" w:rsidTr="00AF31F3">
        <w:tc>
          <w:tcPr>
            <w:tcW w:w="1838" w:type="pct"/>
            <w:hideMark/>
          </w:tcPr>
          <w:p w14:paraId="6F39A6E1" w14:textId="77777777" w:rsidR="007B646B" w:rsidRPr="002B136D" w:rsidRDefault="007B646B" w:rsidP="00AE1B94">
            <w:pPr>
              <w:jc w:val="both"/>
              <w:rPr>
                <w:rFonts w:cs="Times New Roman"/>
                <w:sz w:val="24"/>
                <w:szCs w:val="28"/>
              </w:rPr>
            </w:pPr>
            <w:r w:rsidRPr="002B136D">
              <w:rPr>
                <w:rFonts w:cs="Times New Roman"/>
                <w:sz w:val="24"/>
                <w:szCs w:val="28"/>
              </w:rPr>
              <w:t> </w:t>
            </w:r>
            <w:r w:rsidRPr="002B136D">
              <w:rPr>
                <w:rFonts w:cs="Times New Roman"/>
                <w:sz w:val="24"/>
                <w:szCs w:val="28"/>
              </w:rPr>
              <w:t>&gt;22</w:t>
            </w:r>
          </w:p>
        </w:tc>
        <w:tc>
          <w:tcPr>
            <w:tcW w:w="955" w:type="pct"/>
            <w:hideMark/>
          </w:tcPr>
          <w:p w14:paraId="11C3FF46" w14:textId="07944D06" w:rsidR="007B646B" w:rsidRPr="002B136D" w:rsidRDefault="00F30C08" w:rsidP="00AE1B94">
            <w:pPr>
              <w:jc w:val="both"/>
              <w:rPr>
                <w:rFonts w:cs="Times New Roman"/>
                <w:sz w:val="24"/>
                <w:szCs w:val="28"/>
              </w:rPr>
            </w:pPr>
            <w:r w:rsidRPr="002B136D">
              <w:rPr>
                <w:rFonts w:cs="Times New Roman"/>
                <w:sz w:val="24"/>
                <w:szCs w:val="28"/>
              </w:rPr>
              <w:t>11</w:t>
            </w:r>
            <w:r w:rsidR="007B646B" w:rsidRPr="002B136D">
              <w:rPr>
                <w:rFonts w:cs="Times New Roman"/>
                <w:sz w:val="24"/>
                <w:szCs w:val="28"/>
              </w:rPr>
              <w:t xml:space="preserve"> (</w:t>
            </w:r>
            <w:r w:rsidRPr="002B136D">
              <w:rPr>
                <w:rFonts w:cs="Times New Roman"/>
                <w:sz w:val="24"/>
                <w:szCs w:val="28"/>
                <w:lang w:val="en-US"/>
              </w:rPr>
              <w:t>2</w:t>
            </w:r>
            <w:r w:rsidRPr="002B136D">
              <w:rPr>
                <w:rFonts w:cs="Times New Roman"/>
                <w:sz w:val="24"/>
                <w:szCs w:val="28"/>
              </w:rPr>
              <w:t>5,6</w:t>
            </w:r>
            <w:r w:rsidR="007B646B" w:rsidRPr="002B136D">
              <w:rPr>
                <w:rFonts w:cs="Times New Roman"/>
                <w:sz w:val="24"/>
                <w:szCs w:val="28"/>
              </w:rPr>
              <w:t>)</w:t>
            </w:r>
          </w:p>
        </w:tc>
        <w:tc>
          <w:tcPr>
            <w:tcW w:w="1030" w:type="pct"/>
          </w:tcPr>
          <w:p w14:paraId="2724EBE2"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690" w:type="pct"/>
          </w:tcPr>
          <w:p w14:paraId="4E7A1391"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3C4D930B" w14:textId="77777777" w:rsidR="007B646B" w:rsidRPr="002B136D" w:rsidRDefault="007B646B" w:rsidP="00AE1B94">
            <w:pPr>
              <w:jc w:val="both"/>
              <w:rPr>
                <w:rFonts w:cs="Times New Roman"/>
                <w:sz w:val="24"/>
                <w:szCs w:val="28"/>
              </w:rPr>
            </w:pPr>
          </w:p>
        </w:tc>
      </w:tr>
      <w:tr w:rsidR="00D51D40" w:rsidRPr="002B136D" w14:paraId="2CA32517" w14:textId="77777777" w:rsidTr="00AF31F3">
        <w:tc>
          <w:tcPr>
            <w:tcW w:w="1838" w:type="pct"/>
            <w:hideMark/>
          </w:tcPr>
          <w:p w14:paraId="60B4DD2E" w14:textId="77777777" w:rsidR="007B646B" w:rsidRPr="002B136D" w:rsidRDefault="007B646B" w:rsidP="00AE1B94">
            <w:pPr>
              <w:jc w:val="both"/>
              <w:rPr>
                <w:rFonts w:cs="Times New Roman"/>
                <w:sz w:val="24"/>
                <w:szCs w:val="28"/>
              </w:rPr>
            </w:pPr>
            <w:r w:rsidRPr="002B136D">
              <w:rPr>
                <w:rFonts w:cs="Times New Roman"/>
                <w:sz w:val="24"/>
                <w:szCs w:val="28"/>
              </w:rPr>
              <w:t>Диплопия</w:t>
            </w:r>
          </w:p>
        </w:tc>
        <w:tc>
          <w:tcPr>
            <w:tcW w:w="955" w:type="pct"/>
            <w:hideMark/>
          </w:tcPr>
          <w:p w14:paraId="159624DA" w14:textId="4EFB323E" w:rsidR="007B646B" w:rsidRPr="002B136D" w:rsidRDefault="00326F83" w:rsidP="00AE1B94">
            <w:pPr>
              <w:jc w:val="both"/>
              <w:rPr>
                <w:rFonts w:cs="Times New Roman"/>
                <w:sz w:val="24"/>
                <w:szCs w:val="28"/>
              </w:rPr>
            </w:pPr>
            <w:r w:rsidRPr="002B136D">
              <w:rPr>
                <w:rFonts w:cs="Times New Roman"/>
                <w:sz w:val="24"/>
                <w:szCs w:val="28"/>
              </w:rPr>
              <w:t>22</w:t>
            </w:r>
            <w:r w:rsidR="007B646B" w:rsidRPr="002B136D">
              <w:rPr>
                <w:rFonts w:cs="Times New Roman"/>
                <w:sz w:val="24"/>
                <w:szCs w:val="28"/>
              </w:rPr>
              <w:t xml:space="preserve"> (</w:t>
            </w:r>
            <w:r w:rsidRPr="002B136D">
              <w:rPr>
                <w:rFonts w:cs="Times New Roman"/>
                <w:sz w:val="24"/>
                <w:szCs w:val="28"/>
                <w:lang w:val="en-US"/>
              </w:rPr>
              <w:t>5</w:t>
            </w:r>
            <w:r w:rsidRPr="002B136D">
              <w:rPr>
                <w:rFonts w:cs="Times New Roman"/>
                <w:sz w:val="24"/>
                <w:szCs w:val="28"/>
              </w:rPr>
              <w:t>1</w:t>
            </w:r>
            <w:r w:rsidR="007B646B" w:rsidRPr="002B136D">
              <w:rPr>
                <w:rFonts w:cs="Times New Roman"/>
                <w:sz w:val="24"/>
                <w:szCs w:val="28"/>
              </w:rPr>
              <w:t>)</w:t>
            </w:r>
          </w:p>
        </w:tc>
        <w:tc>
          <w:tcPr>
            <w:tcW w:w="1030" w:type="pct"/>
          </w:tcPr>
          <w:p w14:paraId="3C106B54" w14:textId="77777777" w:rsidR="007B646B" w:rsidRPr="002B136D" w:rsidRDefault="007B646B" w:rsidP="00AE1B94">
            <w:pPr>
              <w:jc w:val="both"/>
              <w:rPr>
                <w:rFonts w:cs="Times New Roman"/>
                <w:sz w:val="24"/>
                <w:szCs w:val="28"/>
              </w:rPr>
            </w:pPr>
            <w:r w:rsidRPr="002B136D">
              <w:rPr>
                <w:rFonts w:cs="Times New Roman"/>
                <w:sz w:val="24"/>
                <w:szCs w:val="28"/>
              </w:rPr>
              <w:t>1 (</w:t>
            </w:r>
            <w:r w:rsidRPr="002B136D">
              <w:rPr>
                <w:rFonts w:cs="Times New Roman"/>
                <w:sz w:val="24"/>
                <w:szCs w:val="28"/>
                <w:lang w:val="en-US"/>
              </w:rPr>
              <w:t>4</w:t>
            </w:r>
            <w:r w:rsidRPr="002B136D">
              <w:rPr>
                <w:rFonts w:cs="Times New Roman"/>
                <w:sz w:val="24"/>
                <w:szCs w:val="28"/>
              </w:rPr>
              <w:t>)</w:t>
            </w:r>
          </w:p>
        </w:tc>
        <w:tc>
          <w:tcPr>
            <w:tcW w:w="690" w:type="pct"/>
          </w:tcPr>
          <w:p w14:paraId="5CF24ED4"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56C708A2" w14:textId="77777777" w:rsidR="007B646B" w:rsidRPr="002B136D" w:rsidRDefault="007B646B" w:rsidP="00AE1B94">
            <w:pPr>
              <w:jc w:val="both"/>
              <w:rPr>
                <w:rFonts w:cs="Times New Roman"/>
                <w:sz w:val="24"/>
                <w:szCs w:val="28"/>
                <w:lang w:val="en-US"/>
              </w:rPr>
            </w:pPr>
            <w:r w:rsidRPr="002B136D">
              <w:rPr>
                <w:rFonts w:cs="Times New Roman"/>
                <w:sz w:val="24"/>
                <w:szCs w:val="28"/>
                <w:lang w:val="en-US"/>
              </w:rPr>
              <w:t>0.01*</w:t>
            </w:r>
          </w:p>
        </w:tc>
      </w:tr>
      <w:tr w:rsidR="002B136D" w:rsidRPr="002B136D" w14:paraId="34C575D5" w14:textId="77777777" w:rsidTr="00AF31F3">
        <w:tc>
          <w:tcPr>
            <w:tcW w:w="1838" w:type="pct"/>
            <w:hideMark/>
          </w:tcPr>
          <w:p w14:paraId="09D2AEF6" w14:textId="77777777" w:rsidR="007B646B" w:rsidRPr="002B136D" w:rsidRDefault="007B646B" w:rsidP="00AE1B94">
            <w:pPr>
              <w:jc w:val="both"/>
              <w:rPr>
                <w:rFonts w:cs="Times New Roman"/>
                <w:sz w:val="24"/>
                <w:szCs w:val="28"/>
              </w:rPr>
            </w:pPr>
            <w:r w:rsidRPr="002B136D">
              <w:rPr>
                <w:rFonts w:cs="Times New Roman"/>
                <w:sz w:val="24"/>
                <w:szCs w:val="28"/>
              </w:rPr>
              <w:t>Увеличение экстраокулярных мышц</w:t>
            </w:r>
          </w:p>
        </w:tc>
        <w:tc>
          <w:tcPr>
            <w:tcW w:w="955" w:type="pct"/>
            <w:hideMark/>
          </w:tcPr>
          <w:p w14:paraId="728ED168" w14:textId="4B526AAA" w:rsidR="007B646B" w:rsidRPr="002B136D" w:rsidRDefault="00326F83" w:rsidP="00AE1B94">
            <w:pPr>
              <w:jc w:val="both"/>
              <w:rPr>
                <w:rFonts w:cs="Times New Roman"/>
                <w:sz w:val="24"/>
                <w:szCs w:val="28"/>
              </w:rPr>
            </w:pPr>
            <w:r w:rsidRPr="002B136D">
              <w:rPr>
                <w:rFonts w:cs="Times New Roman"/>
                <w:sz w:val="24"/>
                <w:szCs w:val="28"/>
              </w:rPr>
              <w:t>26</w:t>
            </w:r>
            <w:r w:rsidR="007B646B" w:rsidRPr="002B136D">
              <w:rPr>
                <w:rFonts w:cs="Times New Roman"/>
                <w:sz w:val="24"/>
                <w:szCs w:val="28"/>
              </w:rPr>
              <w:t xml:space="preserve"> (</w:t>
            </w:r>
            <w:r w:rsidR="007B646B" w:rsidRPr="002B136D">
              <w:rPr>
                <w:rFonts w:cs="Times New Roman"/>
                <w:sz w:val="24"/>
                <w:szCs w:val="28"/>
                <w:lang w:val="en-US"/>
              </w:rPr>
              <w:t>60</w:t>
            </w:r>
            <w:r w:rsidR="007B646B" w:rsidRPr="002B136D">
              <w:rPr>
                <w:rFonts w:cs="Times New Roman"/>
                <w:sz w:val="24"/>
                <w:szCs w:val="28"/>
              </w:rPr>
              <w:t>)</w:t>
            </w:r>
          </w:p>
        </w:tc>
        <w:tc>
          <w:tcPr>
            <w:tcW w:w="1030" w:type="pct"/>
          </w:tcPr>
          <w:p w14:paraId="6C046BE7" w14:textId="66EDCAC1" w:rsidR="007B646B" w:rsidRPr="002B136D" w:rsidRDefault="007B646B" w:rsidP="00AE1B94">
            <w:pPr>
              <w:jc w:val="both"/>
              <w:rPr>
                <w:rFonts w:cs="Times New Roman"/>
                <w:sz w:val="24"/>
                <w:szCs w:val="28"/>
              </w:rPr>
            </w:pPr>
            <w:r w:rsidRPr="002B136D">
              <w:rPr>
                <w:rFonts w:cs="Times New Roman"/>
                <w:sz w:val="24"/>
                <w:szCs w:val="28"/>
              </w:rPr>
              <w:t>3 (</w:t>
            </w:r>
            <w:r w:rsidR="00326F83" w:rsidRPr="002B136D">
              <w:rPr>
                <w:rFonts w:cs="Times New Roman"/>
                <w:sz w:val="24"/>
                <w:szCs w:val="28"/>
                <w:lang w:val="en-US"/>
              </w:rPr>
              <w:t>11.</w:t>
            </w:r>
            <w:r w:rsidR="00326F83" w:rsidRPr="002B136D">
              <w:rPr>
                <w:rFonts w:cs="Times New Roman"/>
                <w:sz w:val="24"/>
                <w:szCs w:val="28"/>
              </w:rPr>
              <w:t>1</w:t>
            </w:r>
            <w:r w:rsidRPr="002B136D">
              <w:rPr>
                <w:rFonts w:cs="Times New Roman"/>
                <w:sz w:val="24"/>
                <w:szCs w:val="28"/>
              </w:rPr>
              <w:t>)</w:t>
            </w:r>
          </w:p>
        </w:tc>
        <w:tc>
          <w:tcPr>
            <w:tcW w:w="690" w:type="pct"/>
          </w:tcPr>
          <w:p w14:paraId="00AC7721"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7362EA5A" w14:textId="77777777" w:rsidR="007B646B" w:rsidRPr="002B136D" w:rsidRDefault="007B646B" w:rsidP="00AE1B94">
            <w:pPr>
              <w:jc w:val="both"/>
              <w:rPr>
                <w:rFonts w:cs="Times New Roman"/>
                <w:sz w:val="24"/>
                <w:szCs w:val="28"/>
                <w:lang w:val="en-US"/>
              </w:rPr>
            </w:pPr>
            <w:r w:rsidRPr="002B136D">
              <w:rPr>
                <w:rFonts w:cs="Times New Roman"/>
                <w:sz w:val="24"/>
                <w:szCs w:val="28"/>
                <w:lang w:val="en-US"/>
              </w:rPr>
              <w:t>0.01*</w:t>
            </w:r>
          </w:p>
        </w:tc>
      </w:tr>
      <w:tr w:rsidR="002B136D" w:rsidRPr="002B136D" w14:paraId="606AB99B" w14:textId="77777777" w:rsidTr="00AF31F3">
        <w:tc>
          <w:tcPr>
            <w:tcW w:w="1838" w:type="pct"/>
            <w:hideMark/>
          </w:tcPr>
          <w:p w14:paraId="16464A6B" w14:textId="77777777" w:rsidR="007B646B" w:rsidRPr="002B136D" w:rsidRDefault="007B646B" w:rsidP="00AE1B94">
            <w:pPr>
              <w:jc w:val="both"/>
              <w:rPr>
                <w:rFonts w:cs="Times New Roman"/>
                <w:sz w:val="24"/>
                <w:szCs w:val="28"/>
              </w:rPr>
            </w:pPr>
            <w:r w:rsidRPr="002B136D">
              <w:rPr>
                <w:rFonts w:cs="Times New Roman"/>
                <w:sz w:val="24"/>
                <w:szCs w:val="28"/>
              </w:rPr>
              <w:t>Ретракция верхних век</w:t>
            </w:r>
          </w:p>
        </w:tc>
        <w:tc>
          <w:tcPr>
            <w:tcW w:w="955" w:type="pct"/>
            <w:hideMark/>
          </w:tcPr>
          <w:p w14:paraId="21A19CC7" w14:textId="7816E2C5" w:rsidR="007B646B" w:rsidRPr="002B136D" w:rsidRDefault="00326F83" w:rsidP="00AE1B94">
            <w:pPr>
              <w:jc w:val="both"/>
              <w:rPr>
                <w:rFonts w:cs="Times New Roman"/>
                <w:sz w:val="24"/>
                <w:szCs w:val="28"/>
              </w:rPr>
            </w:pPr>
            <w:r w:rsidRPr="002B136D">
              <w:rPr>
                <w:rFonts w:cs="Times New Roman"/>
                <w:sz w:val="24"/>
                <w:szCs w:val="28"/>
              </w:rPr>
              <w:t xml:space="preserve"> </w:t>
            </w:r>
            <w:r w:rsidR="00D7158F" w:rsidRPr="002B136D">
              <w:rPr>
                <w:rFonts w:cs="Times New Roman"/>
                <w:sz w:val="24"/>
                <w:szCs w:val="28"/>
              </w:rPr>
              <w:t>20(48)</w:t>
            </w:r>
          </w:p>
        </w:tc>
        <w:tc>
          <w:tcPr>
            <w:tcW w:w="1030" w:type="pct"/>
          </w:tcPr>
          <w:p w14:paraId="500830B8" w14:textId="77777777" w:rsidR="007B646B" w:rsidRPr="002B136D" w:rsidRDefault="007B646B" w:rsidP="00AE1B94">
            <w:pPr>
              <w:jc w:val="both"/>
              <w:rPr>
                <w:rFonts w:cs="Times New Roman"/>
                <w:sz w:val="24"/>
                <w:szCs w:val="28"/>
              </w:rPr>
            </w:pPr>
            <w:r w:rsidRPr="002B136D">
              <w:rPr>
                <w:rFonts w:cs="Times New Roman"/>
                <w:sz w:val="24"/>
                <w:szCs w:val="28"/>
              </w:rPr>
              <w:t>2 (</w:t>
            </w:r>
            <w:r w:rsidRPr="002B136D">
              <w:rPr>
                <w:rFonts w:cs="Times New Roman"/>
                <w:sz w:val="24"/>
                <w:szCs w:val="28"/>
                <w:lang w:val="en-US"/>
              </w:rPr>
              <w:t>8</w:t>
            </w:r>
            <w:r w:rsidRPr="002B136D">
              <w:rPr>
                <w:rFonts w:cs="Times New Roman"/>
                <w:sz w:val="24"/>
                <w:szCs w:val="28"/>
              </w:rPr>
              <w:t>)</w:t>
            </w:r>
          </w:p>
        </w:tc>
        <w:tc>
          <w:tcPr>
            <w:tcW w:w="690" w:type="pct"/>
          </w:tcPr>
          <w:p w14:paraId="6541E60C"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2C234715" w14:textId="77777777" w:rsidR="007B646B" w:rsidRPr="002B136D" w:rsidRDefault="007B646B" w:rsidP="00AE1B94">
            <w:pPr>
              <w:jc w:val="both"/>
              <w:rPr>
                <w:rFonts w:cs="Times New Roman"/>
                <w:sz w:val="24"/>
                <w:szCs w:val="28"/>
                <w:lang w:val="en-US"/>
              </w:rPr>
            </w:pPr>
            <w:r w:rsidRPr="002B136D">
              <w:rPr>
                <w:rFonts w:cs="Times New Roman"/>
                <w:sz w:val="24"/>
                <w:szCs w:val="28"/>
                <w:lang w:val="en-US"/>
              </w:rPr>
              <w:t>0.01*</w:t>
            </w:r>
          </w:p>
        </w:tc>
      </w:tr>
      <w:tr w:rsidR="002B136D" w:rsidRPr="002B136D" w14:paraId="7DDD6B35" w14:textId="77777777" w:rsidTr="00AF31F3">
        <w:tc>
          <w:tcPr>
            <w:tcW w:w="1838" w:type="pct"/>
            <w:hideMark/>
          </w:tcPr>
          <w:p w14:paraId="795F6C5C" w14:textId="77777777" w:rsidR="007B646B" w:rsidRPr="002B136D" w:rsidRDefault="007B646B" w:rsidP="00AE1B94">
            <w:pPr>
              <w:jc w:val="both"/>
              <w:rPr>
                <w:rFonts w:cs="Times New Roman"/>
                <w:sz w:val="24"/>
                <w:szCs w:val="28"/>
              </w:rPr>
            </w:pPr>
            <w:r w:rsidRPr="002B136D">
              <w:rPr>
                <w:rFonts w:cs="Times New Roman"/>
                <w:sz w:val="24"/>
                <w:szCs w:val="28"/>
              </w:rPr>
              <w:t>Компрессионная оптическая нейропатия</w:t>
            </w:r>
          </w:p>
        </w:tc>
        <w:tc>
          <w:tcPr>
            <w:tcW w:w="955" w:type="pct"/>
            <w:hideMark/>
          </w:tcPr>
          <w:p w14:paraId="5CCD0BB1" w14:textId="76F727D4" w:rsidR="007B646B" w:rsidRPr="002B136D" w:rsidRDefault="00326F83" w:rsidP="00AE1B94">
            <w:pPr>
              <w:jc w:val="both"/>
              <w:rPr>
                <w:rFonts w:cs="Times New Roman"/>
                <w:sz w:val="24"/>
                <w:szCs w:val="28"/>
              </w:rPr>
            </w:pPr>
            <w:r w:rsidRPr="002B136D">
              <w:rPr>
                <w:rFonts w:cs="Times New Roman"/>
                <w:sz w:val="24"/>
                <w:szCs w:val="28"/>
              </w:rPr>
              <w:t>5</w:t>
            </w:r>
            <w:r w:rsidR="007B646B" w:rsidRPr="002B136D">
              <w:rPr>
                <w:rFonts w:cs="Times New Roman"/>
                <w:sz w:val="24"/>
                <w:szCs w:val="28"/>
              </w:rPr>
              <w:t xml:space="preserve"> (</w:t>
            </w:r>
            <w:r w:rsidR="007B646B" w:rsidRPr="002B136D">
              <w:rPr>
                <w:rFonts w:cs="Times New Roman"/>
                <w:sz w:val="24"/>
                <w:szCs w:val="28"/>
                <w:lang w:val="en-US"/>
              </w:rPr>
              <w:t>12</w:t>
            </w:r>
            <w:r w:rsidR="007B646B" w:rsidRPr="002B136D">
              <w:rPr>
                <w:rFonts w:cs="Times New Roman"/>
                <w:sz w:val="24"/>
                <w:szCs w:val="28"/>
              </w:rPr>
              <w:t>)</w:t>
            </w:r>
          </w:p>
        </w:tc>
        <w:tc>
          <w:tcPr>
            <w:tcW w:w="1030" w:type="pct"/>
          </w:tcPr>
          <w:p w14:paraId="41467252" w14:textId="77777777" w:rsidR="007B646B" w:rsidRPr="002B136D" w:rsidRDefault="007B646B" w:rsidP="00AE1B94">
            <w:pPr>
              <w:jc w:val="both"/>
              <w:rPr>
                <w:rFonts w:cs="Times New Roman"/>
                <w:sz w:val="24"/>
                <w:szCs w:val="28"/>
              </w:rPr>
            </w:pPr>
            <w:r w:rsidRPr="002B136D">
              <w:rPr>
                <w:rFonts w:cs="Times New Roman"/>
                <w:sz w:val="24"/>
                <w:szCs w:val="28"/>
                <w:lang w:val="en-US"/>
              </w:rPr>
              <w:t>1</w:t>
            </w:r>
            <w:r w:rsidRPr="002B136D">
              <w:rPr>
                <w:rFonts w:cs="Times New Roman"/>
                <w:sz w:val="24"/>
                <w:szCs w:val="28"/>
              </w:rPr>
              <w:t>(</w:t>
            </w:r>
            <w:r w:rsidRPr="002B136D">
              <w:rPr>
                <w:rFonts w:cs="Times New Roman"/>
                <w:sz w:val="24"/>
                <w:szCs w:val="28"/>
                <w:lang w:val="en-US"/>
              </w:rPr>
              <w:t>4</w:t>
            </w:r>
            <w:r w:rsidRPr="002B136D">
              <w:rPr>
                <w:rFonts w:cs="Times New Roman"/>
                <w:sz w:val="24"/>
                <w:szCs w:val="28"/>
              </w:rPr>
              <w:t>)</w:t>
            </w:r>
          </w:p>
        </w:tc>
        <w:tc>
          <w:tcPr>
            <w:tcW w:w="690" w:type="pct"/>
          </w:tcPr>
          <w:p w14:paraId="469C98A4" w14:textId="77777777" w:rsidR="007B646B" w:rsidRPr="002B136D" w:rsidRDefault="007B646B" w:rsidP="00AE1B94">
            <w:pPr>
              <w:jc w:val="both"/>
              <w:rPr>
                <w:rFonts w:cs="Times New Roman"/>
                <w:sz w:val="24"/>
                <w:szCs w:val="28"/>
              </w:rPr>
            </w:pPr>
            <w:r w:rsidRPr="002B136D">
              <w:rPr>
                <w:rFonts w:cs="Times New Roman"/>
                <w:sz w:val="24"/>
                <w:szCs w:val="28"/>
              </w:rPr>
              <w:t>-</w:t>
            </w:r>
          </w:p>
        </w:tc>
        <w:tc>
          <w:tcPr>
            <w:tcW w:w="486" w:type="pct"/>
          </w:tcPr>
          <w:p w14:paraId="0098B827" w14:textId="77777777" w:rsidR="007B646B" w:rsidRPr="002B136D" w:rsidRDefault="007B646B" w:rsidP="00AE1B94">
            <w:pPr>
              <w:jc w:val="both"/>
              <w:rPr>
                <w:rFonts w:cs="Times New Roman"/>
                <w:sz w:val="24"/>
                <w:szCs w:val="28"/>
                <w:lang w:val="en-US"/>
              </w:rPr>
            </w:pPr>
            <w:r w:rsidRPr="002B136D">
              <w:rPr>
                <w:rFonts w:cs="Times New Roman"/>
                <w:sz w:val="24"/>
                <w:szCs w:val="28"/>
                <w:lang w:val="en-US"/>
              </w:rPr>
              <w:t>0.67</w:t>
            </w:r>
          </w:p>
        </w:tc>
      </w:tr>
    </w:tbl>
    <w:p w14:paraId="0559D1F0" w14:textId="77777777" w:rsidR="00AF31F3" w:rsidRDefault="00AF31F3" w:rsidP="00AE1B94">
      <w:pPr>
        <w:spacing w:after="0" w:line="240" w:lineRule="auto"/>
        <w:ind w:firstLine="709"/>
        <w:contextualSpacing/>
        <w:jc w:val="both"/>
        <w:rPr>
          <w:rFonts w:cs="Times New Roman"/>
          <w:b/>
          <w:bCs/>
          <w:szCs w:val="28"/>
        </w:rPr>
      </w:pPr>
    </w:p>
    <w:p w14:paraId="758C3153" w14:textId="7BE117C5" w:rsidR="00103DB8" w:rsidRPr="002B136D" w:rsidRDefault="00103DB8" w:rsidP="00AF31F3">
      <w:pPr>
        <w:spacing w:after="0" w:line="240" w:lineRule="auto"/>
        <w:ind w:firstLine="567"/>
        <w:contextualSpacing/>
        <w:jc w:val="both"/>
        <w:rPr>
          <w:rFonts w:cs="Times New Roman"/>
          <w:szCs w:val="28"/>
        </w:rPr>
      </w:pPr>
      <w:r w:rsidRPr="002B136D">
        <w:rPr>
          <w:rFonts w:cs="Times New Roman"/>
          <w:szCs w:val="28"/>
        </w:rPr>
        <w:t>Таким образом</w:t>
      </w:r>
      <w:r w:rsidR="00F218B4" w:rsidRPr="002B136D">
        <w:rPr>
          <w:rFonts w:cs="Times New Roman"/>
          <w:szCs w:val="28"/>
        </w:rPr>
        <w:t>,</w:t>
      </w:r>
      <w:r w:rsidRPr="002B136D">
        <w:rPr>
          <w:rFonts w:cs="Times New Roman"/>
          <w:szCs w:val="28"/>
        </w:rPr>
        <w:t xml:space="preserve"> </w:t>
      </w:r>
      <w:r w:rsidR="007153D2" w:rsidRPr="002B136D">
        <w:rPr>
          <w:rFonts w:cs="Times New Roman"/>
          <w:szCs w:val="28"/>
        </w:rPr>
        <w:t>исходные характеристики исследовательских групп показали, что с</w:t>
      </w:r>
      <w:r w:rsidRPr="002B136D">
        <w:rPr>
          <w:rFonts w:cs="Times New Roman"/>
          <w:szCs w:val="28"/>
        </w:rPr>
        <w:t xml:space="preserve">редний возраст пациентов с активной ЭОП меньше, чем у группы с неактивной формой, однако </w:t>
      </w:r>
      <w:proofErr w:type="gramStart"/>
      <w:r w:rsidRPr="002B136D">
        <w:rPr>
          <w:rFonts w:cs="Times New Roman"/>
          <w:szCs w:val="28"/>
        </w:rPr>
        <w:t>различие не достигает</w:t>
      </w:r>
      <w:proofErr w:type="gramEnd"/>
      <w:r w:rsidRPr="002B136D">
        <w:rPr>
          <w:rFonts w:cs="Times New Roman"/>
          <w:szCs w:val="28"/>
        </w:rPr>
        <w:t xml:space="preserve"> статистической значимости (p=0.25), что может указывать на независимость активности заболевания от возраста пациентов. Статистически значимые различия в распределении пола (p=0.01) подчеркивают разную предрасположенность к активным и неактивным формам ЭОП у мужчин и женщин.</w:t>
      </w:r>
    </w:p>
    <w:p w14:paraId="173C0D05" w14:textId="35F542D9" w:rsidR="007153D2" w:rsidRPr="002B136D" w:rsidRDefault="00103DB8" w:rsidP="00AF31F3">
      <w:pPr>
        <w:spacing w:after="0" w:line="240" w:lineRule="auto"/>
        <w:ind w:firstLine="567"/>
        <w:contextualSpacing/>
        <w:jc w:val="both"/>
        <w:rPr>
          <w:rFonts w:cs="Times New Roman"/>
          <w:szCs w:val="28"/>
        </w:rPr>
      </w:pPr>
      <w:r w:rsidRPr="002B136D">
        <w:rPr>
          <w:rFonts w:cs="Times New Roman"/>
          <w:szCs w:val="28"/>
        </w:rPr>
        <w:t>Время появления симптомов ЭОП у активной группы больше, чем у неактивной (p=0.05), что может свидетельствовать о продолжительности иммунного ответа до достижения активной фазы заболевания. Сильная ассоциаци</w:t>
      </w:r>
      <w:r w:rsidR="00AD1F05" w:rsidRPr="002B136D">
        <w:rPr>
          <w:rFonts w:cs="Times New Roman"/>
          <w:szCs w:val="28"/>
        </w:rPr>
        <w:t xml:space="preserve">я курения с </w:t>
      </w:r>
      <w:proofErr w:type="gramStart"/>
      <w:r w:rsidR="00AD1F05" w:rsidRPr="002B136D">
        <w:rPr>
          <w:rFonts w:cs="Times New Roman"/>
          <w:szCs w:val="28"/>
        </w:rPr>
        <w:t>активной</w:t>
      </w:r>
      <w:proofErr w:type="gramEnd"/>
      <w:r w:rsidR="00AD1F05" w:rsidRPr="002B136D">
        <w:rPr>
          <w:rFonts w:cs="Times New Roman"/>
          <w:szCs w:val="28"/>
        </w:rPr>
        <w:t xml:space="preserve"> ЭОП (p=0.0</w:t>
      </w:r>
      <w:r w:rsidRPr="002B136D">
        <w:rPr>
          <w:rFonts w:cs="Times New Roman"/>
          <w:szCs w:val="28"/>
        </w:rPr>
        <w:t>1) соответствует предыдущим исследованиям, подчеркивающим влияние курения на иммунный ответ и течение ЭОП.</w:t>
      </w:r>
    </w:p>
    <w:p w14:paraId="0F39B624" w14:textId="4B4F01C2" w:rsidR="00103DB8" w:rsidRPr="002B136D" w:rsidRDefault="00F0671F" w:rsidP="00AF31F3">
      <w:pPr>
        <w:spacing w:after="0" w:line="240" w:lineRule="auto"/>
        <w:ind w:firstLine="567"/>
        <w:contextualSpacing/>
        <w:jc w:val="both"/>
        <w:rPr>
          <w:rFonts w:cs="Times New Roman"/>
          <w:szCs w:val="28"/>
        </w:rPr>
      </w:pPr>
      <w:r w:rsidRPr="002B136D">
        <w:rPr>
          <w:rFonts w:cs="Times New Roman"/>
          <w:szCs w:val="28"/>
        </w:rPr>
        <w:t xml:space="preserve">Более высокая частота использования антитиреоидных препаратов и L-тироксина в активной группе ЭОП (p = 0.04) подчеркивает связь с активностью аутоиммунного процесса при ЭОП. </w:t>
      </w:r>
      <w:r w:rsidR="00103DB8" w:rsidRPr="002B136D">
        <w:rPr>
          <w:rFonts w:cs="Times New Roman"/>
          <w:szCs w:val="28"/>
        </w:rPr>
        <w:t>Уровни ТТГ выше в активной группе (p=0.05), что может отражать вариабельность в терапевтическом управлении гипотиреоза или компенсаторные изменения в ответ на тиреоидную дисфункцию.</w:t>
      </w:r>
    </w:p>
    <w:p w14:paraId="69864D9D" w14:textId="77777777" w:rsidR="009141B7" w:rsidRPr="002B136D" w:rsidRDefault="007153D2" w:rsidP="00AF31F3">
      <w:pPr>
        <w:spacing w:after="0" w:line="240" w:lineRule="auto"/>
        <w:ind w:firstLine="567"/>
        <w:contextualSpacing/>
        <w:jc w:val="both"/>
        <w:rPr>
          <w:rFonts w:cs="Times New Roman"/>
          <w:szCs w:val="28"/>
        </w:rPr>
      </w:pPr>
      <w:r w:rsidRPr="002B136D">
        <w:rPr>
          <w:rFonts w:cs="Times New Roman"/>
          <w:szCs w:val="28"/>
        </w:rPr>
        <w:t>В свою очередь, з</w:t>
      </w:r>
      <w:r w:rsidR="00103DB8" w:rsidRPr="002B136D">
        <w:rPr>
          <w:rFonts w:cs="Times New Roman"/>
          <w:szCs w:val="28"/>
        </w:rPr>
        <w:t>начительно более высокие уровни проптоза и частота диплопии в активной группе (p=0.01 для обоих) указывают на серьезность воспалительного процесса и его влияние на орбитальные структуры и глазодвигательные мышцы</w:t>
      </w:r>
      <w:r w:rsidRPr="002B136D">
        <w:rPr>
          <w:rFonts w:cs="Times New Roman"/>
          <w:szCs w:val="28"/>
        </w:rPr>
        <w:t xml:space="preserve">, что соответствует результатам других исследований, указывающих на эти признаки как на маркеры тяжести ЭОП. </w:t>
      </w:r>
      <w:proofErr w:type="gramStart"/>
      <w:r w:rsidRPr="002B136D">
        <w:rPr>
          <w:rFonts w:cs="Times New Roman"/>
          <w:szCs w:val="28"/>
        </w:rPr>
        <w:t>Компрессионная оптическая нейропатия встречалась нечасто и не показала статистической значимости (p=0.67), что может указывать на её редкость или на различия в методах диагностики.</w:t>
      </w:r>
      <w:proofErr w:type="gramEnd"/>
    </w:p>
    <w:p w14:paraId="44FDFC6F" w14:textId="6E75EE46" w:rsidR="00414B9F" w:rsidRPr="002B136D" w:rsidRDefault="00557A1D" w:rsidP="00AF31F3">
      <w:pPr>
        <w:spacing w:after="0" w:line="240" w:lineRule="auto"/>
        <w:ind w:firstLine="567"/>
        <w:contextualSpacing/>
        <w:jc w:val="both"/>
        <w:rPr>
          <w:rFonts w:cs="Times New Roman"/>
          <w:szCs w:val="28"/>
        </w:rPr>
      </w:pPr>
      <w:r w:rsidRPr="002B136D">
        <w:rPr>
          <w:rFonts w:cs="Times New Roman"/>
          <w:szCs w:val="28"/>
        </w:rPr>
        <w:t xml:space="preserve">Данные по концентрации цитокинов в образцах </w:t>
      </w:r>
      <w:r w:rsidR="0058324B" w:rsidRPr="002B136D">
        <w:rPr>
          <w:rFonts w:cs="Times New Roman"/>
          <w:szCs w:val="28"/>
        </w:rPr>
        <w:t>сыворотки крови, нестимулированной слезы</w:t>
      </w:r>
      <w:r w:rsidR="00D77B6D" w:rsidRPr="002B136D">
        <w:rPr>
          <w:rFonts w:cs="Times New Roman"/>
          <w:szCs w:val="28"/>
        </w:rPr>
        <w:t xml:space="preserve"> </w:t>
      </w:r>
      <w:r w:rsidR="0058324B" w:rsidRPr="002B136D">
        <w:rPr>
          <w:rFonts w:cs="Times New Roman"/>
          <w:szCs w:val="28"/>
        </w:rPr>
        <w:t>и тканях орбиты представлены в табл</w:t>
      </w:r>
      <w:r w:rsidR="006138E1" w:rsidRPr="002B136D">
        <w:rPr>
          <w:rFonts w:cs="Times New Roman"/>
          <w:szCs w:val="28"/>
        </w:rPr>
        <w:t xml:space="preserve">ице </w:t>
      </w:r>
      <w:r w:rsidR="00F218B4" w:rsidRPr="002B136D">
        <w:rPr>
          <w:rFonts w:cs="Times New Roman"/>
          <w:szCs w:val="28"/>
        </w:rPr>
        <w:t>1</w:t>
      </w:r>
      <w:r w:rsidR="0076161A">
        <w:rPr>
          <w:rFonts w:cs="Times New Roman"/>
          <w:szCs w:val="28"/>
        </w:rPr>
        <w:t>5</w:t>
      </w:r>
      <w:r w:rsidRPr="002B136D">
        <w:rPr>
          <w:rFonts w:cs="Times New Roman"/>
          <w:szCs w:val="28"/>
        </w:rPr>
        <w:t>.</w:t>
      </w:r>
    </w:p>
    <w:p w14:paraId="5ECA077D" w14:textId="6816DB82" w:rsidR="00414B9F" w:rsidRPr="002B136D" w:rsidRDefault="0058324B" w:rsidP="00AF31F3">
      <w:pPr>
        <w:spacing w:after="0" w:line="240" w:lineRule="auto"/>
        <w:ind w:firstLine="567"/>
        <w:contextualSpacing/>
        <w:jc w:val="both"/>
        <w:rPr>
          <w:rFonts w:cs="Times New Roman"/>
          <w:szCs w:val="28"/>
        </w:rPr>
      </w:pPr>
      <w:r w:rsidRPr="002B136D">
        <w:rPr>
          <w:rFonts w:cs="Times New Roman"/>
          <w:szCs w:val="28"/>
        </w:rPr>
        <w:lastRenderedPageBreak/>
        <w:t xml:space="preserve">В сыворотке крови </w:t>
      </w:r>
      <w:r w:rsidR="000605F6" w:rsidRPr="002B136D">
        <w:rPr>
          <w:rFonts w:cs="Times New Roman"/>
          <w:szCs w:val="28"/>
        </w:rPr>
        <w:t xml:space="preserve">концентрация </w:t>
      </w:r>
      <w:r w:rsidR="00F87542" w:rsidRPr="002B136D">
        <w:rPr>
          <w:rFonts w:cs="Times New Roman"/>
          <w:szCs w:val="28"/>
          <w:lang w:val="en-US"/>
        </w:rPr>
        <w:t>IL</w:t>
      </w:r>
      <w:r w:rsidR="000605F6" w:rsidRPr="002B136D">
        <w:rPr>
          <w:rFonts w:cs="Times New Roman"/>
          <w:szCs w:val="28"/>
        </w:rPr>
        <w:t>-17 в контрольной группе</w:t>
      </w:r>
      <w:r w:rsidRPr="002B136D">
        <w:rPr>
          <w:rFonts w:cs="Times New Roman"/>
          <w:szCs w:val="28"/>
        </w:rPr>
        <w:t xml:space="preserve"> (0,21 ± 0,14</w:t>
      </w:r>
      <w:r w:rsidR="000605F6" w:rsidRPr="002B136D">
        <w:rPr>
          <w:rFonts w:cs="Times New Roman"/>
          <w:szCs w:val="28"/>
        </w:rPr>
        <w:t xml:space="preserve"> пг/мл) и у </w:t>
      </w:r>
      <w:r w:rsidR="0038552C" w:rsidRPr="002B136D">
        <w:rPr>
          <w:rFonts w:cs="Times New Roman"/>
          <w:szCs w:val="28"/>
        </w:rPr>
        <w:t>пациентов</w:t>
      </w:r>
      <w:r w:rsidR="000605F6" w:rsidRPr="002B136D">
        <w:rPr>
          <w:rFonts w:cs="Times New Roman"/>
          <w:szCs w:val="28"/>
        </w:rPr>
        <w:t xml:space="preserve"> </w:t>
      </w:r>
      <w:proofErr w:type="gramStart"/>
      <w:r w:rsidR="000605F6" w:rsidRPr="002B136D">
        <w:rPr>
          <w:rFonts w:cs="Times New Roman"/>
          <w:szCs w:val="28"/>
        </w:rPr>
        <w:t>с</w:t>
      </w:r>
      <w:proofErr w:type="gramEnd"/>
      <w:r w:rsidR="000605F6" w:rsidRPr="002B136D">
        <w:rPr>
          <w:rFonts w:cs="Times New Roman"/>
          <w:szCs w:val="28"/>
        </w:rPr>
        <w:t xml:space="preserve"> </w:t>
      </w:r>
      <w:proofErr w:type="gramStart"/>
      <w:r w:rsidR="000605F6" w:rsidRPr="002B136D">
        <w:rPr>
          <w:rFonts w:cs="Times New Roman"/>
          <w:szCs w:val="28"/>
        </w:rPr>
        <w:t>неактивной</w:t>
      </w:r>
      <w:proofErr w:type="gramEnd"/>
      <w:r w:rsidR="000605F6" w:rsidRPr="002B136D">
        <w:rPr>
          <w:rFonts w:cs="Times New Roman"/>
          <w:szCs w:val="28"/>
        </w:rPr>
        <w:t xml:space="preserve"> ЭОП</w:t>
      </w:r>
      <w:r w:rsidRPr="002B136D">
        <w:rPr>
          <w:rFonts w:cs="Times New Roman"/>
          <w:szCs w:val="28"/>
        </w:rPr>
        <w:t xml:space="preserve"> (3,93 ± 0,94 пг/мл) была ниже по ср</w:t>
      </w:r>
      <w:r w:rsidR="000605F6" w:rsidRPr="002B136D">
        <w:rPr>
          <w:rFonts w:cs="Times New Roman"/>
          <w:szCs w:val="28"/>
        </w:rPr>
        <w:t xml:space="preserve">авнению с участниками с активной группы (13,77 ± 5,65 пг/мл) </w:t>
      </w:r>
      <w:r w:rsidRPr="002B136D">
        <w:rPr>
          <w:rFonts w:cs="Times New Roman"/>
          <w:szCs w:val="28"/>
        </w:rPr>
        <w:t>(p = 0,01).</w:t>
      </w:r>
      <w:r w:rsidR="00D77B6D" w:rsidRPr="002B136D">
        <w:rPr>
          <w:rFonts w:cs="Times New Roman"/>
          <w:szCs w:val="28"/>
        </w:rPr>
        <w:t xml:space="preserve"> </w:t>
      </w:r>
      <w:r w:rsidRPr="002B136D">
        <w:rPr>
          <w:rFonts w:cs="Times New Roman"/>
          <w:szCs w:val="28"/>
        </w:rPr>
        <w:t xml:space="preserve">А концентрация </w:t>
      </w:r>
      <w:r w:rsidR="00F87542" w:rsidRPr="002B136D">
        <w:rPr>
          <w:rFonts w:cs="Times New Roman"/>
          <w:szCs w:val="28"/>
          <w:lang w:val="en-US"/>
        </w:rPr>
        <w:t>IL</w:t>
      </w:r>
      <w:r w:rsidRPr="002B136D">
        <w:rPr>
          <w:rFonts w:cs="Times New Roman"/>
          <w:szCs w:val="28"/>
        </w:rPr>
        <w:t>-38</w:t>
      </w:r>
      <w:r w:rsidR="000605F6" w:rsidRPr="002B136D">
        <w:rPr>
          <w:rFonts w:cs="Times New Roman"/>
          <w:szCs w:val="28"/>
        </w:rPr>
        <w:t xml:space="preserve">, </w:t>
      </w:r>
      <w:r w:rsidR="007153D2" w:rsidRPr="002B136D">
        <w:rPr>
          <w:rFonts w:cs="Times New Roman"/>
          <w:szCs w:val="28"/>
        </w:rPr>
        <w:t>наоборот</w:t>
      </w:r>
      <w:r w:rsidR="000605F6" w:rsidRPr="002B136D">
        <w:rPr>
          <w:rFonts w:cs="Times New Roman"/>
          <w:szCs w:val="28"/>
        </w:rPr>
        <w:t>,</w:t>
      </w:r>
      <w:r w:rsidRPr="002B136D">
        <w:rPr>
          <w:rFonts w:cs="Times New Roman"/>
          <w:szCs w:val="28"/>
        </w:rPr>
        <w:t xml:space="preserve"> в сыворотке была достовер</w:t>
      </w:r>
      <w:r w:rsidR="000605F6" w:rsidRPr="002B136D">
        <w:rPr>
          <w:rFonts w:cs="Times New Roman"/>
          <w:szCs w:val="28"/>
        </w:rPr>
        <w:t>но выше у участников контрольной группы</w:t>
      </w:r>
      <w:r w:rsidRPr="002B136D">
        <w:rPr>
          <w:rFonts w:cs="Times New Roman"/>
          <w:szCs w:val="28"/>
        </w:rPr>
        <w:t xml:space="preserve"> 48,31±12,4 пг/мл</w:t>
      </w:r>
      <w:r w:rsidR="000605F6" w:rsidRPr="002B136D">
        <w:rPr>
          <w:rFonts w:cs="Times New Roman"/>
          <w:szCs w:val="28"/>
        </w:rPr>
        <w:t xml:space="preserve">, а также у </w:t>
      </w:r>
      <w:r w:rsidR="0038552C" w:rsidRPr="002B136D">
        <w:rPr>
          <w:rFonts w:cs="Times New Roman"/>
          <w:szCs w:val="28"/>
        </w:rPr>
        <w:t>пациентов</w:t>
      </w:r>
      <w:r w:rsidR="000605F6" w:rsidRPr="002B136D">
        <w:rPr>
          <w:rFonts w:cs="Times New Roman"/>
          <w:szCs w:val="28"/>
        </w:rPr>
        <w:t xml:space="preserve"> с неактивной</w:t>
      </w:r>
      <w:r w:rsidRPr="002B136D">
        <w:rPr>
          <w:rFonts w:cs="Times New Roman"/>
          <w:szCs w:val="28"/>
        </w:rPr>
        <w:t xml:space="preserve"> формой 17,45±7,92 пг/мл по сравнению с </w:t>
      </w:r>
      <w:r w:rsidR="000605F6" w:rsidRPr="002B136D">
        <w:rPr>
          <w:rFonts w:cs="Times New Roman"/>
          <w:szCs w:val="28"/>
        </w:rPr>
        <w:t xml:space="preserve">третей группой с </w:t>
      </w:r>
      <w:r w:rsidRPr="002B136D">
        <w:rPr>
          <w:rFonts w:cs="Times New Roman"/>
          <w:szCs w:val="28"/>
        </w:rPr>
        <w:t xml:space="preserve">активной </w:t>
      </w:r>
      <w:r w:rsidR="000605F6" w:rsidRPr="002B136D">
        <w:rPr>
          <w:rFonts w:cs="Times New Roman"/>
          <w:szCs w:val="28"/>
        </w:rPr>
        <w:t>ЭОП</w:t>
      </w:r>
      <w:r w:rsidR="00D77B6D" w:rsidRPr="002B136D">
        <w:rPr>
          <w:rFonts w:cs="Times New Roman"/>
          <w:szCs w:val="28"/>
        </w:rPr>
        <w:t xml:space="preserve"> </w:t>
      </w:r>
      <w:r w:rsidRPr="002B136D">
        <w:rPr>
          <w:rFonts w:cs="Times New Roman"/>
          <w:szCs w:val="28"/>
        </w:rPr>
        <w:t>8,97 ± 6,31 пг/мл (</w:t>
      </w:r>
      <w:proofErr w:type="gramStart"/>
      <w:r w:rsidRPr="002B136D">
        <w:rPr>
          <w:rFonts w:cs="Times New Roman"/>
          <w:szCs w:val="28"/>
        </w:rPr>
        <w:t>р</w:t>
      </w:r>
      <w:proofErr w:type="gramEnd"/>
      <w:r w:rsidRPr="002B136D">
        <w:rPr>
          <w:rFonts w:cs="Times New Roman"/>
          <w:szCs w:val="28"/>
        </w:rPr>
        <w:t xml:space="preserve"> = 0,01).</w:t>
      </w:r>
    </w:p>
    <w:p w14:paraId="078E2619" w14:textId="6DA4F771" w:rsidR="00414B9F" w:rsidRPr="002B136D" w:rsidRDefault="00557A1D" w:rsidP="00AF31F3">
      <w:pPr>
        <w:spacing w:after="0" w:line="240" w:lineRule="auto"/>
        <w:ind w:firstLine="567"/>
        <w:contextualSpacing/>
        <w:jc w:val="both"/>
        <w:rPr>
          <w:rFonts w:cs="Times New Roman"/>
          <w:szCs w:val="28"/>
        </w:rPr>
      </w:pPr>
      <w:proofErr w:type="gramStart"/>
      <w:r w:rsidRPr="002B136D">
        <w:rPr>
          <w:rFonts w:cs="Times New Roman"/>
          <w:szCs w:val="28"/>
        </w:rPr>
        <w:t>В нестимулирован</w:t>
      </w:r>
      <w:r w:rsidR="000605F6" w:rsidRPr="002B136D">
        <w:rPr>
          <w:rFonts w:cs="Times New Roman"/>
          <w:szCs w:val="28"/>
        </w:rPr>
        <w:t xml:space="preserve">ной слезе глаз </w:t>
      </w:r>
      <w:r w:rsidR="0038552C" w:rsidRPr="002B136D">
        <w:rPr>
          <w:rFonts w:cs="Times New Roman"/>
          <w:szCs w:val="28"/>
        </w:rPr>
        <w:t>пациентов</w:t>
      </w:r>
      <w:r w:rsidR="000605F6" w:rsidRPr="002B136D">
        <w:rPr>
          <w:rFonts w:cs="Times New Roman"/>
          <w:szCs w:val="28"/>
        </w:rPr>
        <w:t xml:space="preserve"> с активной</w:t>
      </w:r>
      <w:r w:rsidRPr="002B136D">
        <w:rPr>
          <w:rFonts w:cs="Times New Roman"/>
          <w:szCs w:val="28"/>
        </w:rPr>
        <w:t xml:space="preserve"> </w:t>
      </w:r>
      <w:r w:rsidR="000605F6" w:rsidRPr="002B136D">
        <w:rPr>
          <w:rFonts w:cs="Times New Roman"/>
          <w:szCs w:val="28"/>
        </w:rPr>
        <w:t xml:space="preserve">ЭОП </w:t>
      </w:r>
      <w:r w:rsidRPr="002B136D">
        <w:rPr>
          <w:rFonts w:cs="Times New Roman"/>
          <w:szCs w:val="28"/>
        </w:rPr>
        <w:t xml:space="preserve">концентрация </w:t>
      </w:r>
      <w:r w:rsidR="00F87542" w:rsidRPr="002B136D">
        <w:rPr>
          <w:rFonts w:cs="Times New Roman"/>
          <w:szCs w:val="28"/>
          <w:lang w:val="en-US"/>
        </w:rPr>
        <w:t>IL</w:t>
      </w:r>
      <w:r w:rsidRPr="002B136D">
        <w:rPr>
          <w:rFonts w:cs="Times New Roman"/>
          <w:szCs w:val="28"/>
        </w:rPr>
        <w:t>-17 равнялась 37,21 ± 8,84 (4,5; 41,71) пг/мл.</w:t>
      </w:r>
      <w:proofErr w:type="gramEnd"/>
      <w:r w:rsidRPr="002B136D">
        <w:rPr>
          <w:rFonts w:cs="Times New Roman"/>
          <w:szCs w:val="28"/>
        </w:rPr>
        <w:t xml:space="preserve"> Она была статистически значимо выше по сравнению с концентрацией этого</w:t>
      </w:r>
      <w:r w:rsidR="000605F6" w:rsidRPr="002B136D">
        <w:rPr>
          <w:rFonts w:cs="Times New Roman"/>
          <w:szCs w:val="28"/>
        </w:rPr>
        <w:t xml:space="preserve"> цитокина в группах с неактивной</w:t>
      </w:r>
      <w:r w:rsidRPr="002B136D">
        <w:rPr>
          <w:rFonts w:cs="Times New Roman"/>
          <w:szCs w:val="28"/>
        </w:rPr>
        <w:t xml:space="preserve"> </w:t>
      </w:r>
      <w:r w:rsidR="000605F6" w:rsidRPr="002B136D">
        <w:rPr>
          <w:rFonts w:cs="Times New Roman"/>
          <w:szCs w:val="28"/>
        </w:rPr>
        <w:t>формой</w:t>
      </w:r>
      <w:r w:rsidR="00D77B6D" w:rsidRPr="002B136D">
        <w:rPr>
          <w:rFonts w:cs="Times New Roman"/>
          <w:szCs w:val="28"/>
        </w:rPr>
        <w:t xml:space="preserve"> </w:t>
      </w:r>
      <w:r w:rsidRPr="002B136D">
        <w:rPr>
          <w:rFonts w:cs="Times New Roman"/>
          <w:szCs w:val="28"/>
        </w:rPr>
        <w:t>и контрольной группе с показателями 20,52 ± 5,21 (3,22; 28,54) пг/мл и 8,45 ± 1,9 (0,42–9,8) пг/мл соответственно (</w:t>
      </w:r>
      <w:proofErr w:type="gramStart"/>
      <w:r w:rsidRPr="002B136D">
        <w:rPr>
          <w:rFonts w:cs="Times New Roman"/>
          <w:szCs w:val="28"/>
        </w:rPr>
        <w:t>р</w:t>
      </w:r>
      <w:proofErr w:type="gramEnd"/>
      <w:r w:rsidRPr="002B136D">
        <w:rPr>
          <w:rFonts w:cs="Times New Roman"/>
          <w:szCs w:val="28"/>
        </w:rPr>
        <w:t xml:space="preserve"> =0,01). </w:t>
      </w:r>
      <w:r w:rsidR="000605F6" w:rsidRPr="002B136D">
        <w:rPr>
          <w:rFonts w:cs="Times New Roman"/>
          <w:szCs w:val="28"/>
        </w:rPr>
        <w:t>Напротив, у</w:t>
      </w:r>
      <w:r w:rsidRPr="002B136D">
        <w:rPr>
          <w:rFonts w:cs="Times New Roman"/>
          <w:szCs w:val="28"/>
        </w:rPr>
        <w:t xml:space="preserve">ровень </w:t>
      </w:r>
      <w:r w:rsidR="00F87542" w:rsidRPr="002B136D">
        <w:rPr>
          <w:rFonts w:cs="Times New Roman"/>
          <w:szCs w:val="28"/>
          <w:lang w:val="en-US"/>
        </w:rPr>
        <w:t>IL</w:t>
      </w:r>
      <w:r w:rsidRPr="002B136D">
        <w:rPr>
          <w:rFonts w:cs="Times New Roman"/>
          <w:szCs w:val="28"/>
        </w:rPr>
        <w:t xml:space="preserve">-38, определяемый в нестимулированной слезе, был выше у </w:t>
      </w:r>
      <w:r w:rsidR="0038552C" w:rsidRPr="002B136D">
        <w:rPr>
          <w:rFonts w:cs="Times New Roman"/>
          <w:szCs w:val="28"/>
        </w:rPr>
        <w:t>пациентов</w:t>
      </w:r>
      <w:r w:rsidRPr="002B136D">
        <w:rPr>
          <w:rFonts w:cs="Times New Roman"/>
          <w:szCs w:val="28"/>
        </w:rPr>
        <w:t xml:space="preserve"> контрольной (32,64±8,14 пг/мл) и неактивной </w:t>
      </w:r>
      <w:r w:rsidR="000605F6" w:rsidRPr="002B136D">
        <w:rPr>
          <w:rFonts w:cs="Times New Roman"/>
          <w:szCs w:val="28"/>
        </w:rPr>
        <w:t xml:space="preserve">ЭОП </w:t>
      </w:r>
      <w:r w:rsidRPr="002B136D">
        <w:rPr>
          <w:rFonts w:cs="Times New Roman"/>
          <w:szCs w:val="28"/>
        </w:rPr>
        <w:t>(24,13±7,55 пг/мл) групп, в отличие от концентра</w:t>
      </w:r>
      <w:r w:rsidR="000605F6" w:rsidRPr="002B136D">
        <w:rPr>
          <w:rFonts w:cs="Times New Roman"/>
          <w:szCs w:val="28"/>
        </w:rPr>
        <w:t xml:space="preserve">ции </w:t>
      </w:r>
      <w:r w:rsidR="000E3E8D" w:rsidRPr="002B136D">
        <w:rPr>
          <w:rFonts w:cs="Times New Roman"/>
          <w:szCs w:val="28"/>
        </w:rPr>
        <w:t>IL-</w:t>
      </w:r>
      <w:r w:rsidR="000605F6" w:rsidRPr="002B136D">
        <w:rPr>
          <w:rFonts w:cs="Times New Roman"/>
          <w:szCs w:val="28"/>
        </w:rPr>
        <w:t xml:space="preserve">38 у </w:t>
      </w:r>
      <w:r w:rsidR="0038552C" w:rsidRPr="002B136D">
        <w:rPr>
          <w:rFonts w:cs="Times New Roman"/>
          <w:szCs w:val="28"/>
        </w:rPr>
        <w:t>пациентов</w:t>
      </w:r>
      <w:r w:rsidR="000605F6" w:rsidRPr="002B136D">
        <w:rPr>
          <w:rFonts w:cs="Times New Roman"/>
          <w:szCs w:val="28"/>
        </w:rPr>
        <w:t xml:space="preserve"> с активной ЭОП</w:t>
      </w:r>
      <w:r w:rsidRPr="002B136D">
        <w:rPr>
          <w:rFonts w:cs="Times New Roman"/>
          <w:szCs w:val="28"/>
        </w:rPr>
        <w:t xml:space="preserve"> (12,55±6,32 пг/мл), </w:t>
      </w:r>
      <w:proofErr w:type="gramStart"/>
      <w:r w:rsidRPr="002B136D">
        <w:rPr>
          <w:rFonts w:cs="Times New Roman"/>
          <w:szCs w:val="28"/>
        </w:rPr>
        <w:t>р</w:t>
      </w:r>
      <w:proofErr w:type="gramEnd"/>
      <w:r w:rsidRPr="002B136D">
        <w:rPr>
          <w:rFonts w:cs="Times New Roman"/>
          <w:szCs w:val="28"/>
        </w:rPr>
        <w:t xml:space="preserve"> = 0,01.</w:t>
      </w:r>
    </w:p>
    <w:p w14:paraId="1B6F6299" w14:textId="392183BD" w:rsidR="00557A1D" w:rsidRPr="002B136D" w:rsidRDefault="00557A1D" w:rsidP="00AF31F3">
      <w:pPr>
        <w:spacing w:after="0" w:line="240" w:lineRule="auto"/>
        <w:ind w:firstLine="567"/>
        <w:contextualSpacing/>
        <w:jc w:val="both"/>
        <w:rPr>
          <w:rFonts w:cs="Times New Roman"/>
          <w:szCs w:val="28"/>
        </w:rPr>
      </w:pPr>
      <w:r w:rsidRPr="002B136D">
        <w:rPr>
          <w:rFonts w:cs="Times New Roman"/>
          <w:szCs w:val="28"/>
        </w:rPr>
        <w:t xml:space="preserve">В ткани орбиты уровень </w:t>
      </w:r>
      <w:r w:rsidR="00F87542" w:rsidRPr="002B136D">
        <w:rPr>
          <w:rFonts w:cs="Times New Roman"/>
          <w:szCs w:val="28"/>
          <w:lang w:val="en-US"/>
        </w:rPr>
        <w:t>IL</w:t>
      </w:r>
      <w:r w:rsidRPr="002B136D">
        <w:rPr>
          <w:rFonts w:cs="Times New Roman"/>
          <w:szCs w:val="28"/>
        </w:rPr>
        <w:t xml:space="preserve">-17 также был достоверно выше в группе </w:t>
      </w:r>
      <w:r w:rsidR="0038552C" w:rsidRPr="002B136D">
        <w:rPr>
          <w:rFonts w:cs="Times New Roman"/>
          <w:szCs w:val="28"/>
        </w:rPr>
        <w:t>пациентов</w:t>
      </w:r>
      <w:r w:rsidRPr="002B136D">
        <w:rPr>
          <w:rFonts w:cs="Times New Roman"/>
          <w:szCs w:val="28"/>
        </w:rPr>
        <w:t xml:space="preserve"> с активной формой </w:t>
      </w:r>
      <w:r w:rsidR="007644FC" w:rsidRPr="002B136D">
        <w:rPr>
          <w:rFonts w:cs="Times New Roman"/>
          <w:szCs w:val="28"/>
        </w:rPr>
        <w:t>ЭОП</w:t>
      </w:r>
      <w:r w:rsidRPr="002B136D">
        <w:rPr>
          <w:rFonts w:cs="Times New Roman"/>
          <w:szCs w:val="28"/>
        </w:rPr>
        <w:t xml:space="preserve"> с показателем, равным 24,34 ± 6,87 пг/мл по сравнению с контроль</w:t>
      </w:r>
      <w:r w:rsidR="007644FC" w:rsidRPr="002B136D">
        <w:rPr>
          <w:rFonts w:cs="Times New Roman"/>
          <w:szCs w:val="28"/>
        </w:rPr>
        <w:t>ной группой (3,55 ± 0,98 пг/мл)</w:t>
      </w:r>
      <w:r w:rsidRPr="002B136D">
        <w:rPr>
          <w:rFonts w:cs="Times New Roman"/>
          <w:szCs w:val="28"/>
        </w:rPr>
        <w:t xml:space="preserve"> и больные с неактивной формой ТАО (16,81 ± 6,97 пг/мл), что расценивали как статистически значимую разницу (</w:t>
      </w:r>
      <w:proofErr w:type="gramStart"/>
      <w:r w:rsidRPr="002B136D">
        <w:rPr>
          <w:rFonts w:cs="Times New Roman"/>
          <w:szCs w:val="28"/>
        </w:rPr>
        <w:t>р</w:t>
      </w:r>
      <w:proofErr w:type="gramEnd"/>
      <w:r w:rsidRPr="002B136D">
        <w:rPr>
          <w:rFonts w:cs="Times New Roman"/>
          <w:szCs w:val="28"/>
        </w:rPr>
        <w:t xml:space="preserve"> = 0,001).</w:t>
      </w:r>
      <w:r w:rsidR="007644FC" w:rsidRPr="002B136D">
        <w:rPr>
          <w:rFonts w:cs="Times New Roman"/>
          <w:szCs w:val="28"/>
        </w:rPr>
        <w:t>Однако</w:t>
      </w:r>
      <w:r w:rsidRPr="002B136D">
        <w:rPr>
          <w:rFonts w:cs="Times New Roman"/>
          <w:szCs w:val="28"/>
        </w:rPr>
        <w:t xml:space="preserve">, концентрация </w:t>
      </w:r>
      <w:r w:rsidR="00F87542" w:rsidRPr="002B136D">
        <w:rPr>
          <w:rFonts w:cs="Times New Roman"/>
          <w:szCs w:val="28"/>
          <w:lang w:val="en-US"/>
        </w:rPr>
        <w:t>IL</w:t>
      </w:r>
      <w:r w:rsidRPr="002B136D">
        <w:rPr>
          <w:rFonts w:cs="Times New Roman"/>
          <w:szCs w:val="28"/>
        </w:rPr>
        <w:t xml:space="preserve">-38 была статистически значимо повышена у участников контрольной группы (51,79 ± 8,81 пг/мл) в отличие от уровня </w:t>
      </w:r>
      <w:r w:rsidR="00F87542" w:rsidRPr="002B136D">
        <w:rPr>
          <w:rFonts w:cs="Times New Roman"/>
          <w:szCs w:val="28"/>
          <w:lang w:val="en-US"/>
        </w:rPr>
        <w:t>IL</w:t>
      </w:r>
      <w:r w:rsidRPr="002B136D">
        <w:rPr>
          <w:rFonts w:cs="Times New Roman"/>
          <w:szCs w:val="28"/>
        </w:rPr>
        <w:t xml:space="preserve">-38 у </w:t>
      </w:r>
      <w:r w:rsidR="0038552C" w:rsidRPr="002B136D">
        <w:rPr>
          <w:rFonts w:cs="Times New Roman"/>
          <w:szCs w:val="28"/>
        </w:rPr>
        <w:t>пациентов</w:t>
      </w:r>
      <w:r w:rsidRPr="002B136D">
        <w:rPr>
          <w:rFonts w:cs="Times New Roman"/>
          <w:szCs w:val="28"/>
        </w:rPr>
        <w:t xml:space="preserve"> с активной формой ТАО 9,23 ± 6,78 пг. /мл, </w:t>
      </w:r>
      <w:proofErr w:type="gramStart"/>
      <w:r w:rsidRPr="002B136D">
        <w:rPr>
          <w:rFonts w:cs="Times New Roman"/>
          <w:szCs w:val="28"/>
        </w:rPr>
        <w:t>р</w:t>
      </w:r>
      <w:proofErr w:type="gramEnd"/>
      <w:r w:rsidRPr="002B136D">
        <w:rPr>
          <w:rFonts w:cs="Times New Roman"/>
          <w:szCs w:val="28"/>
        </w:rPr>
        <w:t xml:space="preserve"> = 0,001.</w:t>
      </w:r>
    </w:p>
    <w:p w14:paraId="1B264CBE" w14:textId="77777777" w:rsidR="00414B9F" w:rsidRPr="002B136D" w:rsidRDefault="00414B9F" w:rsidP="00AF31F3">
      <w:pPr>
        <w:spacing w:after="0" w:line="240" w:lineRule="auto"/>
        <w:ind w:firstLine="567"/>
        <w:contextualSpacing/>
        <w:jc w:val="both"/>
        <w:rPr>
          <w:rFonts w:cs="Times New Roman"/>
          <w:szCs w:val="28"/>
        </w:rPr>
      </w:pPr>
    </w:p>
    <w:p w14:paraId="275AE19A" w14:textId="4B8C6AFB" w:rsidR="001510DB" w:rsidRPr="00AF31F3" w:rsidRDefault="00EE2DBA" w:rsidP="00AF31F3">
      <w:pPr>
        <w:spacing w:after="0" w:line="240" w:lineRule="auto"/>
        <w:contextualSpacing/>
        <w:jc w:val="both"/>
        <w:rPr>
          <w:rFonts w:cs="Times New Roman"/>
          <w:bCs/>
          <w:szCs w:val="28"/>
        </w:rPr>
      </w:pPr>
      <w:r w:rsidRPr="00AF31F3">
        <w:rPr>
          <w:rFonts w:cs="Times New Roman"/>
          <w:bCs/>
          <w:szCs w:val="28"/>
        </w:rPr>
        <w:t xml:space="preserve">Таблица </w:t>
      </w:r>
      <w:r w:rsidR="00F218B4" w:rsidRPr="00AF31F3">
        <w:rPr>
          <w:rFonts w:cs="Times New Roman"/>
          <w:bCs/>
          <w:szCs w:val="28"/>
        </w:rPr>
        <w:t>1</w:t>
      </w:r>
      <w:r w:rsidR="0076161A">
        <w:rPr>
          <w:rFonts w:cs="Times New Roman"/>
          <w:bCs/>
          <w:szCs w:val="28"/>
        </w:rPr>
        <w:t>5</w:t>
      </w:r>
      <w:r w:rsidR="00AF31F3" w:rsidRPr="00AF31F3">
        <w:rPr>
          <w:rFonts w:cs="Times New Roman"/>
          <w:bCs/>
          <w:szCs w:val="28"/>
        </w:rPr>
        <w:t xml:space="preserve"> -</w:t>
      </w:r>
      <w:r w:rsidRPr="00AF31F3">
        <w:rPr>
          <w:rFonts w:cs="Times New Roman"/>
          <w:bCs/>
          <w:szCs w:val="28"/>
        </w:rPr>
        <w:t xml:space="preserve"> Сравнительная концентрация цитокинов из образцов</w:t>
      </w:r>
      <w:r w:rsidR="00557A1D" w:rsidRPr="00AF31F3">
        <w:rPr>
          <w:rFonts w:cs="Times New Roman"/>
          <w:bCs/>
          <w:szCs w:val="28"/>
        </w:rPr>
        <w:t xml:space="preserve"> сыворотки крови, не стимулированной слезы </w:t>
      </w:r>
      <w:r w:rsidRPr="00AF31F3">
        <w:rPr>
          <w:rFonts w:cs="Times New Roman"/>
          <w:bCs/>
          <w:szCs w:val="28"/>
        </w:rPr>
        <w:t>и в орбитальной ткани пациентов</w:t>
      </w:r>
    </w:p>
    <w:p w14:paraId="3340DEE5" w14:textId="77777777" w:rsidR="00AF31F3" w:rsidRPr="002B136D" w:rsidRDefault="00AF31F3" w:rsidP="00AF31F3">
      <w:pPr>
        <w:spacing w:after="0" w:line="240" w:lineRule="auto"/>
        <w:contextualSpacing/>
        <w:jc w:val="both"/>
        <w:rPr>
          <w:rFonts w:cs="Times New Roman"/>
          <w:b/>
          <w:szCs w:val="28"/>
        </w:rPr>
      </w:pPr>
    </w:p>
    <w:tbl>
      <w:tblPr>
        <w:tblStyle w:val="ac"/>
        <w:tblW w:w="0" w:type="auto"/>
        <w:tblInd w:w="108" w:type="dxa"/>
        <w:tblLayout w:type="fixed"/>
        <w:tblLook w:val="04A0" w:firstRow="1" w:lastRow="0" w:firstColumn="1" w:lastColumn="0" w:noHBand="0" w:noVBand="1"/>
      </w:tblPr>
      <w:tblGrid>
        <w:gridCol w:w="2930"/>
        <w:gridCol w:w="1900"/>
        <w:gridCol w:w="1899"/>
        <w:gridCol w:w="1665"/>
        <w:gridCol w:w="1245"/>
      </w:tblGrid>
      <w:tr w:rsidR="002B136D" w:rsidRPr="002B136D" w14:paraId="449753D0" w14:textId="77777777" w:rsidTr="00AF31F3">
        <w:trPr>
          <w:trHeight w:val="20"/>
        </w:trPr>
        <w:tc>
          <w:tcPr>
            <w:tcW w:w="2930" w:type="dxa"/>
            <w:vMerge w:val="restart"/>
            <w:hideMark/>
          </w:tcPr>
          <w:p w14:paraId="648D9CD9" w14:textId="27296722" w:rsidR="00EE2DBA" w:rsidRPr="002B136D" w:rsidRDefault="00557A1D" w:rsidP="00534078">
            <w:pPr>
              <w:contextualSpacing/>
              <w:jc w:val="both"/>
              <w:rPr>
                <w:rFonts w:cs="Times New Roman"/>
                <w:sz w:val="24"/>
                <w:szCs w:val="28"/>
              </w:rPr>
            </w:pPr>
            <w:r w:rsidRPr="002B136D">
              <w:rPr>
                <w:rFonts w:cs="Times New Roman"/>
                <w:sz w:val="24"/>
                <w:szCs w:val="28"/>
                <w:lang w:val="kk-KZ"/>
              </w:rPr>
              <w:t>Уровени</w:t>
            </w:r>
            <w:r w:rsidR="00EE2DBA" w:rsidRPr="002B136D">
              <w:rPr>
                <w:rFonts w:cs="Times New Roman"/>
                <w:sz w:val="24"/>
                <w:szCs w:val="28"/>
                <w:lang w:val="kk-KZ"/>
              </w:rPr>
              <w:t xml:space="preserve"> </w:t>
            </w:r>
            <w:r w:rsidR="00F87542" w:rsidRPr="002B136D">
              <w:rPr>
                <w:rFonts w:cs="Times New Roman"/>
                <w:sz w:val="24"/>
                <w:szCs w:val="28"/>
                <w:lang w:val="en-US"/>
              </w:rPr>
              <w:t>IL</w:t>
            </w:r>
            <w:r w:rsidR="00EE2DBA" w:rsidRPr="002B136D">
              <w:rPr>
                <w:rFonts w:cs="Times New Roman"/>
                <w:sz w:val="24"/>
                <w:szCs w:val="28"/>
                <w:lang w:val="kk-KZ"/>
              </w:rPr>
              <w:t>-17</w:t>
            </w:r>
            <w:r w:rsidRPr="002B136D">
              <w:rPr>
                <w:rFonts w:cs="Times New Roman"/>
                <w:sz w:val="24"/>
                <w:szCs w:val="28"/>
                <w:lang w:val="kk-KZ"/>
              </w:rPr>
              <w:t xml:space="preserve">/ </w:t>
            </w:r>
            <w:r w:rsidR="00F87542" w:rsidRPr="002B136D">
              <w:rPr>
                <w:rFonts w:cs="Times New Roman"/>
                <w:sz w:val="24"/>
                <w:szCs w:val="28"/>
                <w:lang w:val="en-US"/>
              </w:rPr>
              <w:t>IL</w:t>
            </w:r>
            <w:r w:rsidRPr="002B136D">
              <w:rPr>
                <w:rFonts w:cs="Times New Roman"/>
                <w:sz w:val="24"/>
                <w:szCs w:val="28"/>
                <w:lang w:val="kk-KZ"/>
              </w:rPr>
              <w:t>-38</w:t>
            </w:r>
            <w:r w:rsidR="00D77B6D" w:rsidRPr="002B136D">
              <w:rPr>
                <w:rFonts w:cs="Times New Roman"/>
                <w:sz w:val="24"/>
                <w:szCs w:val="28"/>
                <w:lang w:val="kk-KZ"/>
              </w:rPr>
              <w:t xml:space="preserve"> </w:t>
            </w:r>
            <w:r w:rsidR="00EE2DBA" w:rsidRPr="002B136D">
              <w:rPr>
                <w:rFonts w:cs="Times New Roman"/>
                <w:sz w:val="24"/>
                <w:szCs w:val="28"/>
              </w:rPr>
              <w:t>(</w:t>
            </w:r>
            <w:r w:rsidR="00EE2DBA" w:rsidRPr="002B136D">
              <w:rPr>
                <w:rFonts w:cs="Times New Roman"/>
                <w:sz w:val="24"/>
                <w:szCs w:val="28"/>
                <w:lang w:val="en-US"/>
              </w:rPr>
              <w:t>pg</w:t>
            </w:r>
            <w:r w:rsidR="00EE2DBA" w:rsidRPr="002B136D">
              <w:rPr>
                <w:rFonts w:cs="Times New Roman"/>
                <w:sz w:val="24"/>
                <w:szCs w:val="28"/>
              </w:rPr>
              <w:t>/</w:t>
            </w:r>
            <w:r w:rsidR="00EE2DBA" w:rsidRPr="002B136D">
              <w:rPr>
                <w:rFonts w:cs="Times New Roman"/>
                <w:sz w:val="24"/>
                <w:szCs w:val="28"/>
                <w:lang w:val="en-US"/>
              </w:rPr>
              <w:t>ml</w:t>
            </w:r>
            <w:r w:rsidR="00EE2DBA" w:rsidRPr="002B136D">
              <w:rPr>
                <w:rFonts w:cs="Times New Roman"/>
                <w:sz w:val="24"/>
                <w:szCs w:val="28"/>
              </w:rPr>
              <w:t>)</w:t>
            </w:r>
          </w:p>
        </w:tc>
        <w:tc>
          <w:tcPr>
            <w:tcW w:w="5464" w:type="dxa"/>
            <w:gridSpan w:val="3"/>
            <w:hideMark/>
          </w:tcPr>
          <w:p w14:paraId="27C70ABF" w14:textId="77777777" w:rsidR="00EE2DBA" w:rsidRPr="002B136D" w:rsidRDefault="00EE2DBA" w:rsidP="00534078">
            <w:pPr>
              <w:contextualSpacing/>
              <w:jc w:val="both"/>
              <w:rPr>
                <w:rFonts w:cs="Times New Roman"/>
                <w:bCs/>
                <w:sz w:val="24"/>
                <w:szCs w:val="28"/>
                <w:lang w:val="en-US"/>
              </w:rPr>
            </w:pPr>
            <w:r w:rsidRPr="002B136D">
              <w:rPr>
                <w:rFonts w:cs="Times New Roman"/>
                <w:bCs/>
                <w:sz w:val="24"/>
                <w:szCs w:val="28"/>
              </w:rPr>
              <w:t>Группы</w:t>
            </w:r>
            <w:r w:rsidRPr="002B136D">
              <w:rPr>
                <w:rFonts w:cs="Times New Roman"/>
                <w:bCs/>
                <w:sz w:val="24"/>
                <w:szCs w:val="28"/>
                <w:lang w:val="en-US"/>
              </w:rPr>
              <w:t xml:space="preserve"> </w:t>
            </w:r>
          </w:p>
        </w:tc>
        <w:tc>
          <w:tcPr>
            <w:tcW w:w="1245" w:type="dxa"/>
            <w:vMerge w:val="restart"/>
            <w:hideMark/>
          </w:tcPr>
          <w:p w14:paraId="19F41A08" w14:textId="77777777" w:rsidR="00EE2DBA" w:rsidRPr="002B136D" w:rsidRDefault="00EE2DBA" w:rsidP="00534078">
            <w:pPr>
              <w:contextualSpacing/>
              <w:jc w:val="both"/>
              <w:rPr>
                <w:rFonts w:cs="Times New Roman"/>
                <w:bCs/>
                <w:sz w:val="24"/>
                <w:szCs w:val="28"/>
                <w:lang w:val="en-US"/>
              </w:rPr>
            </w:pPr>
            <w:r w:rsidRPr="002B136D">
              <w:rPr>
                <w:rFonts w:cs="Times New Roman"/>
                <w:bCs/>
                <w:sz w:val="24"/>
                <w:szCs w:val="28"/>
              </w:rPr>
              <w:t> </w:t>
            </w:r>
            <w:proofErr w:type="gramStart"/>
            <w:r w:rsidRPr="002B136D">
              <w:rPr>
                <w:rFonts w:cs="Times New Roman"/>
                <w:bCs/>
                <w:iCs/>
                <w:sz w:val="24"/>
                <w:szCs w:val="28"/>
              </w:rPr>
              <w:t>Р</w:t>
            </w:r>
            <w:proofErr w:type="gramEnd"/>
            <w:r w:rsidRPr="002B136D">
              <w:rPr>
                <w:rFonts w:cs="Times New Roman"/>
                <w:bCs/>
                <w:iCs/>
                <w:sz w:val="24"/>
                <w:szCs w:val="28"/>
                <w:lang w:val="en-US"/>
              </w:rPr>
              <w:t>-value</w:t>
            </w:r>
          </w:p>
        </w:tc>
      </w:tr>
      <w:tr w:rsidR="002B136D" w:rsidRPr="002B136D" w14:paraId="071BBC95" w14:textId="77777777" w:rsidTr="00AF31F3">
        <w:trPr>
          <w:trHeight w:val="20"/>
        </w:trPr>
        <w:tc>
          <w:tcPr>
            <w:tcW w:w="2930" w:type="dxa"/>
            <w:vMerge/>
          </w:tcPr>
          <w:p w14:paraId="7C772129" w14:textId="77777777" w:rsidR="00EE2DBA" w:rsidRPr="002B136D" w:rsidRDefault="00EE2DBA" w:rsidP="00534078">
            <w:pPr>
              <w:contextualSpacing/>
              <w:jc w:val="both"/>
              <w:rPr>
                <w:rFonts w:cs="Times New Roman"/>
                <w:sz w:val="24"/>
                <w:szCs w:val="28"/>
                <w:lang w:val="kk-KZ"/>
              </w:rPr>
            </w:pPr>
          </w:p>
        </w:tc>
        <w:tc>
          <w:tcPr>
            <w:tcW w:w="1900" w:type="dxa"/>
          </w:tcPr>
          <w:p w14:paraId="0140107E" w14:textId="04718E24" w:rsidR="00EE2DBA" w:rsidRPr="002B136D" w:rsidRDefault="00EE2DBA" w:rsidP="00534078">
            <w:pPr>
              <w:contextualSpacing/>
              <w:jc w:val="both"/>
              <w:rPr>
                <w:rFonts w:cs="Times New Roman"/>
                <w:bCs/>
                <w:sz w:val="24"/>
                <w:szCs w:val="28"/>
              </w:rPr>
            </w:pPr>
            <w:r w:rsidRPr="002B136D">
              <w:rPr>
                <w:rFonts w:cs="Times New Roman"/>
                <w:bCs/>
                <w:sz w:val="24"/>
                <w:szCs w:val="28"/>
              </w:rPr>
              <w:t>Активная ЭОП (</w:t>
            </w:r>
            <w:r w:rsidRPr="002B136D">
              <w:rPr>
                <w:rFonts w:cs="Times New Roman"/>
                <w:bCs/>
                <w:sz w:val="24"/>
                <w:szCs w:val="28"/>
                <w:lang w:val="en-US"/>
              </w:rPr>
              <w:t>n</w:t>
            </w:r>
            <w:r w:rsidR="00F30C08" w:rsidRPr="002B136D">
              <w:rPr>
                <w:rFonts w:cs="Times New Roman"/>
                <w:bCs/>
                <w:sz w:val="24"/>
                <w:szCs w:val="28"/>
              </w:rPr>
              <w:t>-43</w:t>
            </w:r>
            <w:r w:rsidRPr="002B136D">
              <w:rPr>
                <w:rFonts w:cs="Times New Roman"/>
                <w:bCs/>
                <w:sz w:val="24"/>
                <w:szCs w:val="28"/>
              </w:rPr>
              <w:t>)</w:t>
            </w:r>
          </w:p>
        </w:tc>
        <w:tc>
          <w:tcPr>
            <w:tcW w:w="1899" w:type="dxa"/>
          </w:tcPr>
          <w:p w14:paraId="11C56926" w14:textId="17EDA720" w:rsidR="00EE2DBA" w:rsidRPr="002B136D" w:rsidRDefault="00EE2DBA" w:rsidP="00534078">
            <w:pPr>
              <w:contextualSpacing/>
              <w:jc w:val="both"/>
              <w:rPr>
                <w:rFonts w:cs="Times New Roman"/>
                <w:bCs/>
                <w:sz w:val="24"/>
                <w:szCs w:val="28"/>
              </w:rPr>
            </w:pPr>
            <w:r w:rsidRPr="002B136D">
              <w:rPr>
                <w:rFonts w:cs="Times New Roman"/>
                <w:bCs/>
                <w:sz w:val="24"/>
                <w:szCs w:val="28"/>
              </w:rPr>
              <w:t>Неактивная ЭОП</w:t>
            </w:r>
            <w:r w:rsidR="00D77B6D" w:rsidRPr="002B136D">
              <w:rPr>
                <w:rFonts w:cs="Times New Roman"/>
                <w:bCs/>
                <w:sz w:val="24"/>
                <w:szCs w:val="28"/>
              </w:rPr>
              <w:t xml:space="preserve"> </w:t>
            </w:r>
            <w:r w:rsidRPr="002B136D">
              <w:rPr>
                <w:rFonts w:cs="Times New Roman"/>
                <w:bCs/>
                <w:sz w:val="24"/>
                <w:szCs w:val="28"/>
              </w:rPr>
              <w:t>(</w:t>
            </w:r>
            <w:r w:rsidRPr="002B136D">
              <w:rPr>
                <w:rFonts w:cs="Times New Roman"/>
                <w:bCs/>
                <w:sz w:val="24"/>
                <w:szCs w:val="28"/>
                <w:lang w:val="en-US"/>
              </w:rPr>
              <w:t>n</w:t>
            </w:r>
            <w:r w:rsidR="00F30C08" w:rsidRPr="002B136D">
              <w:rPr>
                <w:rFonts w:cs="Times New Roman"/>
                <w:bCs/>
                <w:sz w:val="24"/>
                <w:szCs w:val="28"/>
              </w:rPr>
              <w:t>-27</w:t>
            </w:r>
            <w:r w:rsidRPr="002B136D">
              <w:rPr>
                <w:rFonts w:cs="Times New Roman"/>
                <w:bCs/>
                <w:sz w:val="24"/>
                <w:szCs w:val="28"/>
              </w:rPr>
              <w:t>)</w:t>
            </w:r>
          </w:p>
        </w:tc>
        <w:tc>
          <w:tcPr>
            <w:tcW w:w="1665" w:type="dxa"/>
          </w:tcPr>
          <w:p w14:paraId="60700037" w14:textId="77777777" w:rsidR="007153D2" w:rsidRPr="002B136D" w:rsidRDefault="00EE2DBA" w:rsidP="00534078">
            <w:pPr>
              <w:contextualSpacing/>
              <w:jc w:val="both"/>
              <w:rPr>
                <w:rFonts w:cs="Times New Roman"/>
                <w:bCs/>
                <w:sz w:val="24"/>
                <w:szCs w:val="28"/>
              </w:rPr>
            </w:pPr>
            <w:r w:rsidRPr="002B136D">
              <w:rPr>
                <w:rFonts w:cs="Times New Roman"/>
                <w:bCs/>
                <w:sz w:val="24"/>
                <w:szCs w:val="28"/>
              </w:rPr>
              <w:t>Контроль</w:t>
            </w:r>
            <w:r w:rsidR="00D77B6D" w:rsidRPr="002B136D">
              <w:rPr>
                <w:rFonts w:cs="Times New Roman"/>
                <w:bCs/>
                <w:sz w:val="24"/>
                <w:szCs w:val="28"/>
              </w:rPr>
              <w:t xml:space="preserve"> </w:t>
            </w:r>
          </w:p>
          <w:p w14:paraId="5D5F9332" w14:textId="2C725DEE" w:rsidR="00EE2DBA" w:rsidRPr="002B136D" w:rsidRDefault="00EE2DBA" w:rsidP="00534078">
            <w:pPr>
              <w:contextualSpacing/>
              <w:jc w:val="both"/>
              <w:rPr>
                <w:rFonts w:cs="Times New Roman"/>
                <w:bCs/>
                <w:sz w:val="24"/>
                <w:szCs w:val="28"/>
              </w:rPr>
            </w:pPr>
            <w:r w:rsidRPr="002B136D">
              <w:rPr>
                <w:rFonts w:cs="Times New Roman"/>
                <w:bCs/>
                <w:sz w:val="24"/>
                <w:szCs w:val="28"/>
              </w:rPr>
              <w:t>(</w:t>
            </w:r>
            <w:r w:rsidRPr="002B136D">
              <w:rPr>
                <w:rFonts w:cs="Times New Roman"/>
                <w:bCs/>
                <w:sz w:val="24"/>
                <w:szCs w:val="28"/>
                <w:lang w:val="en-US"/>
              </w:rPr>
              <w:t>n</w:t>
            </w:r>
            <w:r w:rsidR="000B27B6" w:rsidRPr="002B136D">
              <w:rPr>
                <w:rFonts w:cs="Times New Roman"/>
                <w:bCs/>
                <w:sz w:val="24"/>
                <w:szCs w:val="28"/>
              </w:rPr>
              <w:t>-</w:t>
            </w:r>
            <w:r w:rsidR="000B27B6" w:rsidRPr="002B136D">
              <w:rPr>
                <w:rFonts w:cs="Times New Roman"/>
                <w:bCs/>
                <w:sz w:val="24"/>
                <w:szCs w:val="28"/>
                <w:lang w:val="en-US"/>
              </w:rPr>
              <w:t>17</w:t>
            </w:r>
            <w:r w:rsidRPr="002B136D">
              <w:rPr>
                <w:rFonts w:cs="Times New Roman"/>
                <w:bCs/>
                <w:sz w:val="24"/>
                <w:szCs w:val="28"/>
              </w:rPr>
              <w:t>)</w:t>
            </w:r>
          </w:p>
        </w:tc>
        <w:tc>
          <w:tcPr>
            <w:tcW w:w="1245" w:type="dxa"/>
            <w:vMerge/>
          </w:tcPr>
          <w:p w14:paraId="369ED9F1" w14:textId="77777777" w:rsidR="00EE2DBA" w:rsidRPr="002B136D" w:rsidRDefault="00EE2DBA" w:rsidP="00534078">
            <w:pPr>
              <w:contextualSpacing/>
              <w:jc w:val="both"/>
              <w:rPr>
                <w:rFonts w:cs="Times New Roman"/>
                <w:bCs/>
                <w:sz w:val="24"/>
                <w:szCs w:val="28"/>
              </w:rPr>
            </w:pPr>
          </w:p>
        </w:tc>
      </w:tr>
      <w:tr w:rsidR="002B136D" w:rsidRPr="002B136D" w14:paraId="7F209475" w14:textId="77777777" w:rsidTr="00AF31F3">
        <w:trPr>
          <w:trHeight w:val="20"/>
        </w:trPr>
        <w:tc>
          <w:tcPr>
            <w:tcW w:w="9639" w:type="dxa"/>
            <w:gridSpan w:val="5"/>
          </w:tcPr>
          <w:p w14:paraId="4E1E654A" w14:textId="77777777" w:rsidR="00EE2DBA" w:rsidRPr="002B136D" w:rsidRDefault="00EE2DBA" w:rsidP="00534078">
            <w:pPr>
              <w:contextualSpacing/>
              <w:jc w:val="both"/>
              <w:rPr>
                <w:rFonts w:cs="Times New Roman"/>
                <w:bCs/>
                <w:sz w:val="24"/>
                <w:szCs w:val="28"/>
              </w:rPr>
            </w:pPr>
            <w:r w:rsidRPr="002B136D">
              <w:rPr>
                <w:rFonts w:cs="Times New Roman"/>
                <w:sz w:val="24"/>
                <w:szCs w:val="28"/>
                <w:lang w:val="kk-KZ"/>
              </w:rPr>
              <w:t xml:space="preserve">В </w:t>
            </w:r>
            <w:r w:rsidRPr="002B136D">
              <w:rPr>
                <w:rFonts w:cs="Times New Roman"/>
                <w:sz w:val="24"/>
                <w:szCs w:val="28"/>
              </w:rPr>
              <w:t>нестимулированной слезе</w:t>
            </w:r>
          </w:p>
        </w:tc>
      </w:tr>
      <w:tr w:rsidR="002B136D" w:rsidRPr="002B136D" w14:paraId="1F103E77" w14:textId="77777777" w:rsidTr="00AF31F3">
        <w:trPr>
          <w:trHeight w:val="20"/>
        </w:trPr>
        <w:tc>
          <w:tcPr>
            <w:tcW w:w="2930" w:type="dxa"/>
            <w:hideMark/>
          </w:tcPr>
          <w:p w14:paraId="1FEC3EC6" w14:textId="5C5AF357" w:rsidR="00EE2DBA" w:rsidRPr="002B136D" w:rsidRDefault="00F87542" w:rsidP="00534078">
            <w:pPr>
              <w:contextualSpacing/>
              <w:jc w:val="both"/>
              <w:rPr>
                <w:rFonts w:cs="Times New Roman"/>
                <w:sz w:val="24"/>
                <w:szCs w:val="28"/>
                <w:lang w:val="kk-KZ"/>
              </w:rPr>
            </w:pPr>
            <w:r w:rsidRPr="002B136D">
              <w:rPr>
                <w:rFonts w:cs="Times New Roman"/>
                <w:sz w:val="24"/>
                <w:szCs w:val="28"/>
                <w:lang w:val="en-US"/>
              </w:rPr>
              <w:t>IL</w:t>
            </w:r>
            <w:r w:rsidR="00EE2DBA" w:rsidRPr="002B136D">
              <w:rPr>
                <w:rFonts w:cs="Times New Roman"/>
                <w:sz w:val="24"/>
                <w:szCs w:val="28"/>
                <w:lang w:val="en-US"/>
              </w:rPr>
              <w:t>-17, mean±SD (IQR)</w:t>
            </w:r>
          </w:p>
        </w:tc>
        <w:tc>
          <w:tcPr>
            <w:tcW w:w="1900" w:type="dxa"/>
            <w:hideMark/>
          </w:tcPr>
          <w:p w14:paraId="4530E58E" w14:textId="77777777" w:rsidR="00EE2DBA" w:rsidRPr="002B136D" w:rsidRDefault="00EE2DBA" w:rsidP="00534078">
            <w:pPr>
              <w:contextualSpacing/>
              <w:jc w:val="both"/>
              <w:rPr>
                <w:rFonts w:cs="Times New Roman"/>
                <w:sz w:val="24"/>
                <w:szCs w:val="28"/>
              </w:rPr>
            </w:pPr>
            <w:r w:rsidRPr="002B136D">
              <w:rPr>
                <w:rFonts w:cs="Times New Roman"/>
                <w:sz w:val="24"/>
                <w:szCs w:val="28"/>
              </w:rPr>
              <w:t>3</w:t>
            </w:r>
            <w:r w:rsidRPr="002B136D">
              <w:rPr>
                <w:rFonts w:cs="Times New Roman"/>
                <w:sz w:val="24"/>
                <w:szCs w:val="28"/>
                <w:lang w:val="en-US"/>
              </w:rPr>
              <w:t>7</w:t>
            </w:r>
            <w:r w:rsidRPr="002B136D">
              <w:rPr>
                <w:rFonts w:cs="Times New Roman"/>
                <w:sz w:val="24"/>
                <w:szCs w:val="28"/>
              </w:rPr>
              <w:t>,</w:t>
            </w:r>
            <w:r w:rsidRPr="002B136D">
              <w:rPr>
                <w:rFonts w:cs="Times New Roman"/>
                <w:sz w:val="24"/>
                <w:szCs w:val="28"/>
                <w:lang w:val="en-US"/>
              </w:rPr>
              <w:t>2</w:t>
            </w:r>
            <w:r w:rsidRPr="002B136D">
              <w:rPr>
                <w:rFonts w:cs="Times New Roman"/>
                <w:sz w:val="24"/>
                <w:szCs w:val="28"/>
              </w:rPr>
              <w:t>1</w:t>
            </w:r>
            <w:r w:rsidRPr="002B136D">
              <w:rPr>
                <w:rFonts w:cs="Times New Roman"/>
                <w:sz w:val="24"/>
                <w:szCs w:val="28"/>
                <w:lang w:val="en-US"/>
              </w:rPr>
              <w:t>±8.84</w:t>
            </w:r>
          </w:p>
          <w:p w14:paraId="7FE35831" w14:textId="77777777" w:rsidR="00EE2DBA" w:rsidRPr="002B136D" w:rsidRDefault="00EE2DBA" w:rsidP="00534078">
            <w:pPr>
              <w:contextualSpacing/>
              <w:jc w:val="both"/>
              <w:rPr>
                <w:rFonts w:cs="Times New Roman"/>
                <w:sz w:val="24"/>
                <w:szCs w:val="28"/>
              </w:rPr>
            </w:pPr>
            <w:r w:rsidRPr="002B136D">
              <w:rPr>
                <w:rFonts w:cs="Times New Roman"/>
                <w:sz w:val="24"/>
                <w:szCs w:val="28"/>
              </w:rPr>
              <w:t>(4,5; 41,71)</w:t>
            </w:r>
          </w:p>
          <w:p w14:paraId="4FBB4750" w14:textId="77777777" w:rsidR="00EE2DBA" w:rsidRPr="002B136D" w:rsidRDefault="00EE2DBA" w:rsidP="00534078">
            <w:pPr>
              <w:contextualSpacing/>
              <w:jc w:val="both"/>
              <w:rPr>
                <w:rFonts w:cs="Times New Roman"/>
                <w:sz w:val="24"/>
                <w:szCs w:val="28"/>
              </w:rPr>
            </w:pPr>
          </w:p>
        </w:tc>
        <w:tc>
          <w:tcPr>
            <w:tcW w:w="1899" w:type="dxa"/>
            <w:hideMark/>
          </w:tcPr>
          <w:p w14:paraId="5EAB971C" w14:textId="77777777" w:rsidR="00EE2DBA" w:rsidRPr="002B136D" w:rsidRDefault="00EE2DBA" w:rsidP="00534078">
            <w:pPr>
              <w:contextualSpacing/>
              <w:jc w:val="both"/>
              <w:rPr>
                <w:rFonts w:cs="Times New Roman"/>
                <w:sz w:val="24"/>
                <w:szCs w:val="28"/>
                <w:lang w:val="en-US"/>
              </w:rPr>
            </w:pPr>
            <w:r w:rsidRPr="002B136D">
              <w:rPr>
                <w:rFonts w:cs="Times New Roman"/>
                <w:sz w:val="24"/>
                <w:szCs w:val="28"/>
              </w:rPr>
              <w:t>20,52</w:t>
            </w:r>
            <w:r w:rsidRPr="002B136D">
              <w:rPr>
                <w:rFonts w:cs="Times New Roman"/>
                <w:sz w:val="24"/>
                <w:szCs w:val="28"/>
                <w:lang w:val="en-US"/>
              </w:rPr>
              <w:t>± 5</w:t>
            </w:r>
            <w:r w:rsidRPr="002B136D">
              <w:rPr>
                <w:rFonts w:cs="Times New Roman"/>
                <w:sz w:val="24"/>
                <w:szCs w:val="28"/>
              </w:rPr>
              <w:t>.</w:t>
            </w:r>
            <w:r w:rsidRPr="002B136D">
              <w:rPr>
                <w:rFonts w:cs="Times New Roman"/>
                <w:sz w:val="24"/>
                <w:szCs w:val="28"/>
                <w:lang w:val="en-US"/>
              </w:rPr>
              <w:t>21</w:t>
            </w:r>
          </w:p>
          <w:p w14:paraId="77D0FF36" w14:textId="77777777" w:rsidR="00EE2DBA" w:rsidRPr="002B136D" w:rsidRDefault="00EE2DBA" w:rsidP="00534078">
            <w:pPr>
              <w:contextualSpacing/>
              <w:jc w:val="both"/>
              <w:rPr>
                <w:rFonts w:cs="Times New Roman"/>
                <w:sz w:val="24"/>
                <w:szCs w:val="28"/>
              </w:rPr>
            </w:pPr>
            <w:r w:rsidRPr="002B136D">
              <w:rPr>
                <w:rFonts w:cs="Times New Roman"/>
                <w:sz w:val="24"/>
                <w:szCs w:val="28"/>
              </w:rPr>
              <w:t>(3,22; 28,54)</w:t>
            </w:r>
          </w:p>
          <w:p w14:paraId="27DBA5FE" w14:textId="77777777" w:rsidR="00EE2DBA" w:rsidRPr="002B136D" w:rsidRDefault="00EE2DBA" w:rsidP="00534078">
            <w:pPr>
              <w:contextualSpacing/>
              <w:jc w:val="both"/>
              <w:rPr>
                <w:rFonts w:cs="Times New Roman"/>
                <w:sz w:val="24"/>
                <w:szCs w:val="28"/>
              </w:rPr>
            </w:pPr>
          </w:p>
        </w:tc>
        <w:tc>
          <w:tcPr>
            <w:tcW w:w="1665" w:type="dxa"/>
          </w:tcPr>
          <w:p w14:paraId="307BBFFD" w14:textId="77777777" w:rsidR="00EE2DBA" w:rsidRPr="002B136D" w:rsidRDefault="00EE2DBA" w:rsidP="00534078">
            <w:pPr>
              <w:contextualSpacing/>
              <w:jc w:val="both"/>
              <w:rPr>
                <w:rFonts w:cs="Times New Roman"/>
                <w:sz w:val="24"/>
                <w:szCs w:val="28"/>
              </w:rPr>
            </w:pPr>
            <w:r w:rsidRPr="002B136D">
              <w:rPr>
                <w:rFonts w:cs="Times New Roman"/>
                <w:sz w:val="24"/>
                <w:szCs w:val="28"/>
              </w:rPr>
              <w:t>8,45</w:t>
            </w:r>
            <w:r w:rsidRPr="002B136D">
              <w:rPr>
                <w:rFonts w:cs="Times New Roman"/>
                <w:sz w:val="24"/>
                <w:szCs w:val="28"/>
                <w:lang w:val="en-US"/>
              </w:rPr>
              <w:t>±1.9</w:t>
            </w:r>
          </w:p>
          <w:p w14:paraId="73E94338" w14:textId="03AB7864" w:rsidR="00EE2DBA" w:rsidRPr="00AF31F3" w:rsidRDefault="00EE2DBA" w:rsidP="00534078">
            <w:pPr>
              <w:contextualSpacing/>
              <w:jc w:val="both"/>
              <w:rPr>
                <w:rFonts w:cs="Times New Roman"/>
                <w:sz w:val="24"/>
                <w:szCs w:val="28"/>
              </w:rPr>
            </w:pPr>
            <w:r w:rsidRPr="002B136D">
              <w:rPr>
                <w:rFonts w:cs="Times New Roman"/>
                <w:sz w:val="24"/>
                <w:szCs w:val="28"/>
              </w:rPr>
              <w:t xml:space="preserve"> (0,42–9,8)</w:t>
            </w:r>
          </w:p>
        </w:tc>
        <w:tc>
          <w:tcPr>
            <w:tcW w:w="1245" w:type="dxa"/>
          </w:tcPr>
          <w:p w14:paraId="56C4C1C4" w14:textId="77777777" w:rsidR="00EE2DBA" w:rsidRPr="002B136D" w:rsidRDefault="00EE2DBA" w:rsidP="00534078">
            <w:pPr>
              <w:contextualSpacing/>
              <w:jc w:val="both"/>
              <w:rPr>
                <w:rFonts w:cs="Times New Roman"/>
                <w:sz w:val="24"/>
                <w:szCs w:val="28"/>
              </w:rPr>
            </w:pPr>
            <w:r w:rsidRPr="002B136D">
              <w:rPr>
                <w:rFonts w:cs="Times New Roman"/>
                <w:sz w:val="24"/>
                <w:szCs w:val="28"/>
                <w:lang w:val="en-US"/>
              </w:rPr>
              <w:t>0.01*</w:t>
            </w:r>
          </w:p>
          <w:p w14:paraId="554A50F2" w14:textId="77777777" w:rsidR="00EE2DBA" w:rsidRPr="002B136D" w:rsidRDefault="00EE2DBA" w:rsidP="00534078">
            <w:pPr>
              <w:contextualSpacing/>
              <w:jc w:val="both"/>
              <w:rPr>
                <w:rFonts w:cs="Times New Roman"/>
                <w:sz w:val="24"/>
                <w:szCs w:val="28"/>
              </w:rPr>
            </w:pPr>
          </w:p>
        </w:tc>
      </w:tr>
      <w:tr w:rsidR="002B136D" w:rsidRPr="002B136D" w14:paraId="10AAD821" w14:textId="77777777" w:rsidTr="00AF31F3">
        <w:trPr>
          <w:trHeight w:val="20"/>
        </w:trPr>
        <w:tc>
          <w:tcPr>
            <w:tcW w:w="2930" w:type="dxa"/>
          </w:tcPr>
          <w:p w14:paraId="4D3919F2" w14:textId="7AFD0910" w:rsidR="001510DB" w:rsidRPr="002B136D" w:rsidRDefault="00F87542" w:rsidP="00534078">
            <w:pPr>
              <w:contextualSpacing/>
              <w:jc w:val="both"/>
              <w:rPr>
                <w:rFonts w:cs="Times New Roman"/>
                <w:sz w:val="24"/>
                <w:szCs w:val="28"/>
              </w:rPr>
            </w:pPr>
            <w:r w:rsidRPr="002B136D">
              <w:rPr>
                <w:rFonts w:cs="Times New Roman"/>
                <w:sz w:val="24"/>
                <w:szCs w:val="28"/>
                <w:lang w:val="en-US"/>
              </w:rPr>
              <w:t>IL</w:t>
            </w:r>
            <w:r w:rsidR="001510DB" w:rsidRPr="002B136D">
              <w:rPr>
                <w:rFonts w:cs="Times New Roman"/>
                <w:sz w:val="24"/>
                <w:szCs w:val="28"/>
                <w:lang w:val="en-US"/>
              </w:rPr>
              <w:t>-</w:t>
            </w:r>
            <w:r w:rsidR="001510DB" w:rsidRPr="002B136D">
              <w:rPr>
                <w:rFonts w:cs="Times New Roman"/>
                <w:sz w:val="24"/>
                <w:szCs w:val="28"/>
              </w:rPr>
              <w:t>38 ,</w:t>
            </w:r>
            <w:r w:rsidR="001510DB" w:rsidRPr="002B136D">
              <w:rPr>
                <w:rFonts w:cs="Times New Roman"/>
                <w:sz w:val="24"/>
                <w:szCs w:val="28"/>
                <w:lang w:val="en-US"/>
              </w:rPr>
              <w:t xml:space="preserve"> mean±SD (IQR</w:t>
            </w:r>
            <w:r w:rsidR="001510DB" w:rsidRPr="002B136D">
              <w:rPr>
                <w:rFonts w:cs="Times New Roman"/>
                <w:sz w:val="24"/>
                <w:szCs w:val="28"/>
              </w:rPr>
              <w:t>)</w:t>
            </w:r>
          </w:p>
        </w:tc>
        <w:tc>
          <w:tcPr>
            <w:tcW w:w="1900" w:type="dxa"/>
          </w:tcPr>
          <w:p w14:paraId="22A53407" w14:textId="77777777" w:rsidR="001510DB" w:rsidRPr="002B136D" w:rsidRDefault="001510DB" w:rsidP="00534078">
            <w:pPr>
              <w:contextualSpacing/>
              <w:jc w:val="both"/>
              <w:rPr>
                <w:rFonts w:cs="Times New Roman"/>
                <w:sz w:val="24"/>
                <w:szCs w:val="28"/>
              </w:rPr>
            </w:pPr>
            <w:r w:rsidRPr="002B136D">
              <w:rPr>
                <w:rFonts w:cs="Times New Roman"/>
                <w:sz w:val="24"/>
                <w:szCs w:val="28"/>
              </w:rPr>
              <w:t>12,55</w:t>
            </w:r>
            <w:r w:rsidRPr="002B136D">
              <w:rPr>
                <w:rFonts w:cs="Times New Roman"/>
                <w:sz w:val="24"/>
                <w:szCs w:val="28"/>
                <w:lang w:val="en-US"/>
              </w:rPr>
              <w:t>±6.32</w:t>
            </w:r>
          </w:p>
          <w:p w14:paraId="75ADEB8C" w14:textId="132C7767" w:rsidR="001510DB" w:rsidRPr="002B136D" w:rsidRDefault="001510DB" w:rsidP="00534078">
            <w:pPr>
              <w:contextualSpacing/>
              <w:jc w:val="both"/>
              <w:rPr>
                <w:rFonts w:cs="Times New Roman"/>
                <w:sz w:val="24"/>
                <w:szCs w:val="28"/>
              </w:rPr>
            </w:pPr>
            <w:r w:rsidRPr="002B136D">
              <w:rPr>
                <w:rFonts w:cs="Times New Roman"/>
                <w:sz w:val="24"/>
                <w:szCs w:val="28"/>
              </w:rPr>
              <w:t>(1,7; 56,19)</w:t>
            </w:r>
          </w:p>
        </w:tc>
        <w:tc>
          <w:tcPr>
            <w:tcW w:w="1899" w:type="dxa"/>
          </w:tcPr>
          <w:p w14:paraId="2C3254D1" w14:textId="77777777" w:rsidR="001510DB" w:rsidRPr="002B136D" w:rsidRDefault="001510DB" w:rsidP="00534078">
            <w:pPr>
              <w:contextualSpacing/>
              <w:jc w:val="both"/>
              <w:rPr>
                <w:rFonts w:cs="Times New Roman"/>
                <w:sz w:val="24"/>
                <w:szCs w:val="28"/>
              </w:rPr>
            </w:pPr>
            <w:r w:rsidRPr="002B136D">
              <w:rPr>
                <w:rFonts w:cs="Times New Roman"/>
                <w:sz w:val="24"/>
                <w:szCs w:val="28"/>
              </w:rPr>
              <w:t>24,13</w:t>
            </w:r>
            <w:r w:rsidRPr="002B136D">
              <w:rPr>
                <w:rFonts w:cs="Times New Roman"/>
                <w:sz w:val="24"/>
                <w:szCs w:val="28"/>
                <w:lang w:val="en-US"/>
              </w:rPr>
              <w:t>±7.55</w:t>
            </w:r>
          </w:p>
          <w:p w14:paraId="108CFEF7" w14:textId="64365374" w:rsidR="001510DB" w:rsidRPr="002B136D" w:rsidRDefault="001510DB" w:rsidP="00534078">
            <w:pPr>
              <w:contextualSpacing/>
              <w:jc w:val="both"/>
              <w:rPr>
                <w:rFonts w:cs="Times New Roman"/>
                <w:sz w:val="24"/>
                <w:szCs w:val="28"/>
              </w:rPr>
            </w:pPr>
            <w:r w:rsidRPr="002B136D">
              <w:rPr>
                <w:rFonts w:cs="Times New Roman"/>
                <w:sz w:val="24"/>
                <w:szCs w:val="28"/>
              </w:rPr>
              <w:t>(1,8; 44,32)</w:t>
            </w:r>
          </w:p>
        </w:tc>
        <w:tc>
          <w:tcPr>
            <w:tcW w:w="1665" w:type="dxa"/>
          </w:tcPr>
          <w:p w14:paraId="0C1DF99D" w14:textId="77777777" w:rsidR="001510DB" w:rsidRPr="002B136D" w:rsidRDefault="001510DB" w:rsidP="00534078">
            <w:pPr>
              <w:contextualSpacing/>
              <w:jc w:val="both"/>
              <w:rPr>
                <w:rFonts w:cs="Times New Roman"/>
                <w:sz w:val="24"/>
                <w:szCs w:val="28"/>
              </w:rPr>
            </w:pPr>
            <w:r w:rsidRPr="002B136D">
              <w:rPr>
                <w:rFonts w:cs="Times New Roman"/>
                <w:sz w:val="24"/>
                <w:szCs w:val="28"/>
              </w:rPr>
              <w:t>32,64</w:t>
            </w:r>
            <w:r w:rsidRPr="002B136D">
              <w:rPr>
                <w:rFonts w:cs="Times New Roman"/>
                <w:sz w:val="24"/>
                <w:szCs w:val="28"/>
                <w:lang w:val="en-US"/>
              </w:rPr>
              <w:t>±8.14</w:t>
            </w:r>
          </w:p>
          <w:p w14:paraId="74FDB221" w14:textId="77777777" w:rsidR="001510DB" w:rsidRPr="002B136D" w:rsidRDefault="001510DB" w:rsidP="00534078">
            <w:pPr>
              <w:contextualSpacing/>
              <w:jc w:val="both"/>
              <w:rPr>
                <w:rFonts w:cs="Times New Roman"/>
                <w:sz w:val="24"/>
                <w:szCs w:val="28"/>
              </w:rPr>
            </w:pPr>
            <w:r w:rsidRPr="002B136D">
              <w:rPr>
                <w:rFonts w:cs="Times New Roman"/>
                <w:sz w:val="24"/>
                <w:szCs w:val="28"/>
              </w:rPr>
              <w:t>(0,9; 130,11)</w:t>
            </w:r>
          </w:p>
        </w:tc>
        <w:tc>
          <w:tcPr>
            <w:tcW w:w="1245" w:type="dxa"/>
          </w:tcPr>
          <w:p w14:paraId="43A7A1BC" w14:textId="77777777" w:rsidR="001510DB" w:rsidRPr="002B136D" w:rsidRDefault="001510DB" w:rsidP="00534078">
            <w:pPr>
              <w:contextualSpacing/>
              <w:jc w:val="both"/>
              <w:rPr>
                <w:rFonts w:cs="Times New Roman"/>
                <w:sz w:val="24"/>
                <w:szCs w:val="28"/>
                <w:lang w:val="en-US"/>
              </w:rPr>
            </w:pPr>
            <w:r w:rsidRPr="002B136D">
              <w:rPr>
                <w:rFonts w:cs="Times New Roman"/>
                <w:sz w:val="24"/>
                <w:szCs w:val="28"/>
              </w:rPr>
              <w:t>0.01</w:t>
            </w:r>
            <w:r w:rsidRPr="002B136D">
              <w:rPr>
                <w:rFonts w:cs="Times New Roman"/>
                <w:sz w:val="24"/>
                <w:szCs w:val="28"/>
                <w:lang w:val="en-US"/>
              </w:rPr>
              <w:t>*</w:t>
            </w:r>
          </w:p>
          <w:p w14:paraId="10F48BFB" w14:textId="77777777" w:rsidR="001510DB" w:rsidRPr="002B136D" w:rsidRDefault="001510DB" w:rsidP="00534078">
            <w:pPr>
              <w:contextualSpacing/>
              <w:jc w:val="both"/>
              <w:rPr>
                <w:rFonts w:cs="Times New Roman"/>
                <w:sz w:val="24"/>
                <w:szCs w:val="28"/>
                <w:lang w:val="en-US"/>
              </w:rPr>
            </w:pPr>
          </w:p>
        </w:tc>
      </w:tr>
      <w:tr w:rsidR="002B136D" w:rsidRPr="002B136D" w14:paraId="706D1B35" w14:textId="77777777" w:rsidTr="00AF31F3">
        <w:trPr>
          <w:trHeight w:val="20"/>
        </w:trPr>
        <w:tc>
          <w:tcPr>
            <w:tcW w:w="9639" w:type="dxa"/>
            <w:gridSpan w:val="5"/>
          </w:tcPr>
          <w:p w14:paraId="05322975" w14:textId="77777777" w:rsidR="00EE2DBA" w:rsidRPr="002B136D" w:rsidRDefault="00EE2DBA" w:rsidP="00534078">
            <w:pPr>
              <w:contextualSpacing/>
              <w:jc w:val="both"/>
              <w:rPr>
                <w:rFonts w:cs="Times New Roman"/>
                <w:sz w:val="24"/>
                <w:szCs w:val="28"/>
                <w:lang w:val="en-US"/>
              </w:rPr>
            </w:pPr>
            <w:r w:rsidRPr="002B136D">
              <w:rPr>
                <w:rFonts w:cs="Times New Roman"/>
                <w:sz w:val="24"/>
                <w:szCs w:val="28"/>
              </w:rPr>
              <w:t>В сыворотке крови</w:t>
            </w:r>
          </w:p>
        </w:tc>
      </w:tr>
      <w:tr w:rsidR="002B136D" w:rsidRPr="002B136D" w14:paraId="5139ED34" w14:textId="77777777" w:rsidTr="00AF31F3">
        <w:trPr>
          <w:trHeight w:val="20"/>
        </w:trPr>
        <w:tc>
          <w:tcPr>
            <w:tcW w:w="2930" w:type="dxa"/>
          </w:tcPr>
          <w:p w14:paraId="24B9B8D1" w14:textId="28363B9B" w:rsidR="00EE2DBA" w:rsidRPr="002B136D" w:rsidRDefault="00F87542" w:rsidP="00534078">
            <w:pPr>
              <w:contextualSpacing/>
              <w:jc w:val="both"/>
              <w:rPr>
                <w:rFonts w:cs="Times New Roman"/>
                <w:sz w:val="24"/>
                <w:szCs w:val="28"/>
                <w:lang w:val="en-US"/>
              </w:rPr>
            </w:pPr>
            <w:r w:rsidRPr="002B136D">
              <w:rPr>
                <w:rFonts w:cs="Times New Roman"/>
                <w:sz w:val="24"/>
                <w:szCs w:val="28"/>
                <w:lang w:val="en-US"/>
              </w:rPr>
              <w:t>IL</w:t>
            </w:r>
            <w:r w:rsidR="00EE2DBA" w:rsidRPr="002B136D">
              <w:rPr>
                <w:rFonts w:cs="Times New Roman"/>
                <w:sz w:val="24"/>
                <w:szCs w:val="28"/>
                <w:lang w:val="en-US"/>
              </w:rPr>
              <w:t>-17, mean±SD (IQR)</w:t>
            </w:r>
          </w:p>
          <w:p w14:paraId="03F3E772" w14:textId="77777777" w:rsidR="00EE2DBA" w:rsidRPr="002B136D" w:rsidRDefault="00EE2DBA" w:rsidP="00534078">
            <w:pPr>
              <w:contextualSpacing/>
              <w:jc w:val="both"/>
              <w:rPr>
                <w:rFonts w:cs="Times New Roman"/>
                <w:sz w:val="24"/>
                <w:szCs w:val="28"/>
                <w:lang w:val="en-US"/>
              </w:rPr>
            </w:pPr>
          </w:p>
        </w:tc>
        <w:tc>
          <w:tcPr>
            <w:tcW w:w="1900" w:type="dxa"/>
          </w:tcPr>
          <w:p w14:paraId="3F02B8C3" w14:textId="77777777" w:rsidR="00EE2DBA" w:rsidRPr="002B136D" w:rsidRDefault="00EE2DBA" w:rsidP="00534078">
            <w:pPr>
              <w:contextualSpacing/>
              <w:jc w:val="both"/>
              <w:rPr>
                <w:rFonts w:cs="Times New Roman"/>
                <w:sz w:val="24"/>
                <w:szCs w:val="28"/>
              </w:rPr>
            </w:pPr>
            <w:bookmarkStart w:id="12" w:name="_Hlk102559701"/>
            <w:r w:rsidRPr="002B136D">
              <w:rPr>
                <w:rFonts w:cs="Times New Roman"/>
                <w:sz w:val="24"/>
                <w:szCs w:val="28"/>
              </w:rPr>
              <w:t>13,77</w:t>
            </w:r>
            <w:r w:rsidRPr="002B136D">
              <w:rPr>
                <w:rFonts w:cs="Times New Roman"/>
                <w:sz w:val="24"/>
                <w:szCs w:val="28"/>
                <w:lang w:val="en-US"/>
              </w:rPr>
              <w:t>±5.65</w:t>
            </w:r>
          </w:p>
          <w:bookmarkEnd w:id="12"/>
          <w:p w14:paraId="6676DB17" w14:textId="77777777" w:rsidR="00EE2DBA" w:rsidRPr="002B136D" w:rsidRDefault="00EE2DBA" w:rsidP="00534078">
            <w:pPr>
              <w:contextualSpacing/>
              <w:jc w:val="both"/>
              <w:rPr>
                <w:rFonts w:cs="Times New Roman"/>
                <w:sz w:val="24"/>
                <w:szCs w:val="28"/>
              </w:rPr>
            </w:pPr>
            <w:r w:rsidRPr="002B136D">
              <w:rPr>
                <w:rFonts w:cs="Times New Roman"/>
                <w:sz w:val="24"/>
                <w:szCs w:val="28"/>
              </w:rPr>
              <w:t>(</w:t>
            </w:r>
            <w:r w:rsidRPr="002B136D">
              <w:rPr>
                <w:rFonts w:cs="Times New Roman"/>
                <w:sz w:val="24"/>
                <w:szCs w:val="28"/>
                <w:lang w:val="en-US"/>
              </w:rPr>
              <w:t>2</w:t>
            </w:r>
            <w:r w:rsidRPr="002B136D">
              <w:rPr>
                <w:rFonts w:cs="Times New Roman"/>
                <w:sz w:val="24"/>
                <w:szCs w:val="28"/>
              </w:rPr>
              <w:t>,</w:t>
            </w:r>
            <w:r w:rsidRPr="002B136D">
              <w:rPr>
                <w:rFonts w:cs="Times New Roman"/>
                <w:sz w:val="24"/>
                <w:szCs w:val="28"/>
                <w:lang w:val="en-US"/>
              </w:rPr>
              <w:t>9</w:t>
            </w:r>
            <w:r w:rsidRPr="002B136D">
              <w:rPr>
                <w:rFonts w:cs="Times New Roman"/>
                <w:sz w:val="24"/>
                <w:szCs w:val="28"/>
              </w:rPr>
              <w:t>; 17,5)</w:t>
            </w:r>
          </w:p>
        </w:tc>
        <w:tc>
          <w:tcPr>
            <w:tcW w:w="1899" w:type="dxa"/>
          </w:tcPr>
          <w:p w14:paraId="78C001C8" w14:textId="77777777" w:rsidR="00EE2DBA" w:rsidRPr="002B136D" w:rsidRDefault="00EE2DBA" w:rsidP="00534078">
            <w:pPr>
              <w:contextualSpacing/>
              <w:jc w:val="both"/>
              <w:rPr>
                <w:rFonts w:cs="Times New Roman"/>
                <w:sz w:val="24"/>
                <w:szCs w:val="28"/>
              </w:rPr>
            </w:pPr>
            <w:bookmarkStart w:id="13" w:name="_Hlk102559586"/>
            <w:r w:rsidRPr="002B136D">
              <w:rPr>
                <w:rFonts w:cs="Times New Roman"/>
                <w:sz w:val="24"/>
                <w:szCs w:val="28"/>
                <w:lang w:val="en-US"/>
              </w:rPr>
              <w:t>3.9</w:t>
            </w:r>
            <w:r w:rsidRPr="002B136D">
              <w:rPr>
                <w:rFonts w:cs="Times New Roman"/>
                <w:sz w:val="24"/>
                <w:szCs w:val="28"/>
              </w:rPr>
              <w:t>3</w:t>
            </w:r>
            <w:r w:rsidRPr="002B136D">
              <w:rPr>
                <w:rFonts w:cs="Times New Roman"/>
                <w:sz w:val="24"/>
                <w:szCs w:val="28"/>
                <w:lang w:val="en-US"/>
              </w:rPr>
              <w:t>±0.94</w:t>
            </w:r>
          </w:p>
          <w:bookmarkEnd w:id="13"/>
          <w:p w14:paraId="79113C3B" w14:textId="77777777" w:rsidR="00EE2DBA" w:rsidRPr="002B136D" w:rsidRDefault="00EE2DBA" w:rsidP="00534078">
            <w:pPr>
              <w:contextualSpacing/>
              <w:jc w:val="both"/>
              <w:rPr>
                <w:rFonts w:cs="Times New Roman"/>
                <w:sz w:val="24"/>
                <w:szCs w:val="28"/>
              </w:rPr>
            </w:pPr>
            <w:r w:rsidRPr="002B136D">
              <w:rPr>
                <w:rFonts w:cs="Times New Roman"/>
                <w:sz w:val="24"/>
                <w:szCs w:val="28"/>
              </w:rPr>
              <w:t xml:space="preserve">(1,2; </w:t>
            </w:r>
            <w:r w:rsidRPr="002B136D">
              <w:rPr>
                <w:rFonts w:cs="Times New Roman"/>
                <w:sz w:val="24"/>
                <w:szCs w:val="28"/>
                <w:lang w:val="en-US"/>
              </w:rPr>
              <w:t>6</w:t>
            </w:r>
            <w:r w:rsidRPr="002B136D">
              <w:rPr>
                <w:rFonts w:cs="Times New Roman"/>
                <w:sz w:val="24"/>
                <w:szCs w:val="28"/>
              </w:rPr>
              <w:t>,</w:t>
            </w:r>
            <w:r w:rsidRPr="002B136D">
              <w:rPr>
                <w:rFonts w:cs="Times New Roman"/>
                <w:sz w:val="24"/>
                <w:szCs w:val="28"/>
                <w:lang w:val="en-US"/>
              </w:rPr>
              <w:t>8</w:t>
            </w:r>
            <w:r w:rsidRPr="002B136D">
              <w:rPr>
                <w:rFonts w:cs="Times New Roman"/>
                <w:sz w:val="24"/>
                <w:szCs w:val="28"/>
              </w:rPr>
              <w:t>)</w:t>
            </w:r>
          </w:p>
        </w:tc>
        <w:tc>
          <w:tcPr>
            <w:tcW w:w="1665" w:type="dxa"/>
          </w:tcPr>
          <w:p w14:paraId="254096E6" w14:textId="77777777" w:rsidR="00EE2DBA" w:rsidRPr="002B136D" w:rsidRDefault="00EE2DBA" w:rsidP="00534078">
            <w:pPr>
              <w:contextualSpacing/>
              <w:jc w:val="both"/>
              <w:rPr>
                <w:rFonts w:cs="Times New Roman"/>
                <w:sz w:val="24"/>
                <w:szCs w:val="28"/>
              </w:rPr>
            </w:pPr>
            <w:bookmarkStart w:id="14" w:name="_Hlk102559565"/>
            <w:r w:rsidRPr="002B136D">
              <w:rPr>
                <w:rFonts w:cs="Times New Roman"/>
                <w:sz w:val="24"/>
                <w:szCs w:val="28"/>
              </w:rPr>
              <w:t>0,21</w:t>
            </w:r>
            <w:r w:rsidRPr="002B136D">
              <w:rPr>
                <w:rFonts w:cs="Times New Roman"/>
                <w:sz w:val="24"/>
                <w:szCs w:val="28"/>
                <w:lang w:val="en-US"/>
              </w:rPr>
              <w:t>±0.14</w:t>
            </w:r>
          </w:p>
          <w:p w14:paraId="39E9CBF3" w14:textId="77777777" w:rsidR="00EE2DBA" w:rsidRPr="002B136D" w:rsidRDefault="00EE2DBA" w:rsidP="00534078">
            <w:pPr>
              <w:contextualSpacing/>
              <w:jc w:val="both"/>
              <w:rPr>
                <w:rFonts w:cs="Times New Roman"/>
                <w:sz w:val="24"/>
                <w:szCs w:val="28"/>
              </w:rPr>
            </w:pPr>
            <w:r w:rsidRPr="002B136D">
              <w:rPr>
                <w:rFonts w:cs="Times New Roman"/>
                <w:sz w:val="24"/>
                <w:szCs w:val="28"/>
              </w:rPr>
              <w:t xml:space="preserve"> (0,</w:t>
            </w:r>
            <w:r w:rsidRPr="002B136D">
              <w:rPr>
                <w:rFonts w:cs="Times New Roman"/>
                <w:sz w:val="24"/>
                <w:szCs w:val="28"/>
                <w:lang w:val="en-US"/>
              </w:rPr>
              <w:t>09</w:t>
            </w:r>
            <w:r w:rsidRPr="002B136D">
              <w:rPr>
                <w:rFonts w:cs="Times New Roman"/>
                <w:sz w:val="24"/>
                <w:szCs w:val="28"/>
              </w:rPr>
              <w:t>–0,</w:t>
            </w:r>
            <w:r w:rsidRPr="002B136D">
              <w:rPr>
                <w:rFonts w:cs="Times New Roman"/>
                <w:sz w:val="24"/>
                <w:szCs w:val="28"/>
                <w:lang w:val="en-US"/>
              </w:rPr>
              <w:t>67</w:t>
            </w:r>
            <w:r w:rsidRPr="002B136D">
              <w:rPr>
                <w:rFonts w:cs="Times New Roman"/>
                <w:sz w:val="24"/>
                <w:szCs w:val="28"/>
              </w:rPr>
              <w:t>)</w:t>
            </w:r>
            <w:bookmarkEnd w:id="14"/>
          </w:p>
        </w:tc>
        <w:tc>
          <w:tcPr>
            <w:tcW w:w="1245" w:type="dxa"/>
          </w:tcPr>
          <w:p w14:paraId="5941ED50" w14:textId="77777777" w:rsidR="00EE2DBA" w:rsidRPr="002B136D" w:rsidRDefault="00EE2DBA" w:rsidP="00534078">
            <w:pPr>
              <w:contextualSpacing/>
              <w:jc w:val="both"/>
              <w:rPr>
                <w:rFonts w:cs="Times New Roman"/>
                <w:sz w:val="24"/>
                <w:szCs w:val="28"/>
                <w:lang w:val="en-US"/>
              </w:rPr>
            </w:pPr>
            <w:r w:rsidRPr="002B136D">
              <w:rPr>
                <w:rFonts w:cs="Times New Roman"/>
                <w:sz w:val="24"/>
                <w:szCs w:val="28"/>
                <w:lang w:val="en-US"/>
              </w:rPr>
              <w:t>0.01*</w:t>
            </w:r>
          </w:p>
        </w:tc>
      </w:tr>
      <w:tr w:rsidR="002B136D" w:rsidRPr="002B136D" w14:paraId="41E187AC" w14:textId="77777777" w:rsidTr="00AF31F3">
        <w:trPr>
          <w:trHeight w:val="20"/>
        </w:trPr>
        <w:tc>
          <w:tcPr>
            <w:tcW w:w="2930" w:type="dxa"/>
          </w:tcPr>
          <w:p w14:paraId="364DC73F" w14:textId="3F7CF07A" w:rsidR="001510DB" w:rsidRPr="002B136D" w:rsidRDefault="00F87542" w:rsidP="00534078">
            <w:pPr>
              <w:contextualSpacing/>
              <w:jc w:val="both"/>
              <w:rPr>
                <w:rFonts w:cs="Times New Roman"/>
                <w:sz w:val="24"/>
                <w:szCs w:val="28"/>
              </w:rPr>
            </w:pPr>
            <w:r w:rsidRPr="002B136D">
              <w:rPr>
                <w:rFonts w:cs="Times New Roman"/>
                <w:sz w:val="24"/>
                <w:szCs w:val="28"/>
                <w:lang w:val="en-US"/>
              </w:rPr>
              <w:t>IL</w:t>
            </w:r>
            <w:r w:rsidR="001510DB" w:rsidRPr="002B136D">
              <w:rPr>
                <w:rFonts w:cs="Times New Roman"/>
                <w:sz w:val="24"/>
                <w:szCs w:val="28"/>
                <w:lang w:val="en-US"/>
              </w:rPr>
              <w:t>-</w:t>
            </w:r>
            <w:r w:rsidR="001510DB" w:rsidRPr="002B136D">
              <w:rPr>
                <w:rFonts w:cs="Times New Roman"/>
                <w:sz w:val="24"/>
                <w:szCs w:val="28"/>
              </w:rPr>
              <w:t>38,</w:t>
            </w:r>
            <w:r w:rsidR="001510DB" w:rsidRPr="002B136D">
              <w:rPr>
                <w:rFonts w:cs="Times New Roman"/>
                <w:sz w:val="24"/>
                <w:szCs w:val="28"/>
                <w:lang w:val="en-US"/>
              </w:rPr>
              <w:t xml:space="preserve"> mean±SD (IQR</w:t>
            </w:r>
            <w:r w:rsidR="001510DB" w:rsidRPr="002B136D">
              <w:rPr>
                <w:rFonts w:cs="Times New Roman"/>
                <w:sz w:val="24"/>
                <w:szCs w:val="28"/>
              </w:rPr>
              <w:t>)</w:t>
            </w:r>
          </w:p>
        </w:tc>
        <w:tc>
          <w:tcPr>
            <w:tcW w:w="1900" w:type="dxa"/>
          </w:tcPr>
          <w:p w14:paraId="60E1902E" w14:textId="77777777" w:rsidR="001510DB" w:rsidRPr="002B136D" w:rsidRDefault="001510DB" w:rsidP="00534078">
            <w:pPr>
              <w:contextualSpacing/>
              <w:jc w:val="both"/>
              <w:rPr>
                <w:rFonts w:cs="Times New Roman"/>
                <w:sz w:val="24"/>
                <w:szCs w:val="28"/>
              </w:rPr>
            </w:pPr>
            <w:r w:rsidRPr="002B136D">
              <w:rPr>
                <w:rFonts w:cs="Times New Roman"/>
                <w:sz w:val="24"/>
                <w:szCs w:val="28"/>
              </w:rPr>
              <w:t>8,97</w:t>
            </w:r>
            <w:r w:rsidRPr="002B136D">
              <w:rPr>
                <w:rFonts w:cs="Times New Roman"/>
                <w:sz w:val="24"/>
                <w:szCs w:val="28"/>
                <w:lang w:val="en-US"/>
              </w:rPr>
              <w:t>±6.31</w:t>
            </w:r>
          </w:p>
          <w:p w14:paraId="69E8D200" w14:textId="2BED5594" w:rsidR="001510DB" w:rsidRPr="002B136D" w:rsidRDefault="001510DB" w:rsidP="00534078">
            <w:pPr>
              <w:contextualSpacing/>
              <w:jc w:val="both"/>
              <w:rPr>
                <w:rFonts w:cs="Times New Roman"/>
                <w:sz w:val="24"/>
                <w:szCs w:val="28"/>
              </w:rPr>
            </w:pPr>
            <w:r w:rsidRPr="002B136D">
              <w:rPr>
                <w:rFonts w:cs="Times New Roman"/>
                <w:sz w:val="24"/>
                <w:szCs w:val="28"/>
              </w:rPr>
              <w:t>(0,8; 33,11)</w:t>
            </w:r>
          </w:p>
        </w:tc>
        <w:tc>
          <w:tcPr>
            <w:tcW w:w="1899" w:type="dxa"/>
          </w:tcPr>
          <w:p w14:paraId="23CD493B" w14:textId="77777777" w:rsidR="001510DB" w:rsidRPr="002B136D" w:rsidRDefault="001510DB" w:rsidP="00534078">
            <w:pPr>
              <w:contextualSpacing/>
              <w:jc w:val="both"/>
              <w:rPr>
                <w:rFonts w:cs="Times New Roman"/>
                <w:sz w:val="24"/>
                <w:szCs w:val="28"/>
              </w:rPr>
            </w:pPr>
            <w:r w:rsidRPr="002B136D">
              <w:rPr>
                <w:rFonts w:cs="Times New Roman"/>
                <w:sz w:val="24"/>
                <w:szCs w:val="28"/>
              </w:rPr>
              <w:t>17,45</w:t>
            </w:r>
            <w:r w:rsidRPr="002B136D">
              <w:rPr>
                <w:rFonts w:cs="Times New Roman"/>
                <w:sz w:val="24"/>
                <w:szCs w:val="28"/>
                <w:lang w:val="en-US"/>
              </w:rPr>
              <w:t>±7.92</w:t>
            </w:r>
          </w:p>
          <w:p w14:paraId="4904D320" w14:textId="4AF8DA38" w:rsidR="001510DB" w:rsidRPr="002B136D" w:rsidRDefault="001510DB" w:rsidP="00534078">
            <w:pPr>
              <w:contextualSpacing/>
              <w:jc w:val="both"/>
              <w:rPr>
                <w:rFonts w:cs="Times New Roman"/>
                <w:sz w:val="24"/>
                <w:szCs w:val="28"/>
              </w:rPr>
            </w:pPr>
            <w:r w:rsidRPr="002B136D">
              <w:rPr>
                <w:rFonts w:cs="Times New Roman"/>
                <w:sz w:val="24"/>
                <w:szCs w:val="28"/>
              </w:rPr>
              <w:t>(2,4; 48,15)</w:t>
            </w:r>
          </w:p>
        </w:tc>
        <w:tc>
          <w:tcPr>
            <w:tcW w:w="1665" w:type="dxa"/>
          </w:tcPr>
          <w:p w14:paraId="59243BFB" w14:textId="77777777" w:rsidR="001510DB" w:rsidRPr="002B136D" w:rsidRDefault="001510DB" w:rsidP="00534078">
            <w:pPr>
              <w:contextualSpacing/>
              <w:jc w:val="both"/>
              <w:rPr>
                <w:rFonts w:cs="Times New Roman"/>
                <w:sz w:val="24"/>
                <w:szCs w:val="28"/>
              </w:rPr>
            </w:pPr>
            <w:r w:rsidRPr="002B136D">
              <w:rPr>
                <w:rFonts w:cs="Times New Roman"/>
                <w:sz w:val="24"/>
                <w:szCs w:val="28"/>
              </w:rPr>
              <w:t>48,31</w:t>
            </w:r>
            <w:r w:rsidRPr="002B136D">
              <w:rPr>
                <w:rFonts w:cs="Times New Roman"/>
                <w:sz w:val="24"/>
                <w:szCs w:val="28"/>
                <w:lang w:val="en-US"/>
              </w:rPr>
              <w:t>±12.4</w:t>
            </w:r>
          </w:p>
          <w:p w14:paraId="3B0E715D" w14:textId="47D86CD0" w:rsidR="001510DB" w:rsidRPr="002B136D" w:rsidRDefault="001510DB" w:rsidP="00534078">
            <w:pPr>
              <w:contextualSpacing/>
              <w:jc w:val="both"/>
              <w:rPr>
                <w:rFonts w:cs="Times New Roman"/>
                <w:sz w:val="24"/>
                <w:szCs w:val="28"/>
              </w:rPr>
            </w:pPr>
            <w:r w:rsidRPr="002B136D">
              <w:rPr>
                <w:rFonts w:cs="Times New Roman"/>
                <w:sz w:val="24"/>
                <w:szCs w:val="28"/>
              </w:rPr>
              <w:t>(0,6; 142,64)</w:t>
            </w:r>
          </w:p>
        </w:tc>
        <w:tc>
          <w:tcPr>
            <w:tcW w:w="1245" w:type="dxa"/>
          </w:tcPr>
          <w:p w14:paraId="341FC551" w14:textId="77777777" w:rsidR="001510DB" w:rsidRPr="002B136D" w:rsidRDefault="001510DB" w:rsidP="00534078">
            <w:pPr>
              <w:contextualSpacing/>
              <w:jc w:val="both"/>
              <w:rPr>
                <w:rFonts w:cs="Times New Roman"/>
                <w:sz w:val="24"/>
                <w:szCs w:val="28"/>
                <w:lang w:val="en-US"/>
              </w:rPr>
            </w:pPr>
            <w:r w:rsidRPr="002B136D">
              <w:rPr>
                <w:rFonts w:cs="Times New Roman"/>
                <w:sz w:val="24"/>
                <w:szCs w:val="28"/>
                <w:lang w:val="en-US"/>
              </w:rPr>
              <w:t>0.01*</w:t>
            </w:r>
          </w:p>
        </w:tc>
      </w:tr>
      <w:tr w:rsidR="002B136D" w:rsidRPr="002B136D" w14:paraId="267D0DE3" w14:textId="77777777" w:rsidTr="00AF31F3">
        <w:trPr>
          <w:trHeight w:val="20"/>
        </w:trPr>
        <w:tc>
          <w:tcPr>
            <w:tcW w:w="9639" w:type="dxa"/>
            <w:gridSpan w:val="5"/>
          </w:tcPr>
          <w:p w14:paraId="041EA3C2" w14:textId="77777777" w:rsidR="00EE2DBA" w:rsidRPr="002B136D" w:rsidRDefault="00EE2DBA" w:rsidP="00534078">
            <w:pPr>
              <w:contextualSpacing/>
              <w:jc w:val="both"/>
              <w:rPr>
                <w:rFonts w:cs="Times New Roman"/>
                <w:sz w:val="24"/>
                <w:szCs w:val="28"/>
              </w:rPr>
            </w:pPr>
            <w:r w:rsidRPr="002B136D">
              <w:rPr>
                <w:rFonts w:cs="Times New Roman"/>
                <w:sz w:val="24"/>
                <w:szCs w:val="28"/>
              </w:rPr>
              <w:t>В орбитальной клетчатке</w:t>
            </w:r>
          </w:p>
        </w:tc>
      </w:tr>
      <w:tr w:rsidR="002B136D" w:rsidRPr="002B136D" w14:paraId="6AF02D07" w14:textId="77777777" w:rsidTr="00AF31F3">
        <w:trPr>
          <w:trHeight w:val="20"/>
        </w:trPr>
        <w:tc>
          <w:tcPr>
            <w:tcW w:w="2930" w:type="dxa"/>
          </w:tcPr>
          <w:p w14:paraId="268A9116" w14:textId="43996B78" w:rsidR="00EE2DBA" w:rsidRPr="002B136D" w:rsidRDefault="00F87542" w:rsidP="00534078">
            <w:pPr>
              <w:contextualSpacing/>
              <w:jc w:val="both"/>
              <w:rPr>
                <w:rFonts w:cs="Times New Roman"/>
                <w:sz w:val="24"/>
                <w:szCs w:val="28"/>
                <w:lang w:val="kk-KZ"/>
              </w:rPr>
            </w:pPr>
            <w:r w:rsidRPr="002B136D">
              <w:rPr>
                <w:rFonts w:cs="Times New Roman"/>
                <w:sz w:val="24"/>
                <w:szCs w:val="28"/>
                <w:lang w:val="en-US"/>
              </w:rPr>
              <w:t>IL</w:t>
            </w:r>
            <w:r w:rsidR="00EE2DBA" w:rsidRPr="002B136D">
              <w:rPr>
                <w:rFonts w:cs="Times New Roman"/>
                <w:sz w:val="24"/>
                <w:szCs w:val="28"/>
                <w:lang w:val="en-US"/>
              </w:rPr>
              <w:t>-17, mean±SD (IQR)</w:t>
            </w:r>
          </w:p>
        </w:tc>
        <w:tc>
          <w:tcPr>
            <w:tcW w:w="1900" w:type="dxa"/>
          </w:tcPr>
          <w:p w14:paraId="2CECC7BE" w14:textId="77777777" w:rsidR="00EE2DBA" w:rsidRPr="002B136D" w:rsidRDefault="00EE2DBA" w:rsidP="00534078">
            <w:pPr>
              <w:contextualSpacing/>
              <w:jc w:val="both"/>
              <w:rPr>
                <w:rFonts w:cs="Times New Roman"/>
                <w:sz w:val="24"/>
                <w:szCs w:val="28"/>
              </w:rPr>
            </w:pPr>
            <w:bookmarkStart w:id="15" w:name="_Hlk102561333"/>
            <w:r w:rsidRPr="002B136D">
              <w:rPr>
                <w:rFonts w:cs="Times New Roman"/>
                <w:sz w:val="24"/>
                <w:szCs w:val="28"/>
              </w:rPr>
              <w:t>24,34</w:t>
            </w:r>
            <w:r w:rsidRPr="002B136D">
              <w:rPr>
                <w:rFonts w:cs="Times New Roman"/>
                <w:sz w:val="24"/>
                <w:szCs w:val="28"/>
                <w:lang w:val="en-US"/>
              </w:rPr>
              <w:t>±6.87</w:t>
            </w:r>
          </w:p>
          <w:bookmarkEnd w:id="15"/>
          <w:p w14:paraId="28A31F4C" w14:textId="54D33291" w:rsidR="00EE2DBA" w:rsidRPr="002B136D" w:rsidRDefault="00EE2DBA" w:rsidP="00534078">
            <w:pPr>
              <w:contextualSpacing/>
              <w:jc w:val="both"/>
              <w:rPr>
                <w:rFonts w:cs="Times New Roman"/>
                <w:sz w:val="24"/>
                <w:szCs w:val="28"/>
              </w:rPr>
            </w:pPr>
            <w:r w:rsidRPr="002B136D">
              <w:rPr>
                <w:rFonts w:cs="Times New Roman"/>
                <w:sz w:val="24"/>
                <w:szCs w:val="28"/>
              </w:rPr>
              <w:t xml:space="preserve"> (5,78;27,5)</w:t>
            </w:r>
          </w:p>
        </w:tc>
        <w:tc>
          <w:tcPr>
            <w:tcW w:w="1899" w:type="dxa"/>
          </w:tcPr>
          <w:p w14:paraId="14F463C1" w14:textId="77777777" w:rsidR="00EE2DBA" w:rsidRPr="002B136D" w:rsidRDefault="00EE2DBA" w:rsidP="00534078">
            <w:pPr>
              <w:contextualSpacing/>
              <w:jc w:val="both"/>
              <w:rPr>
                <w:rFonts w:cs="Times New Roman"/>
                <w:sz w:val="24"/>
                <w:szCs w:val="28"/>
              </w:rPr>
            </w:pPr>
            <w:bookmarkStart w:id="16" w:name="_Hlk102561561"/>
            <w:r w:rsidRPr="002B136D">
              <w:rPr>
                <w:rFonts w:cs="Times New Roman"/>
                <w:sz w:val="24"/>
                <w:szCs w:val="28"/>
              </w:rPr>
              <w:t>16,81</w:t>
            </w:r>
            <w:r w:rsidRPr="002B136D">
              <w:rPr>
                <w:rFonts w:cs="Times New Roman"/>
                <w:sz w:val="24"/>
                <w:szCs w:val="28"/>
                <w:lang w:val="en-US"/>
              </w:rPr>
              <w:t>±6.97</w:t>
            </w:r>
          </w:p>
          <w:bookmarkEnd w:id="16"/>
          <w:p w14:paraId="6616E20A" w14:textId="4547B7B2" w:rsidR="00EE2DBA" w:rsidRPr="002B136D" w:rsidRDefault="00EE2DBA" w:rsidP="00534078">
            <w:pPr>
              <w:contextualSpacing/>
              <w:jc w:val="both"/>
              <w:rPr>
                <w:rFonts w:cs="Times New Roman"/>
                <w:sz w:val="24"/>
                <w:szCs w:val="28"/>
              </w:rPr>
            </w:pPr>
            <w:r w:rsidRPr="002B136D">
              <w:rPr>
                <w:rFonts w:cs="Times New Roman"/>
                <w:sz w:val="24"/>
                <w:szCs w:val="28"/>
              </w:rPr>
              <w:t xml:space="preserve"> (3,97; 19,52)</w:t>
            </w:r>
          </w:p>
        </w:tc>
        <w:tc>
          <w:tcPr>
            <w:tcW w:w="1665" w:type="dxa"/>
          </w:tcPr>
          <w:p w14:paraId="16EA9857" w14:textId="77777777" w:rsidR="00EE2DBA" w:rsidRPr="002B136D" w:rsidRDefault="00EE2DBA" w:rsidP="00534078">
            <w:pPr>
              <w:contextualSpacing/>
              <w:jc w:val="both"/>
              <w:rPr>
                <w:rFonts w:cs="Times New Roman"/>
                <w:sz w:val="24"/>
                <w:szCs w:val="28"/>
              </w:rPr>
            </w:pPr>
            <w:bookmarkStart w:id="17" w:name="_Hlk102561577"/>
            <w:r w:rsidRPr="002B136D">
              <w:rPr>
                <w:rFonts w:cs="Times New Roman"/>
                <w:sz w:val="24"/>
                <w:szCs w:val="28"/>
              </w:rPr>
              <w:t>3,55</w:t>
            </w:r>
            <w:r w:rsidRPr="002B136D">
              <w:rPr>
                <w:rFonts w:cs="Times New Roman"/>
                <w:sz w:val="24"/>
                <w:szCs w:val="28"/>
                <w:lang w:val="en-US"/>
              </w:rPr>
              <w:t>±0.98</w:t>
            </w:r>
          </w:p>
          <w:bookmarkEnd w:id="17"/>
          <w:p w14:paraId="5EC40E15" w14:textId="6B5F0B64" w:rsidR="00EE2DBA" w:rsidRPr="002B136D" w:rsidRDefault="00EE2DBA" w:rsidP="00534078">
            <w:pPr>
              <w:contextualSpacing/>
              <w:jc w:val="both"/>
              <w:rPr>
                <w:rFonts w:cs="Times New Roman"/>
                <w:sz w:val="24"/>
                <w:szCs w:val="28"/>
              </w:rPr>
            </w:pPr>
            <w:r w:rsidRPr="002B136D">
              <w:rPr>
                <w:rFonts w:cs="Times New Roman"/>
                <w:sz w:val="24"/>
                <w:szCs w:val="28"/>
              </w:rPr>
              <w:t xml:space="preserve"> (0,04–4,22)</w:t>
            </w:r>
          </w:p>
        </w:tc>
        <w:tc>
          <w:tcPr>
            <w:tcW w:w="1245" w:type="dxa"/>
          </w:tcPr>
          <w:p w14:paraId="225D28BA" w14:textId="77777777" w:rsidR="00EE2DBA" w:rsidRPr="002B136D" w:rsidRDefault="00EE2DBA" w:rsidP="00534078">
            <w:pPr>
              <w:contextualSpacing/>
              <w:jc w:val="both"/>
              <w:rPr>
                <w:rFonts w:cs="Times New Roman"/>
                <w:sz w:val="24"/>
                <w:szCs w:val="28"/>
                <w:lang w:val="en-US"/>
              </w:rPr>
            </w:pPr>
            <w:r w:rsidRPr="002B136D">
              <w:rPr>
                <w:rFonts w:cs="Times New Roman"/>
                <w:sz w:val="24"/>
                <w:szCs w:val="28"/>
                <w:lang w:val="en-US"/>
              </w:rPr>
              <w:t>0.001*</w:t>
            </w:r>
          </w:p>
        </w:tc>
      </w:tr>
      <w:tr w:rsidR="002B136D" w:rsidRPr="002B136D" w14:paraId="4EBE8CD9" w14:textId="77777777" w:rsidTr="00AF31F3">
        <w:trPr>
          <w:trHeight w:val="20"/>
        </w:trPr>
        <w:tc>
          <w:tcPr>
            <w:tcW w:w="2930" w:type="dxa"/>
            <w:tcBorders>
              <w:bottom w:val="single" w:sz="4" w:space="0" w:color="auto"/>
            </w:tcBorders>
          </w:tcPr>
          <w:p w14:paraId="1AFC4DFF" w14:textId="151BD0D5" w:rsidR="001510DB" w:rsidRPr="002B136D" w:rsidRDefault="00F87542" w:rsidP="00534078">
            <w:pPr>
              <w:contextualSpacing/>
              <w:jc w:val="both"/>
              <w:rPr>
                <w:rFonts w:cs="Times New Roman"/>
                <w:sz w:val="24"/>
                <w:szCs w:val="28"/>
              </w:rPr>
            </w:pPr>
            <w:r w:rsidRPr="002B136D">
              <w:rPr>
                <w:rFonts w:cs="Times New Roman"/>
                <w:sz w:val="24"/>
                <w:szCs w:val="28"/>
                <w:lang w:val="en-US"/>
              </w:rPr>
              <w:t>IL</w:t>
            </w:r>
            <w:r w:rsidR="001510DB" w:rsidRPr="002B136D">
              <w:rPr>
                <w:rFonts w:cs="Times New Roman"/>
                <w:sz w:val="24"/>
                <w:szCs w:val="28"/>
                <w:lang w:val="en-US"/>
              </w:rPr>
              <w:t>-</w:t>
            </w:r>
            <w:r w:rsidR="001510DB" w:rsidRPr="002B136D">
              <w:rPr>
                <w:rFonts w:cs="Times New Roman"/>
                <w:sz w:val="24"/>
                <w:szCs w:val="28"/>
              </w:rPr>
              <w:t>38,</w:t>
            </w:r>
            <w:r w:rsidR="001510DB" w:rsidRPr="002B136D">
              <w:rPr>
                <w:rFonts w:cs="Times New Roman"/>
                <w:sz w:val="24"/>
                <w:szCs w:val="28"/>
                <w:lang w:val="en-US"/>
              </w:rPr>
              <w:t xml:space="preserve"> mean±SD (IQR</w:t>
            </w:r>
            <w:r w:rsidR="001510DB" w:rsidRPr="002B136D">
              <w:rPr>
                <w:rFonts w:cs="Times New Roman"/>
                <w:sz w:val="24"/>
                <w:szCs w:val="28"/>
              </w:rPr>
              <w:t>)</w:t>
            </w:r>
          </w:p>
        </w:tc>
        <w:tc>
          <w:tcPr>
            <w:tcW w:w="1900" w:type="dxa"/>
            <w:tcBorders>
              <w:bottom w:val="single" w:sz="4" w:space="0" w:color="auto"/>
            </w:tcBorders>
          </w:tcPr>
          <w:p w14:paraId="5C48EB34" w14:textId="77777777" w:rsidR="001510DB" w:rsidRPr="002B136D" w:rsidRDefault="001510DB" w:rsidP="00534078">
            <w:pPr>
              <w:contextualSpacing/>
              <w:jc w:val="both"/>
              <w:rPr>
                <w:rFonts w:cs="Times New Roman"/>
                <w:sz w:val="24"/>
                <w:szCs w:val="28"/>
              </w:rPr>
            </w:pPr>
            <w:r w:rsidRPr="002B136D">
              <w:rPr>
                <w:rFonts w:cs="Times New Roman"/>
                <w:sz w:val="24"/>
                <w:szCs w:val="28"/>
              </w:rPr>
              <w:t xml:space="preserve">9.23 </w:t>
            </w:r>
            <w:r w:rsidRPr="002B136D">
              <w:rPr>
                <w:rFonts w:cs="Times New Roman"/>
                <w:sz w:val="24"/>
                <w:szCs w:val="28"/>
                <w:lang w:val="en-US"/>
              </w:rPr>
              <w:t>±6.78</w:t>
            </w:r>
          </w:p>
          <w:p w14:paraId="7474133D" w14:textId="77777777" w:rsidR="001510DB" w:rsidRPr="002B136D" w:rsidRDefault="001510DB" w:rsidP="00534078">
            <w:pPr>
              <w:contextualSpacing/>
              <w:jc w:val="both"/>
              <w:rPr>
                <w:rFonts w:cs="Times New Roman"/>
                <w:sz w:val="24"/>
                <w:szCs w:val="28"/>
              </w:rPr>
            </w:pPr>
            <w:r w:rsidRPr="002B136D">
              <w:rPr>
                <w:rFonts w:cs="Times New Roman"/>
                <w:sz w:val="24"/>
                <w:szCs w:val="28"/>
              </w:rPr>
              <w:t>(2,8; 39,19)</w:t>
            </w:r>
          </w:p>
        </w:tc>
        <w:tc>
          <w:tcPr>
            <w:tcW w:w="1899" w:type="dxa"/>
            <w:tcBorders>
              <w:bottom w:val="single" w:sz="4" w:space="0" w:color="auto"/>
            </w:tcBorders>
          </w:tcPr>
          <w:p w14:paraId="2412F3D6" w14:textId="77777777" w:rsidR="001510DB" w:rsidRPr="002B136D" w:rsidRDefault="001510DB" w:rsidP="00534078">
            <w:pPr>
              <w:contextualSpacing/>
              <w:jc w:val="both"/>
              <w:rPr>
                <w:rFonts w:cs="Times New Roman"/>
                <w:sz w:val="24"/>
                <w:szCs w:val="28"/>
              </w:rPr>
            </w:pPr>
            <w:r w:rsidRPr="002B136D">
              <w:rPr>
                <w:rFonts w:cs="Times New Roman"/>
                <w:sz w:val="24"/>
                <w:szCs w:val="28"/>
              </w:rPr>
              <w:t>20,18</w:t>
            </w:r>
            <w:r w:rsidRPr="002B136D">
              <w:rPr>
                <w:rFonts w:cs="Times New Roman"/>
                <w:sz w:val="24"/>
                <w:szCs w:val="28"/>
                <w:lang w:val="en-US"/>
              </w:rPr>
              <w:t>±5.23</w:t>
            </w:r>
          </w:p>
          <w:p w14:paraId="06212925" w14:textId="77777777" w:rsidR="001510DB" w:rsidRPr="002B136D" w:rsidRDefault="001510DB" w:rsidP="00534078">
            <w:pPr>
              <w:contextualSpacing/>
              <w:jc w:val="both"/>
              <w:rPr>
                <w:rFonts w:cs="Times New Roman"/>
                <w:sz w:val="24"/>
                <w:szCs w:val="28"/>
              </w:rPr>
            </w:pPr>
            <w:r w:rsidRPr="002B136D">
              <w:rPr>
                <w:rFonts w:cs="Times New Roman"/>
                <w:sz w:val="24"/>
                <w:szCs w:val="28"/>
              </w:rPr>
              <w:t>(0,9; 52,13)</w:t>
            </w:r>
          </w:p>
        </w:tc>
        <w:tc>
          <w:tcPr>
            <w:tcW w:w="1665" w:type="dxa"/>
            <w:tcBorders>
              <w:bottom w:val="single" w:sz="4" w:space="0" w:color="auto"/>
            </w:tcBorders>
          </w:tcPr>
          <w:p w14:paraId="41342019" w14:textId="77777777" w:rsidR="001510DB" w:rsidRPr="002B136D" w:rsidRDefault="001510DB" w:rsidP="00534078">
            <w:pPr>
              <w:contextualSpacing/>
              <w:jc w:val="both"/>
              <w:rPr>
                <w:rFonts w:cs="Times New Roman"/>
                <w:sz w:val="24"/>
                <w:szCs w:val="28"/>
              </w:rPr>
            </w:pPr>
            <w:r w:rsidRPr="002B136D">
              <w:rPr>
                <w:rFonts w:cs="Times New Roman"/>
                <w:sz w:val="24"/>
                <w:szCs w:val="28"/>
              </w:rPr>
              <w:t>51,79</w:t>
            </w:r>
            <w:r w:rsidRPr="002B136D">
              <w:rPr>
                <w:rFonts w:cs="Times New Roman"/>
                <w:sz w:val="24"/>
                <w:szCs w:val="28"/>
                <w:lang w:val="en-US"/>
              </w:rPr>
              <w:t>±8.81</w:t>
            </w:r>
            <w:r w:rsidRPr="002B136D">
              <w:rPr>
                <w:rFonts w:cs="Times New Roman"/>
                <w:sz w:val="24"/>
                <w:szCs w:val="28"/>
              </w:rPr>
              <w:t xml:space="preserve"> </w:t>
            </w:r>
          </w:p>
          <w:p w14:paraId="07C026A4" w14:textId="77777777" w:rsidR="001510DB" w:rsidRPr="002B136D" w:rsidRDefault="001510DB" w:rsidP="00534078">
            <w:pPr>
              <w:contextualSpacing/>
              <w:jc w:val="both"/>
              <w:rPr>
                <w:rFonts w:cs="Times New Roman"/>
                <w:sz w:val="24"/>
                <w:szCs w:val="28"/>
              </w:rPr>
            </w:pPr>
            <w:r w:rsidRPr="002B136D">
              <w:rPr>
                <w:rFonts w:cs="Times New Roman"/>
                <w:sz w:val="24"/>
                <w:szCs w:val="28"/>
              </w:rPr>
              <w:t>(3,4; 149,14)</w:t>
            </w:r>
          </w:p>
        </w:tc>
        <w:tc>
          <w:tcPr>
            <w:tcW w:w="1245" w:type="dxa"/>
            <w:tcBorders>
              <w:bottom w:val="single" w:sz="4" w:space="0" w:color="auto"/>
            </w:tcBorders>
          </w:tcPr>
          <w:p w14:paraId="719726F6" w14:textId="77777777" w:rsidR="001510DB" w:rsidRPr="002B136D" w:rsidRDefault="001510DB" w:rsidP="00534078">
            <w:pPr>
              <w:contextualSpacing/>
              <w:jc w:val="both"/>
              <w:rPr>
                <w:rFonts w:cs="Times New Roman"/>
                <w:sz w:val="24"/>
                <w:szCs w:val="28"/>
                <w:lang w:val="en-US"/>
              </w:rPr>
            </w:pPr>
            <w:r w:rsidRPr="002B136D">
              <w:rPr>
                <w:rFonts w:cs="Times New Roman"/>
                <w:sz w:val="24"/>
                <w:szCs w:val="28"/>
                <w:lang w:val="en-US"/>
              </w:rPr>
              <w:t>0.001*</w:t>
            </w:r>
          </w:p>
        </w:tc>
      </w:tr>
      <w:tr w:rsidR="00AF31F3" w:rsidRPr="002B136D" w14:paraId="437BB53C" w14:textId="77777777" w:rsidTr="00AF31F3">
        <w:trPr>
          <w:trHeight w:val="20"/>
        </w:trPr>
        <w:tc>
          <w:tcPr>
            <w:tcW w:w="9639" w:type="dxa"/>
            <w:gridSpan w:val="5"/>
            <w:tcBorders>
              <w:bottom w:val="single" w:sz="4" w:space="0" w:color="auto"/>
            </w:tcBorders>
          </w:tcPr>
          <w:p w14:paraId="7460DFEE" w14:textId="3A2FF825" w:rsidR="00AF31F3" w:rsidRPr="00AF31F3" w:rsidRDefault="00AF31F3" w:rsidP="00AF31F3">
            <w:pPr>
              <w:ind w:firstLine="462"/>
              <w:jc w:val="both"/>
              <w:rPr>
                <w:rFonts w:cs="Times New Roman"/>
                <w:sz w:val="24"/>
                <w:szCs w:val="24"/>
              </w:rPr>
            </w:pPr>
            <w:r w:rsidRPr="00AF31F3">
              <w:rPr>
                <w:rFonts w:cs="Times New Roman"/>
                <w:sz w:val="24"/>
                <w:szCs w:val="24"/>
              </w:rPr>
              <w:t xml:space="preserve">Примечание - * Критерий Крускала-Уоллиса с последующим </w:t>
            </w:r>
            <w:proofErr w:type="gramStart"/>
            <w:r w:rsidRPr="00AF31F3">
              <w:rPr>
                <w:rFonts w:cs="Times New Roman"/>
                <w:sz w:val="24"/>
                <w:szCs w:val="24"/>
              </w:rPr>
              <w:t>пост-критерием</w:t>
            </w:r>
            <w:proofErr w:type="gramEnd"/>
            <w:r w:rsidRPr="00AF31F3">
              <w:rPr>
                <w:rFonts w:cs="Times New Roman"/>
                <w:sz w:val="24"/>
                <w:szCs w:val="24"/>
              </w:rPr>
              <w:t xml:space="preserve"> множественных сравнений Данна</w:t>
            </w:r>
          </w:p>
        </w:tc>
      </w:tr>
    </w:tbl>
    <w:p w14:paraId="2D5F5535" w14:textId="0FE88BAB" w:rsidR="00F74852" w:rsidRPr="002B136D" w:rsidRDefault="00F74852" w:rsidP="00AF31F3">
      <w:pPr>
        <w:spacing w:after="0" w:line="240" w:lineRule="auto"/>
        <w:ind w:firstLine="567"/>
        <w:contextualSpacing/>
        <w:jc w:val="both"/>
        <w:rPr>
          <w:rFonts w:cs="Times New Roman"/>
          <w:szCs w:val="28"/>
        </w:rPr>
      </w:pPr>
      <w:r w:rsidRPr="002B136D">
        <w:rPr>
          <w:rFonts w:cs="Times New Roman"/>
          <w:bCs/>
          <w:szCs w:val="28"/>
          <w:lang w:val="kk-KZ"/>
        </w:rPr>
        <w:lastRenderedPageBreak/>
        <w:t xml:space="preserve">Согласно результатам оценки корреляционной связи, была определена прямая статистически значимая высокая корреляционная связь между </w:t>
      </w:r>
      <w:r w:rsidRPr="002B136D">
        <w:rPr>
          <w:rFonts w:cs="Times New Roman"/>
          <w:bCs/>
          <w:szCs w:val="28"/>
        </w:rPr>
        <w:t xml:space="preserve">оценкой клинической активности (CAS) и уровня </w:t>
      </w:r>
      <w:r w:rsidR="00F87542" w:rsidRPr="002B136D">
        <w:rPr>
          <w:rFonts w:cs="Times New Roman"/>
          <w:bCs/>
          <w:szCs w:val="28"/>
          <w:lang w:val="en-US"/>
        </w:rPr>
        <w:t>IL</w:t>
      </w:r>
      <w:r w:rsidRPr="002B136D">
        <w:rPr>
          <w:rFonts w:cs="Times New Roman"/>
          <w:bCs/>
          <w:szCs w:val="28"/>
        </w:rPr>
        <w:t>-</w:t>
      </w:r>
      <w:r w:rsidRPr="002B136D">
        <w:rPr>
          <w:rFonts w:cs="Times New Roman"/>
          <w:bCs/>
          <w:szCs w:val="28"/>
          <w:lang w:val="kk-KZ"/>
        </w:rPr>
        <w:t xml:space="preserve">17 в сыворотке крови </w:t>
      </w:r>
      <w:r w:rsidRPr="002B136D">
        <w:rPr>
          <w:rFonts w:cs="Times New Roman"/>
          <w:szCs w:val="28"/>
        </w:rPr>
        <w:t>(</w:t>
      </w:r>
      <w:r w:rsidRPr="002B136D">
        <w:rPr>
          <w:rFonts w:cs="Times New Roman"/>
          <w:szCs w:val="28"/>
          <w:lang w:val="en-US"/>
        </w:rPr>
        <w:t>r</w:t>
      </w:r>
      <w:r w:rsidRPr="002B136D">
        <w:rPr>
          <w:rFonts w:cs="Times New Roman"/>
          <w:szCs w:val="28"/>
        </w:rPr>
        <w:t xml:space="preserve">=0.885; </w:t>
      </w:r>
      <w:r w:rsidRPr="002B136D">
        <w:rPr>
          <w:rFonts w:cs="Times New Roman"/>
          <w:szCs w:val="28"/>
          <w:lang w:val="en-US"/>
        </w:rPr>
        <w:t>p</w:t>
      </w:r>
      <w:r w:rsidRPr="002B136D">
        <w:rPr>
          <w:rFonts w:cs="Times New Roman"/>
          <w:szCs w:val="28"/>
        </w:rPr>
        <w:t xml:space="preserve">=0.001) </w:t>
      </w:r>
      <w:r w:rsidR="00AF31F3">
        <w:rPr>
          <w:rFonts w:cs="Times New Roman"/>
          <w:szCs w:val="28"/>
        </w:rPr>
        <w:t>(рисунок</w:t>
      </w:r>
      <w:r w:rsidR="00A95153">
        <w:rPr>
          <w:rFonts w:cs="Times New Roman"/>
          <w:szCs w:val="28"/>
        </w:rPr>
        <w:t xml:space="preserve"> </w:t>
      </w:r>
      <w:r w:rsidR="006138E1" w:rsidRPr="002B136D">
        <w:rPr>
          <w:rFonts w:cs="Times New Roman"/>
          <w:szCs w:val="28"/>
        </w:rPr>
        <w:t>1</w:t>
      </w:r>
      <w:r w:rsidR="00160A99" w:rsidRPr="002B136D">
        <w:rPr>
          <w:rFonts w:cs="Times New Roman"/>
          <w:szCs w:val="28"/>
        </w:rPr>
        <w:t>7</w:t>
      </w:r>
      <w:r w:rsidRPr="002B136D">
        <w:rPr>
          <w:rFonts w:cs="Times New Roman"/>
          <w:szCs w:val="28"/>
        </w:rPr>
        <w:t xml:space="preserve">), а между </w:t>
      </w:r>
      <w:r w:rsidRPr="002B136D">
        <w:rPr>
          <w:rFonts w:cs="Times New Roman"/>
          <w:bCs/>
          <w:szCs w:val="28"/>
        </w:rPr>
        <w:t xml:space="preserve">оценкой клинической активности (CAS) и уровня </w:t>
      </w:r>
      <w:r w:rsidR="00F87542" w:rsidRPr="002B136D">
        <w:rPr>
          <w:rFonts w:cs="Times New Roman"/>
          <w:bCs/>
          <w:szCs w:val="28"/>
          <w:lang w:val="en-US"/>
        </w:rPr>
        <w:t>IL</w:t>
      </w:r>
      <w:r w:rsidRPr="002B136D">
        <w:rPr>
          <w:rFonts w:cs="Times New Roman"/>
          <w:bCs/>
          <w:szCs w:val="28"/>
        </w:rPr>
        <w:t>-</w:t>
      </w:r>
      <w:r w:rsidRPr="002B136D">
        <w:rPr>
          <w:rFonts w:cs="Times New Roman"/>
          <w:bCs/>
          <w:szCs w:val="28"/>
          <w:lang w:val="kk-KZ"/>
        </w:rPr>
        <w:t>38 в сыворотке крови была наоборот определена отрицательная корреляционная связь, без статистической значимости</w:t>
      </w:r>
      <w:r w:rsidRPr="002B136D">
        <w:rPr>
          <w:rFonts w:cs="Times New Roman"/>
          <w:bCs/>
          <w:szCs w:val="28"/>
        </w:rPr>
        <w:t xml:space="preserve"> </w:t>
      </w:r>
      <w:r w:rsidRPr="002B136D">
        <w:rPr>
          <w:rFonts w:cs="Times New Roman"/>
          <w:szCs w:val="28"/>
        </w:rPr>
        <w:t>(</w:t>
      </w:r>
      <w:r w:rsidRPr="002B136D">
        <w:rPr>
          <w:rFonts w:cs="Times New Roman"/>
          <w:szCs w:val="28"/>
          <w:lang w:val="en-US"/>
        </w:rPr>
        <w:t>r</w:t>
      </w:r>
      <w:r w:rsidRPr="002B136D">
        <w:rPr>
          <w:rFonts w:cs="Times New Roman"/>
          <w:szCs w:val="28"/>
        </w:rPr>
        <w:t xml:space="preserve">=- 0.326; </w:t>
      </w:r>
      <w:r w:rsidRPr="002B136D">
        <w:rPr>
          <w:rFonts w:cs="Times New Roman"/>
          <w:szCs w:val="28"/>
          <w:lang w:val="en-US"/>
        </w:rPr>
        <w:t>p</w:t>
      </w:r>
      <w:r w:rsidRPr="002B136D">
        <w:rPr>
          <w:rFonts w:cs="Times New Roman"/>
          <w:szCs w:val="28"/>
        </w:rPr>
        <w:t xml:space="preserve">=0.112) </w:t>
      </w:r>
      <w:r w:rsidR="00AF31F3">
        <w:rPr>
          <w:rFonts w:cs="Times New Roman"/>
          <w:szCs w:val="28"/>
        </w:rPr>
        <w:t xml:space="preserve">(рисунок </w:t>
      </w:r>
      <w:r w:rsidR="006138E1" w:rsidRPr="002B136D">
        <w:rPr>
          <w:rFonts w:cs="Times New Roman"/>
          <w:szCs w:val="28"/>
        </w:rPr>
        <w:t>1</w:t>
      </w:r>
      <w:r w:rsidR="00160A99" w:rsidRPr="002B136D">
        <w:rPr>
          <w:rFonts w:cs="Times New Roman"/>
          <w:szCs w:val="28"/>
        </w:rPr>
        <w:t>8</w:t>
      </w:r>
      <w:r w:rsidRPr="002B136D">
        <w:rPr>
          <w:rFonts w:cs="Times New Roman"/>
          <w:szCs w:val="28"/>
        </w:rPr>
        <w:t>)</w:t>
      </w:r>
      <w:r w:rsidR="00AF31F3">
        <w:rPr>
          <w:rFonts w:cs="Times New Roman"/>
          <w:szCs w:val="28"/>
        </w:rPr>
        <w:t>.</w:t>
      </w:r>
    </w:p>
    <w:p w14:paraId="0BF5B2E7" w14:textId="77777777" w:rsidR="006138E1" w:rsidRPr="002B136D" w:rsidRDefault="006138E1" w:rsidP="00AF31F3">
      <w:pPr>
        <w:spacing w:after="0" w:line="240" w:lineRule="auto"/>
        <w:contextualSpacing/>
        <w:jc w:val="both"/>
        <w:rPr>
          <w:rFonts w:cs="Times New Roman"/>
          <w:b/>
          <w:szCs w:val="28"/>
        </w:rPr>
      </w:pPr>
    </w:p>
    <w:p w14:paraId="6BDCED28" w14:textId="4A4E55A0" w:rsidR="00455FA2" w:rsidRPr="002B136D" w:rsidRDefault="00AF31F3" w:rsidP="00AF31F3">
      <w:pPr>
        <w:spacing w:after="0" w:line="360" w:lineRule="auto"/>
        <w:jc w:val="center"/>
        <w:rPr>
          <w:rFonts w:cs="Times New Roman"/>
          <w:b/>
          <w:szCs w:val="28"/>
        </w:rPr>
      </w:pPr>
      <w:r>
        <w:rPr>
          <w:rFonts w:cs="Times New Roman"/>
          <w:b/>
          <w:szCs w:val="28"/>
        </w:rPr>
        <w:t xml:space="preserve"> </w:t>
      </w:r>
      <w:r w:rsidR="00455FA2" w:rsidRPr="002B136D">
        <w:rPr>
          <w:rFonts w:cs="Times New Roman"/>
          <w:b/>
          <w:noProof/>
          <w:szCs w:val="28"/>
          <w:lang w:eastAsia="ru-RU"/>
        </w:rPr>
        <w:drawing>
          <wp:inline distT="0" distB="0" distL="0" distR="0" wp14:anchorId="6431C7A9" wp14:editId="588D73C7">
            <wp:extent cx="4162349" cy="245099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3609" cy="2463515"/>
                    </a:xfrm>
                    <a:prstGeom prst="rect">
                      <a:avLst/>
                    </a:prstGeom>
                    <a:noFill/>
                  </pic:spPr>
                </pic:pic>
              </a:graphicData>
            </a:graphic>
          </wp:inline>
        </w:drawing>
      </w:r>
    </w:p>
    <w:p w14:paraId="1582FBF0" w14:textId="6B6FED84" w:rsidR="006138E1" w:rsidRPr="00AF31F3" w:rsidRDefault="006138E1" w:rsidP="006D06D7">
      <w:pPr>
        <w:spacing w:after="0" w:line="240" w:lineRule="auto"/>
        <w:contextualSpacing/>
        <w:jc w:val="center"/>
        <w:rPr>
          <w:rFonts w:cs="Times New Roman"/>
          <w:bCs/>
          <w:szCs w:val="28"/>
        </w:rPr>
      </w:pPr>
      <w:r w:rsidRPr="00AF31F3">
        <w:rPr>
          <w:rFonts w:cs="Times New Roman"/>
          <w:bCs/>
          <w:szCs w:val="28"/>
        </w:rPr>
        <w:t>Рисунок 1</w:t>
      </w:r>
      <w:r w:rsidR="007B402D">
        <w:rPr>
          <w:rFonts w:cs="Times New Roman"/>
          <w:bCs/>
          <w:szCs w:val="28"/>
        </w:rPr>
        <w:t>8</w:t>
      </w:r>
      <w:r w:rsidR="00AF31F3" w:rsidRPr="00AF31F3">
        <w:rPr>
          <w:rFonts w:cs="Times New Roman"/>
          <w:bCs/>
          <w:szCs w:val="28"/>
        </w:rPr>
        <w:t xml:space="preserve"> - </w:t>
      </w:r>
      <w:r w:rsidRPr="00AF31F3">
        <w:rPr>
          <w:rFonts w:cs="Times New Roman"/>
          <w:bCs/>
          <w:szCs w:val="28"/>
        </w:rPr>
        <w:t xml:space="preserve">Сывороточные уровни </w:t>
      </w:r>
      <w:r w:rsidR="00F87542" w:rsidRPr="00AF31F3">
        <w:rPr>
          <w:rFonts w:cs="Times New Roman"/>
          <w:bCs/>
          <w:szCs w:val="28"/>
          <w:lang w:val="en-US"/>
        </w:rPr>
        <w:t>IL</w:t>
      </w:r>
      <w:r w:rsidRPr="00AF31F3">
        <w:rPr>
          <w:rFonts w:cs="Times New Roman"/>
          <w:bCs/>
          <w:szCs w:val="28"/>
        </w:rPr>
        <w:t>-17</w:t>
      </w:r>
      <w:r w:rsidR="005A3AE9" w:rsidRPr="00AF31F3">
        <w:rPr>
          <w:rFonts w:cs="Times New Roman"/>
          <w:bCs/>
          <w:szCs w:val="28"/>
        </w:rPr>
        <w:t xml:space="preserve"> </w:t>
      </w:r>
      <w:r w:rsidRPr="00AF31F3">
        <w:rPr>
          <w:rFonts w:cs="Times New Roman"/>
          <w:bCs/>
          <w:szCs w:val="28"/>
        </w:rPr>
        <w:t xml:space="preserve">у </w:t>
      </w:r>
      <w:r w:rsidR="0038552C" w:rsidRPr="00AF31F3">
        <w:rPr>
          <w:rFonts w:cs="Times New Roman"/>
          <w:bCs/>
          <w:szCs w:val="28"/>
        </w:rPr>
        <w:t>пациентов</w:t>
      </w:r>
      <w:r w:rsidRPr="00AF31F3">
        <w:rPr>
          <w:rFonts w:cs="Times New Roman"/>
          <w:bCs/>
          <w:szCs w:val="28"/>
        </w:rPr>
        <w:t xml:space="preserve"> с активной формой ЭОП и их корреляция с </w:t>
      </w:r>
      <w:r w:rsidRPr="00AF31F3">
        <w:rPr>
          <w:rFonts w:cs="Times New Roman"/>
          <w:bCs/>
          <w:szCs w:val="28"/>
          <w:lang w:val="en-US"/>
        </w:rPr>
        <w:t>CAS</w:t>
      </w:r>
    </w:p>
    <w:p w14:paraId="7C7A3616" w14:textId="77777777" w:rsidR="007153D2" w:rsidRPr="00AF31F3" w:rsidRDefault="007153D2" w:rsidP="006E7629">
      <w:pPr>
        <w:spacing w:after="0" w:line="360" w:lineRule="auto"/>
        <w:jc w:val="both"/>
        <w:rPr>
          <w:rFonts w:cs="Times New Roman"/>
          <w:sz w:val="16"/>
          <w:szCs w:val="16"/>
        </w:rPr>
      </w:pPr>
    </w:p>
    <w:p w14:paraId="1380860D" w14:textId="73D105DC" w:rsidR="001510DB" w:rsidRPr="002B136D" w:rsidRDefault="001D6D13" w:rsidP="00AF31F3">
      <w:pPr>
        <w:spacing w:after="0" w:line="360" w:lineRule="auto"/>
        <w:jc w:val="center"/>
        <w:rPr>
          <w:rFonts w:cs="Times New Roman"/>
          <w:b/>
          <w:szCs w:val="28"/>
        </w:rPr>
      </w:pPr>
      <w:r w:rsidRPr="002B136D">
        <w:rPr>
          <w:rFonts w:cs="Times New Roman"/>
          <w:b/>
          <w:noProof/>
          <w:szCs w:val="28"/>
          <w:lang w:eastAsia="ru-RU"/>
        </w:rPr>
        <w:drawing>
          <wp:inline distT="0" distB="0" distL="0" distR="0" wp14:anchorId="0AE99633" wp14:editId="01E1791E">
            <wp:extent cx="5310835" cy="3120917"/>
            <wp:effectExtent l="0" t="0" r="444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8349" cy="3125333"/>
                    </a:xfrm>
                    <a:prstGeom prst="rect">
                      <a:avLst/>
                    </a:prstGeom>
                    <a:noFill/>
                  </pic:spPr>
                </pic:pic>
              </a:graphicData>
            </a:graphic>
          </wp:inline>
        </w:drawing>
      </w:r>
    </w:p>
    <w:p w14:paraId="4B68155B" w14:textId="77777777" w:rsidR="00AF31F3" w:rsidRPr="00AF31F3" w:rsidRDefault="00AF31F3" w:rsidP="00AF31F3">
      <w:pPr>
        <w:spacing w:after="0" w:line="240" w:lineRule="auto"/>
        <w:contextualSpacing/>
        <w:jc w:val="center"/>
        <w:rPr>
          <w:rFonts w:cs="Times New Roman"/>
          <w:bCs/>
          <w:sz w:val="16"/>
          <w:szCs w:val="16"/>
        </w:rPr>
      </w:pPr>
    </w:p>
    <w:p w14:paraId="44A3570C" w14:textId="1FAB9990" w:rsidR="006138E1" w:rsidRPr="00AF31F3" w:rsidRDefault="006138E1" w:rsidP="00AF31F3">
      <w:pPr>
        <w:spacing w:after="0" w:line="240" w:lineRule="auto"/>
        <w:contextualSpacing/>
        <w:jc w:val="center"/>
        <w:rPr>
          <w:rFonts w:cs="Times New Roman"/>
          <w:bCs/>
          <w:szCs w:val="28"/>
        </w:rPr>
      </w:pPr>
      <w:r w:rsidRPr="00AF31F3">
        <w:rPr>
          <w:rFonts w:cs="Times New Roman"/>
          <w:bCs/>
          <w:szCs w:val="28"/>
        </w:rPr>
        <w:t>Рисунок 1</w:t>
      </w:r>
      <w:r w:rsidR="007B402D">
        <w:rPr>
          <w:rFonts w:cs="Times New Roman"/>
          <w:bCs/>
          <w:szCs w:val="28"/>
        </w:rPr>
        <w:t>9</w:t>
      </w:r>
      <w:r w:rsidR="00AF31F3">
        <w:rPr>
          <w:rFonts w:cs="Times New Roman"/>
          <w:bCs/>
          <w:szCs w:val="28"/>
        </w:rPr>
        <w:t xml:space="preserve"> -</w:t>
      </w:r>
      <w:r w:rsidR="00D77B6D" w:rsidRPr="00AF31F3">
        <w:rPr>
          <w:rFonts w:cs="Times New Roman"/>
          <w:bCs/>
          <w:szCs w:val="28"/>
        </w:rPr>
        <w:t xml:space="preserve"> </w:t>
      </w:r>
      <w:r w:rsidRPr="00AF31F3">
        <w:rPr>
          <w:rFonts w:cs="Times New Roman"/>
          <w:bCs/>
          <w:szCs w:val="28"/>
        </w:rPr>
        <w:t xml:space="preserve">Сывороточные уровни </w:t>
      </w:r>
      <w:r w:rsidR="00F87542" w:rsidRPr="00AF31F3">
        <w:rPr>
          <w:rFonts w:cs="Times New Roman"/>
          <w:bCs/>
          <w:szCs w:val="28"/>
          <w:lang w:val="en-US"/>
        </w:rPr>
        <w:t>IL</w:t>
      </w:r>
      <w:r w:rsidRPr="00AF31F3">
        <w:rPr>
          <w:rFonts w:cs="Times New Roman"/>
          <w:bCs/>
          <w:szCs w:val="28"/>
        </w:rPr>
        <w:t xml:space="preserve">-38 у </w:t>
      </w:r>
      <w:r w:rsidR="0038552C" w:rsidRPr="00AF31F3">
        <w:rPr>
          <w:rFonts w:cs="Times New Roman"/>
          <w:bCs/>
          <w:szCs w:val="28"/>
        </w:rPr>
        <w:t>пациентов</w:t>
      </w:r>
      <w:r w:rsidRPr="00AF31F3">
        <w:rPr>
          <w:rFonts w:cs="Times New Roman"/>
          <w:bCs/>
          <w:szCs w:val="28"/>
        </w:rPr>
        <w:t xml:space="preserve"> с активной формой ЭОП и их корреляция с </w:t>
      </w:r>
      <w:r w:rsidRPr="00AF31F3">
        <w:rPr>
          <w:rFonts w:cs="Times New Roman"/>
          <w:bCs/>
          <w:szCs w:val="28"/>
          <w:lang w:val="en-US"/>
        </w:rPr>
        <w:t>CAS</w:t>
      </w:r>
    </w:p>
    <w:p w14:paraId="6F5522C9" w14:textId="77777777" w:rsidR="006D06D7" w:rsidRPr="002B136D" w:rsidRDefault="006D06D7" w:rsidP="006D06D7">
      <w:pPr>
        <w:spacing w:after="0" w:line="240" w:lineRule="auto"/>
        <w:ind w:firstLine="709"/>
        <w:contextualSpacing/>
        <w:jc w:val="both"/>
        <w:rPr>
          <w:rFonts w:cs="Times New Roman"/>
          <w:b/>
          <w:szCs w:val="28"/>
        </w:rPr>
      </w:pPr>
    </w:p>
    <w:p w14:paraId="494F3549" w14:textId="2CC9A8CA" w:rsidR="0087684E" w:rsidRPr="002B136D" w:rsidRDefault="001D6D13" w:rsidP="00AF31F3">
      <w:pPr>
        <w:spacing w:after="0" w:line="240" w:lineRule="auto"/>
        <w:ind w:firstLine="567"/>
        <w:contextualSpacing/>
        <w:jc w:val="both"/>
        <w:rPr>
          <w:rFonts w:cs="Times New Roman"/>
          <w:szCs w:val="28"/>
        </w:rPr>
      </w:pPr>
      <w:r w:rsidRPr="002B136D">
        <w:rPr>
          <w:rFonts w:cs="Times New Roman"/>
          <w:bCs/>
          <w:szCs w:val="28"/>
        </w:rPr>
        <w:lastRenderedPageBreak/>
        <w:t>Также, р</w:t>
      </w:r>
      <w:r w:rsidR="00F74852" w:rsidRPr="002B136D">
        <w:rPr>
          <w:rFonts w:cs="Times New Roman"/>
          <w:bCs/>
          <w:szCs w:val="28"/>
        </w:rPr>
        <w:t xml:space="preserve">езультаты </w:t>
      </w:r>
      <w:r w:rsidR="00F74852" w:rsidRPr="002B136D">
        <w:rPr>
          <w:rFonts w:cs="Times New Roman"/>
          <w:bCs/>
          <w:szCs w:val="28"/>
          <w:lang w:val="kk-KZ"/>
        </w:rPr>
        <w:t xml:space="preserve">анализа показывают на наличие статистически значимой прямой корреляционной связи </w:t>
      </w:r>
      <w:r w:rsidR="00F74852" w:rsidRPr="002B136D">
        <w:rPr>
          <w:rFonts w:cs="Times New Roman"/>
          <w:bCs/>
          <w:szCs w:val="28"/>
        </w:rPr>
        <w:t xml:space="preserve">и между клинической активностью </w:t>
      </w:r>
      <w:r w:rsidR="00F74852" w:rsidRPr="002B136D">
        <w:rPr>
          <w:rFonts w:cs="Times New Roman"/>
          <w:szCs w:val="28"/>
          <w:lang w:val="en-US"/>
        </w:rPr>
        <w:t>GO</w:t>
      </w:r>
      <w:r w:rsidR="00F74852" w:rsidRPr="002B136D">
        <w:rPr>
          <w:rFonts w:cs="Times New Roman"/>
          <w:bCs/>
          <w:szCs w:val="28"/>
        </w:rPr>
        <w:t xml:space="preserve"> (CAS) и уровня </w:t>
      </w:r>
      <w:r w:rsidR="00F87542" w:rsidRPr="002B136D">
        <w:rPr>
          <w:rFonts w:cs="Times New Roman"/>
          <w:bCs/>
          <w:szCs w:val="28"/>
          <w:lang w:val="en-US"/>
        </w:rPr>
        <w:t>IL</w:t>
      </w:r>
      <w:r w:rsidR="00F74852" w:rsidRPr="002B136D">
        <w:rPr>
          <w:rFonts w:cs="Times New Roman"/>
          <w:bCs/>
          <w:szCs w:val="28"/>
        </w:rPr>
        <w:t>-17 в нестимулированной слезе</w:t>
      </w:r>
      <w:r w:rsidR="00F74852" w:rsidRPr="002B136D">
        <w:rPr>
          <w:rFonts w:cs="Times New Roman"/>
          <w:szCs w:val="28"/>
        </w:rPr>
        <w:t xml:space="preserve"> глаз пациентов с активной формой (</w:t>
      </w:r>
      <w:r w:rsidR="00F74852" w:rsidRPr="002B136D">
        <w:rPr>
          <w:rFonts w:cs="Times New Roman"/>
          <w:szCs w:val="28"/>
          <w:lang w:val="en-US"/>
        </w:rPr>
        <w:t>r</w:t>
      </w:r>
      <w:r w:rsidR="00F74852" w:rsidRPr="002B136D">
        <w:rPr>
          <w:rFonts w:cs="Times New Roman"/>
          <w:szCs w:val="28"/>
        </w:rPr>
        <w:t xml:space="preserve">=0.587; </w:t>
      </w:r>
      <w:r w:rsidR="00F74852" w:rsidRPr="002B136D">
        <w:rPr>
          <w:rFonts w:cs="Times New Roman"/>
          <w:szCs w:val="28"/>
          <w:lang w:val="en-US"/>
        </w:rPr>
        <w:t>p</w:t>
      </w:r>
      <w:r w:rsidR="00F74852" w:rsidRPr="002B136D">
        <w:rPr>
          <w:rFonts w:cs="Times New Roman"/>
          <w:szCs w:val="28"/>
        </w:rPr>
        <w:t xml:space="preserve">=0.002) </w:t>
      </w:r>
      <w:r w:rsidR="00AF31F3">
        <w:rPr>
          <w:rFonts w:cs="Times New Roman"/>
          <w:szCs w:val="28"/>
        </w:rPr>
        <w:t>(рисунок</w:t>
      </w:r>
      <w:r w:rsidR="00A95153">
        <w:rPr>
          <w:rFonts w:cs="Times New Roman"/>
          <w:szCs w:val="28"/>
        </w:rPr>
        <w:t xml:space="preserve"> </w:t>
      </w:r>
      <w:r w:rsidR="007B402D">
        <w:rPr>
          <w:rFonts w:cs="Times New Roman"/>
          <w:szCs w:val="28"/>
        </w:rPr>
        <w:t>20</w:t>
      </w:r>
      <w:r w:rsidR="00F74852" w:rsidRPr="002B136D">
        <w:rPr>
          <w:rFonts w:cs="Times New Roman"/>
          <w:szCs w:val="28"/>
        </w:rPr>
        <w:t xml:space="preserve">). </w:t>
      </w:r>
    </w:p>
    <w:p w14:paraId="7EBC07C2" w14:textId="42F3102C" w:rsidR="00F74852" w:rsidRPr="002B136D" w:rsidRDefault="00F74852" w:rsidP="00AF31F3">
      <w:pPr>
        <w:spacing w:after="0" w:line="240" w:lineRule="auto"/>
        <w:ind w:firstLine="567"/>
        <w:contextualSpacing/>
        <w:jc w:val="both"/>
        <w:rPr>
          <w:rFonts w:cs="Times New Roman"/>
          <w:szCs w:val="28"/>
        </w:rPr>
      </w:pPr>
      <w:r w:rsidRPr="002B136D">
        <w:rPr>
          <w:rFonts w:cs="Times New Roman"/>
          <w:szCs w:val="28"/>
          <w:lang w:val="kk-KZ"/>
        </w:rPr>
        <w:t xml:space="preserve">Однако, </w:t>
      </w:r>
      <w:r w:rsidRPr="002B136D">
        <w:rPr>
          <w:rFonts w:cs="Times New Roman"/>
          <w:bCs/>
          <w:szCs w:val="28"/>
        </w:rPr>
        <w:t xml:space="preserve">между оценкой клинической активности (CAS) и уровнем </w:t>
      </w:r>
      <w:r w:rsidR="00F87542" w:rsidRPr="002B136D">
        <w:rPr>
          <w:rFonts w:cs="Times New Roman"/>
          <w:bCs/>
          <w:szCs w:val="28"/>
          <w:lang w:val="en-US"/>
        </w:rPr>
        <w:t>IL</w:t>
      </w:r>
      <w:r w:rsidRPr="002B136D">
        <w:rPr>
          <w:rFonts w:cs="Times New Roman"/>
          <w:bCs/>
          <w:szCs w:val="28"/>
        </w:rPr>
        <w:t>-</w:t>
      </w:r>
      <w:r w:rsidRPr="002B136D">
        <w:rPr>
          <w:rFonts w:cs="Times New Roman"/>
          <w:bCs/>
          <w:szCs w:val="28"/>
          <w:lang w:val="kk-KZ"/>
        </w:rPr>
        <w:t>38</w:t>
      </w:r>
      <w:r w:rsidRPr="002B136D">
        <w:rPr>
          <w:rFonts w:cs="Times New Roman"/>
          <w:bCs/>
          <w:szCs w:val="28"/>
        </w:rPr>
        <w:t xml:space="preserve"> в </w:t>
      </w:r>
      <w:r w:rsidRPr="002B136D">
        <w:rPr>
          <w:rFonts w:cs="Times New Roman"/>
          <w:bCs/>
          <w:szCs w:val="28"/>
          <w:lang w:val="kk-KZ"/>
        </w:rPr>
        <w:t xml:space="preserve">нестимулированной слезе была обнаружена обратная корреляционная связь со статистически значимой разницей </w:t>
      </w:r>
      <w:r w:rsidRPr="002B136D">
        <w:rPr>
          <w:rFonts w:cs="Times New Roman"/>
          <w:szCs w:val="28"/>
        </w:rPr>
        <w:t>(</w:t>
      </w:r>
      <w:r w:rsidRPr="002B136D">
        <w:rPr>
          <w:rFonts w:cs="Times New Roman"/>
          <w:szCs w:val="28"/>
          <w:lang w:val="en-US"/>
        </w:rPr>
        <w:t>r</w:t>
      </w:r>
      <w:r w:rsidRPr="002B136D">
        <w:rPr>
          <w:rFonts w:cs="Times New Roman"/>
          <w:szCs w:val="28"/>
        </w:rPr>
        <w:t>=</w:t>
      </w:r>
      <w:r w:rsidRPr="002B136D">
        <w:rPr>
          <w:rFonts w:cs="Times New Roman"/>
          <w:szCs w:val="28"/>
          <w:lang w:val="kk-KZ"/>
        </w:rPr>
        <w:t xml:space="preserve"> -</w:t>
      </w:r>
      <w:r w:rsidRPr="002B136D">
        <w:rPr>
          <w:rFonts w:cs="Times New Roman"/>
          <w:szCs w:val="28"/>
        </w:rPr>
        <w:t>0.</w:t>
      </w:r>
      <w:r w:rsidRPr="002B136D">
        <w:rPr>
          <w:rFonts w:cs="Times New Roman"/>
          <w:szCs w:val="28"/>
          <w:lang w:val="kk-KZ"/>
        </w:rPr>
        <w:t>397</w:t>
      </w:r>
      <w:r w:rsidRPr="002B136D">
        <w:rPr>
          <w:rFonts w:cs="Times New Roman"/>
          <w:szCs w:val="28"/>
        </w:rPr>
        <w:t xml:space="preserve">; </w:t>
      </w:r>
      <w:r w:rsidRPr="002B136D">
        <w:rPr>
          <w:rFonts w:cs="Times New Roman"/>
          <w:szCs w:val="28"/>
          <w:lang w:val="en-US"/>
        </w:rPr>
        <w:t>p</w:t>
      </w:r>
      <w:r w:rsidRPr="002B136D">
        <w:rPr>
          <w:rFonts w:cs="Times New Roman"/>
          <w:szCs w:val="28"/>
        </w:rPr>
        <w:t>=0.0</w:t>
      </w:r>
      <w:r w:rsidRPr="002B136D">
        <w:rPr>
          <w:rFonts w:cs="Times New Roman"/>
          <w:szCs w:val="28"/>
          <w:lang w:val="kk-KZ"/>
        </w:rPr>
        <w:t>5</w:t>
      </w:r>
      <w:r w:rsidRPr="002B136D">
        <w:rPr>
          <w:rFonts w:cs="Times New Roman"/>
          <w:szCs w:val="28"/>
        </w:rPr>
        <w:t xml:space="preserve">) </w:t>
      </w:r>
      <w:r w:rsidR="00AF31F3">
        <w:rPr>
          <w:rFonts w:cs="Times New Roman"/>
          <w:szCs w:val="28"/>
        </w:rPr>
        <w:t>(рисунок</w:t>
      </w:r>
      <w:r w:rsidR="00A95153">
        <w:rPr>
          <w:rFonts w:cs="Times New Roman"/>
          <w:szCs w:val="28"/>
        </w:rPr>
        <w:t xml:space="preserve"> </w:t>
      </w:r>
      <w:r w:rsidR="00160A99" w:rsidRPr="002B136D">
        <w:rPr>
          <w:rFonts w:cs="Times New Roman"/>
          <w:szCs w:val="28"/>
        </w:rPr>
        <w:t>2</w:t>
      </w:r>
      <w:r w:rsidR="007B402D">
        <w:rPr>
          <w:rFonts w:cs="Times New Roman"/>
          <w:szCs w:val="28"/>
        </w:rPr>
        <w:t>1</w:t>
      </w:r>
      <w:r w:rsidRPr="002B136D">
        <w:rPr>
          <w:rFonts w:cs="Times New Roman"/>
          <w:szCs w:val="28"/>
        </w:rPr>
        <w:t>).</w:t>
      </w:r>
    </w:p>
    <w:p w14:paraId="31F8E026" w14:textId="5F81A7CA" w:rsidR="00023075" w:rsidRPr="002B136D" w:rsidRDefault="00023075" w:rsidP="006D06D7">
      <w:pPr>
        <w:spacing w:after="0" w:line="240" w:lineRule="auto"/>
        <w:ind w:firstLine="709"/>
        <w:contextualSpacing/>
        <w:jc w:val="both"/>
        <w:rPr>
          <w:rFonts w:cs="Times New Roman"/>
          <w:szCs w:val="28"/>
        </w:rPr>
      </w:pPr>
    </w:p>
    <w:p w14:paraId="0E82A04E" w14:textId="496A21E2" w:rsidR="00EE2DBA" w:rsidRPr="002B136D" w:rsidRDefault="00EE2DBA" w:rsidP="00AF31F3">
      <w:pPr>
        <w:spacing w:after="0" w:line="360" w:lineRule="auto"/>
        <w:jc w:val="center"/>
        <w:rPr>
          <w:rFonts w:cs="Times New Roman"/>
          <w:b/>
          <w:szCs w:val="28"/>
        </w:rPr>
      </w:pPr>
      <w:r w:rsidRPr="002B136D">
        <w:rPr>
          <w:rFonts w:cs="Times New Roman"/>
          <w:b/>
          <w:noProof/>
          <w:szCs w:val="28"/>
          <w:lang w:eastAsia="ru-RU"/>
        </w:rPr>
        <w:drawing>
          <wp:inline distT="0" distB="0" distL="0" distR="0" wp14:anchorId="65FED206" wp14:editId="07A2A775">
            <wp:extent cx="4533822" cy="267004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0184" cy="2673795"/>
                    </a:xfrm>
                    <a:prstGeom prst="rect">
                      <a:avLst/>
                    </a:prstGeom>
                    <a:noFill/>
                  </pic:spPr>
                </pic:pic>
              </a:graphicData>
            </a:graphic>
          </wp:inline>
        </w:drawing>
      </w:r>
    </w:p>
    <w:p w14:paraId="444C8982" w14:textId="7F100E24" w:rsidR="006138E1" w:rsidRPr="002932C4" w:rsidRDefault="00160A99" w:rsidP="006D06D7">
      <w:pPr>
        <w:spacing w:after="0" w:line="240" w:lineRule="auto"/>
        <w:contextualSpacing/>
        <w:jc w:val="center"/>
        <w:rPr>
          <w:rFonts w:cs="Times New Roman"/>
          <w:bCs/>
          <w:szCs w:val="28"/>
        </w:rPr>
      </w:pPr>
      <w:r w:rsidRPr="00AF31F3">
        <w:rPr>
          <w:rFonts w:cs="Times New Roman"/>
          <w:bCs/>
          <w:szCs w:val="28"/>
        </w:rPr>
        <w:t xml:space="preserve">Рисунок </w:t>
      </w:r>
      <w:r w:rsidR="007B402D">
        <w:rPr>
          <w:rFonts w:cs="Times New Roman"/>
          <w:bCs/>
          <w:szCs w:val="28"/>
        </w:rPr>
        <w:t>20</w:t>
      </w:r>
      <w:r w:rsidR="00AF31F3" w:rsidRPr="00AF31F3">
        <w:rPr>
          <w:rFonts w:cs="Times New Roman"/>
          <w:bCs/>
          <w:szCs w:val="28"/>
        </w:rPr>
        <w:t xml:space="preserve"> -</w:t>
      </w:r>
      <w:r w:rsidR="006138E1" w:rsidRPr="00AF31F3">
        <w:rPr>
          <w:rFonts w:cs="Times New Roman"/>
          <w:bCs/>
          <w:szCs w:val="28"/>
        </w:rPr>
        <w:t xml:space="preserve"> Уровни </w:t>
      </w:r>
      <w:r w:rsidR="00F87542" w:rsidRPr="00AF31F3">
        <w:rPr>
          <w:rFonts w:cs="Times New Roman"/>
          <w:bCs/>
          <w:szCs w:val="28"/>
          <w:lang w:val="en-US"/>
        </w:rPr>
        <w:t>IL</w:t>
      </w:r>
      <w:r w:rsidR="006138E1" w:rsidRPr="00AF31F3">
        <w:rPr>
          <w:rFonts w:cs="Times New Roman"/>
          <w:bCs/>
          <w:szCs w:val="28"/>
        </w:rPr>
        <w:t xml:space="preserve">-17 в нестимулированной слезе пациентов с активной формой ЭОП и их корреляция с </w:t>
      </w:r>
      <w:r w:rsidR="006138E1" w:rsidRPr="00AF31F3">
        <w:rPr>
          <w:rFonts w:cs="Times New Roman"/>
          <w:bCs/>
          <w:szCs w:val="28"/>
          <w:lang w:val="en-US"/>
        </w:rPr>
        <w:t>CAS</w:t>
      </w:r>
    </w:p>
    <w:p w14:paraId="4C48DF3B" w14:textId="77777777" w:rsidR="00023075" w:rsidRPr="002B136D" w:rsidRDefault="00023075" w:rsidP="006D06D7">
      <w:pPr>
        <w:spacing w:after="0" w:line="360" w:lineRule="auto"/>
        <w:jc w:val="center"/>
        <w:rPr>
          <w:rFonts w:cs="Times New Roman"/>
          <w:sz w:val="24"/>
          <w:szCs w:val="28"/>
        </w:rPr>
      </w:pPr>
    </w:p>
    <w:p w14:paraId="47440A68" w14:textId="4BE9E9B1" w:rsidR="00EE2DBA" w:rsidRPr="002B136D" w:rsidRDefault="001D6D13" w:rsidP="00AF31F3">
      <w:pPr>
        <w:spacing w:after="0" w:line="360" w:lineRule="auto"/>
        <w:jc w:val="center"/>
        <w:rPr>
          <w:rFonts w:cs="Times New Roman"/>
          <w:szCs w:val="28"/>
        </w:rPr>
      </w:pPr>
      <w:r w:rsidRPr="002B136D">
        <w:rPr>
          <w:rFonts w:cs="Times New Roman"/>
          <w:noProof/>
          <w:szCs w:val="28"/>
          <w:lang w:eastAsia="ru-RU"/>
        </w:rPr>
        <w:drawing>
          <wp:inline distT="0" distB="0" distL="0" distR="0" wp14:anchorId="6171E7E7" wp14:editId="16C52110">
            <wp:extent cx="4542739" cy="2677813"/>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0412" cy="2682336"/>
                    </a:xfrm>
                    <a:prstGeom prst="rect">
                      <a:avLst/>
                    </a:prstGeom>
                    <a:noFill/>
                  </pic:spPr>
                </pic:pic>
              </a:graphicData>
            </a:graphic>
          </wp:inline>
        </w:drawing>
      </w:r>
    </w:p>
    <w:p w14:paraId="18500AE1" w14:textId="3A569AAE" w:rsidR="006138E1" w:rsidRPr="002932C4" w:rsidRDefault="00160A99" w:rsidP="006D06D7">
      <w:pPr>
        <w:spacing w:after="0" w:line="240" w:lineRule="auto"/>
        <w:contextualSpacing/>
        <w:jc w:val="center"/>
        <w:rPr>
          <w:rFonts w:cs="Times New Roman"/>
          <w:bCs/>
          <w:szCs w:val="28"/>
        </w:rPr>
      </w:pPr>
      <w:r w:rsidRPr="00AF31F3">
        <w:rPr>
          <w:rFonts w:cs="Times New Roman"/>
          <w:bCs/>
          <w:szCs w:val="28"/>
        </w:rPr>
        <w:t>Рисунок 2</w:t>
      </w:r>
      <w:r w:rsidR="007B402D">
        <w:rPr>
          <w:rFonts w:cs="Times New Roman"/>
          <w:bCs/>
          <w:szCs w:val="28"/>
        </w:rPr>
        <w:t>1</w:t>
      </w:r>
      <w:r w:rsidR="00AF31F3" w:rsidRPr="00AF31F3">
        <w:rPr>
          <w:rFonts w:cs="Times New Roman"/>
          <w:bCs/>
          <w:szCs w:val="28"/>
        </w:rPr>
        <w:t xml:space="preserve"> -</w:t>
      </w:r>
      <w:r w:rsidR="006138E1" w:rsidRPr="00AF31F3">
        <w:rPr>
          <w:rFonts w:cs="Times New Roman"/>
          <w:bCs/>
          <w:szCs w:val="28"/>
        </w:rPr>
        <w:t xml:space="preserve"> Уровни </w:t>
      </w:r>
      <w:r w:rsidR="00C66614" w:rsidRPr="00AF31F3">
        <w:rPr>
          <w:rFonts w:cs="Times New Roman"/>
          <w:bCs/>
          <w:szCs w:val="28"/>
          <w:lang w:val="en-US"/>
        </w:rPr>
        <w:t>IL</w:t>
      </w:r>
      <w:r w:rsidR="006138E1" w:rsidRPr="00AF31F3">
        <w:rPr>
          <w:rFonts w:cs="Times New Roman"/>
          <w:bCs/>
          <w:szCs w:val="28"/>
        </w:rPr>
        <w:t xml:space="preserve">-38 в нестимулированной слезе пациентов с активной формой ЭОП и их корреляция с </w:t>
      </w:r>
      <w:r w:rsidR="006138E1" w:rsidRPr="00AF31F3">
        <w:rPr>
          <w:rFonts w:cs="Times New Roman"/>
          <w:bCs/>
          <w:szCs w:val="28"/>
          <w:lang w:val="en-US"/>
        </w:rPr>
        <w:t>CAS</w:t>
      </w:r>
    </w:p>
    <w:p w14:paraId="6CAD2240" w14:textId="77777777" w:rsidR="006D06D7" w:rsidRPr="002B136D" w:rsidRDefault="006D06D7" w:rsidP="006D06D7">
      <w:pPr>
        <w:spacing w:after="0" w:line="240" w:lineRule="auto"/>
        <w:contextualSpacing/>
        <w:jc w:val="center"/>
        <w:rPr>
          <w:rFonts w:cs="Times New Roman"/>
          <w:b/>
          <w:sz w:val="24"/>
          <w:szCs w:val="28"/>
        </w:rPr>
      </w:pPr>
    </w:p>
    <w:p w14:paraId="26548303" w14:textId="1BCA888C" w:rsidR="007153D2" w:rsidRPr="002B136D" w:rsidRDefault="009141B7" w:rsidP="00AF31F3">
      <w:pPr>
        <w:spacing w:after="0" w:line="240" w:lineRule="auto"/>
        <w:ind w:firstLine="567"/>
        <w:contextualSpacing/>
        <w:jc w:val="both"/>
        <w:rPr>
          <w:rFonts w:cs="Times New Roman"/>
          <w:szCs w:val="28"/>
        </w:rPr>
      </w:pPr>
      <w:r w:rsidRPr="002B136D">
        <w:rPr>
          <w:rFonts w:cs="Times New Roman"/>
          <w:szCs w:val="28"/>
        </w:rPr>
        <w:t>Таким образом, у</w:t>
      </w:r>
      <w:r w:rsidR="007153D2" w:rsidRPr="002B136D">
        <w:rPr>
          <w:rFonts w:cs="Times New Roman"/>
          <w:szCs w:val="28"/>
        </w:rPr>
        <w:t xml:space="preserve">ровень </w:t>
      </w:r>
      <w:r w:rsidR="00C66614" w:rsidRPr="002B136D">
        <w:rPr>
          <w:rFonts w:cs="Times New Roman"/>
          <w:szCs w:val="28"/>
          <w:lang w:val="en-US"/>
        </w:rPr>
        <w:t>IL</w:t>
      </w:r>
      <w:r w:rsidR="005A3AE9" w:rsidRPr="002B136D">
        <w:rPr>
          <w:rFonts w:cs="Times New Roman"/>
          <w:szCs w:val="28"/>
        </w:rPr>
        <w:t>-17</w:t>
      </w:r>
      <w:r w:rsidR="00435929" w:rsidRPr="002B136D">
        <w:rPr>
          <w:rFonts w:cs="Times New Roman"/>
          <w:szCs w:val="28"/>
        </w:rPr>
        <w:t xml:space="preserve"> </w:t>
      </w:r>
      <w:r w:rsidR="007153D2" w:rsidRPr="002B136D">
        <w:rPr>
          <w:rFonts w:cs="Times New Roman"/>
          <w:szCs w:val="28"/>
        </w:rPr>
        <w:t xml:space="preserve">был значительно повышен у пациентов с активной ЭОП по сравнению с неактивной ЭОП и контрольной группой во всех трех типах образцов: сыворотке крови, нестимулированной слезе и </w:t>
      </w:r>
      <w:r w:rsidR="007153D2" w:rsidRPr="002B136D">
        <w:rPr>
          <w:rFonts w:cs="Times New Roman"/>
          <w:szCs w:val="28"/>
        </w:rPr>
        <w:lastRenderedPageBreak/>
        <w:t xml:space="preserve">орбитальной ткани. </w:t>
      </w:r>
      <w:proofErr w:type="gramStart"/>
      <w:r w:rsidR="007153D2" w:rsidRPr="002B136D">
        <w:rPr>
          <w:rFonts w:cs="Times New Roman"/>
          <w:szCs w:val="28"/>
        </w:rPr>
        <w:t xml:space="preserve">Это указывает на прямую вовлеченность </w:t>
      </w:r>
      <w:r w:rsidR="00C66614" w:rsidRPr="002B136D">
        <w:rPr>
          <w:rFonts w:cs="Times New Roman"/>
          <w:szCs w:val="28"/>
          <w:lang w:val="en-US"/>
        </w:rPr>
        <w:t>IL</w:t>
      </w:r>
      <w:r w:rsidR="005A3AE9" w:rsidRPr="002B136D">
        <w:rPr>
          <w:rFonts w:cs="Times New Roman"/>
          <w:szCs w:val="28"/>
        </w:rPr>
        <w:t>-17</w:t>
      </w:r>
      <w:r w:rsidR="00435929" w:rsidRPr="002B136D">
        <w:rPr>
          <w:rFonts w:cs="Times New Roman"/>
          <w:szCs w:val="28"/>
        </w:rPr>
        <w:t xml:space="preserve"> </w:t>
      </w:r>
      <w:r w:rsidR="007153D2" w:rsidRPr="002B136D">
        <w:rPr>
          <w:rFonts w:cs="Times New Roman"/>
          <w:szCs w:val="28"/>
        </w:rPr>
        <w:t>в патогенез активной ЭОП, подкрепленную высокой корреляцией с клинической активностью заболевания (r=0.885; p=0.001).</w:t>
      </w:r>
      <w:proofErr w:type="gramEnd"/>
    </w:p>
    <w:p w14:paraId="21733DBD" w14:textId="64BFA994" w:rsidR="007153D2" w:rsidRPr="002B136D" w:rsidRDefault="007153D2" w:rsidP="00AF31F3">
      <w:pPr>
        <w:spacing w:after="0" w:line="240" w:lineRule="auto"/>
        <w:ind w:firstLine="567"/>
        <w:contextualSpacing/>
        <w:jc w:val="both"/>
        <w:rPr>
          <w:rFonts w:cs="Times New Roman"/>
          <w:szCs w:val="28"/>
        </w:rPr>
      </w:pPr>
      <w:r w:rsidRPr="002B136D">
        <w:rPr>
          <w:rFonts w:cs="Times New Roman"/>
          <w:szCs w:val="28"/>
        </w:rPr>
        <w:t xml:space="preserve">Уровень </w:t>
      </w:r>
      <w:r w:rsidR="000E3E8D" w:rsidRPr="002B136D">
        <w:rPr>
          <w:rFonts w:cs="Times New Roman"/>
          <w:szCs w:val="28"/>
        </w:rPr>
        <w:t>IL-</w:t>
      </w:r>
      <w:r w:rsidRPr="002B136D">
        <w:rPr>
          <w:rFonts w:cs="Times New Roman"/>
          <w:szCs w:val="28"/>
        </w:rPr>
        <w:t xml:space="preserve">38, напротив, показал обратную динамику: более низкие значения в образцах от пациентов с </w:t>
      </w:r>
      <w:proofErr w:type="gramStart"/>
      <w:r w:rsidRPr="002B136D">
        <w:rPr>
          <w:rFonts w:cs="Times New Roman"/>
          <w:szCs w:val="28"/>
        </w:rPr>
        <w:t>активной</w:t>
      </w:r>
      <w:proofErr w:type="gramEnd"/>
      <w:r w:rsidRPr="002B136D">
        <w:rPr>
          <w:rFonts w:cs="Times New Roman"/>
          <w:szCs w:val="28"/>
        </w:rPr>
        <w:t xml:space="preserve"> ЭОП по сравнению с неактивной и контрольной группами. Отрицательная корреляция между уровнем </w:t>
      </w:r>
      <w:r w:rsidR="00C66614" w:rsidRPr="002B136D">
        <w:rPr>
          <w:rFonts w:cs="Times New Roman"/>
          <w:szCs w:val="28"/>
          <w:lang w:val="en-US"/>
        </w:rPr>
        <w:t>IL</w:t>
      </w:r>
      <w:r w:rsidRPr="002B136D">
        <w:rPr>
          <w:rFonts w:cs="Times New Roman"/>
          <w:szCs w:val="28"/>
        </w:rPr>
        <w:t>-38 и клинической активностью ЭОП (r=-0.326; p=0.112) не достигла статистической значимости, что может указывать на более сложные или косвенные механизмы воздействия этого цитокина на течение ЭОП.</w:t>
      </w:r>
    </w:p>
    <w:p w14:paraId="3753DC36" w14:textId="495CB2F8" w:rsidR="007153D2" w:rsidRPr="002B136D" w:rsidRDefault="007153D2" w:rsidP="00AF31F3">
      <w:pPr>
        <w:spacing w:after="0" w:line="240" w:lineRule="auto"/>
        <w:ind w:firstLine="567"/>
        <w:contextualSpacing/>
        <w:jc w:val="both"/>
        <w:rPr>
          <w:rFonts w:cs="Times New Roman"/>
          <w:szCs w:val="28"/>
        </w:rPr>
      </w:pPr>
      <w:r w:rsidRPr="002B136D">
        <w:rPr>
          <w:rFonts w:cs="Times New Roman"/>
          <w:szCs w:val="28"/>
        </w:rPr>
        <w:t xml:space="preserve">Прямая корреляция между уровнем </w:t>
      </w:r>
      <w:r w:rsidR="00C66614" w:rsidRPr="002B136D">
        <w:rPr>
          <w:rFonts w:cs="Times New Roman"/>
          <w:szCs w:val="28"/>
          <w:lang w:val="en-US"/>
        </w:rPr>
        <w:t>IL</w:t>
      </w:r>
      <w:r w:rsidR="005A3AE9" w:rsidRPr="002B136D">
        <w:rPr>
          <w:rFonts w:cs="Times New Roman"/>
          <w:szCs w:val="28"/>
        </w:rPr>
        <w:t>-17</w:t>
      </w:r>
      <w:r w:rsidR="00435929" w:rsidRPr="002B136D">
        <w:rPr>
          <w:rFonts w:cs="Times New Roman"/>
          <w:szCs w:val="28"/>
        </w:rPr>
        <w:t xml:space="preserve"> </w:t>
      </w:r>
      <w:r w:rsidRPr="002B136D">
        <w:rPr>
          <w:rFonts w:cs="Times New Roman"/>
          <w:szCs w:val="28"/>
        </w:rPr>
        <w:t xml:space="preserve">в нестимулированной слезе и клинической активностью ЭОП (r=0.587; p=0.002) подчеркивает потенциальную роль слезной жидкости как отражающей местную иммунную реакцию в органе зрения. В то же время, обратная корреляция между </w:t>
      </w:r>
      <w:r w:rsidR="00C66614" w:rsidRPr="002B136D">
        <w:rPr>
          <w:rFonts w:cs="Times New Roman"/>
          <w:szCs w:val="28"/>
          <w:lang w:val="en-US"/>
        </w:rPr>
        <w:t>IL</w:t>
      </w:r>
      <w:r w:rsidRPr="002B136D">
        <w:rPr>
          <w:rFonts w:cs="Times New Roman"/>
          <w:szCs w:val="28"/>
        </w:rPr>
        <w:t>-38 в слезе и клинической активностью (r=-0.397; p=0.05) может свидетельствовать о защитном или регуляторном эффекте этого цитокина в контексте воспалительного процесса при ЭОП.</w:t>
      </w:r>
    </w:p>
    <w:p w14:paraId="43D28B44" w14:textId="77777777" w:rsidR="00FC1A05" w:rsidRPr="002B136D" w:rsidRDefault="000513C5" w:rsidP="00AF31F3">
      <w:pPr>
        <w:spacing w:after="0" w:line="240" w:lineRule="auto"/>
        <w:ind w:firstLine="567"/>
        <w:contextualSpacing/>
        <w:jc w:val="both"/>
        <w:rPr>
          <w:rFonts w:cs="Times New Roman"/>
          <w:szCs w:val="28"/>
          <w:lang w:val="kk-KZ"/>
        </w:rPr>
      </w:pPr>
      <w:r w:rsidRPr="002B136D">
        <w:rPr>
          <w:rFonts w:cs="Times New Roman"/>
          <w:szCs w:val="28"/>
        </w:rPr>
        <w:t xml:space="preserve">Наши результаты демонстрируют важность балансировки уровней </w:t>
      </w:r>
      <w:r w:rsidR="00C66614" w:rsidRPr="002B136D">
        <w:rPr>
          <w:rFonts w:cs="Times New Roman"/>
          <w:szCs w:val="28"/>
          <w:lang w:val="en-US"/>
        </w:rPr>
        <w:t>IL</w:t>
      </w:r>
      <w:r w:rsidRPr="002B136D">
        <w:rPr>
          <w:rFonts w:cs="Times New Roman"/>
          <w:szCs w:val="28"/>
        </w:rPr>
        <w:t xml:space="preserve">-38 и </w:t>
      </w:r>
      <w:r w:rsidR="00C66614" w:rsidRPr="002B136D">
        <w:rPr>
          <w:rFonts w:cs="Times New Roman"/>
          <w:szCs w:val="28"/>
          <w:lang w:val="en-US"/>
        </w:rPr>
        <w:t>IL</w:t>
      </w:r>
      <w:r w:rsidRPr="002B136D">
        <w:rPr>
          <w:rFonts w:cs="Times New Roman"/>
          <w:szCs w:val="28"/>
        </w:rPr>
        <w:t xml:space="preserve">-17 в сыворотке крови и нестимулированных слезах, связанных с развитием заболевания. </w:t>
      </w:r>
    </w:p>
    <w:p w14:paraId="6135FB87" w14:textId="096365D1" w:rsidR="0034246C" w:rsidRPr="002B136D" w:rsidRDefault="0034246C" w:rsidP="00AF31F3">
      <w:pPr>
        <w:spacing w:after="0" w:line="240" w:lineRule="auto"/>
        <w:ind w:firstLine="567"/>
        <w:contextualSpacing/>
        <w:jc w:val="both"/>
        <w:rPr>
          <w:rFonts w:cs="Times New Roman"/>
          <w:szCs w:val="28"/>
        </w:rPr>
      </w:pPr>
      <w:r w:rsidRPr="002B136D">
        <w:rPr>
          <w:rFonts w:cs="Times New Roman"/>
          <w:szCs w:val="28"/>
        </w:rPr>
        <w:t>При анализе концентрации ИЛ-17А и ИЛ-38 по тяжести ЭОП, классифицированной по EUGOGO, были обнаружены статистически значимые различия между группами (p=0.02</w:t>
      </w:r>
      <w:r w:rsidR="00192DA5" w:rsidRPr="002B136D">
        <w:rPr>
          <w:rFonts w:cs="Times New Roman"/>
          <w:szCs w:val="28"/>
        </w:rPr>
        <w:t xml:space="preserve"> и </w:t>
      </w:r>
      <w:r w:rsidR="00192DA5" w:rsidRPr="002B136D">
        <w:rPr>
          <w:rFonts w:cs="Times New Roman"/>
          <w:szCs w:val="28"/>
          <w:lang w:val="en-US"/>
        </w:rPr>
        <w:t>p</w:t>
      </w:r>
      <w:r w:rsidR="00160A99" w:rsidRPr="002B136D">
        <w:rPr>
          <w:rFonts w:cs="Times New Roman"/>
          <w:szCs w:val="28"/>
        </w:rPr>
        <w:t>=0.03</w:t>
      </w:r>
      <w:r w:rsidRPr="002B136D">
        <w:rPr>
          <w:rFonts w:cs="Times New Roman"/>
          <w:szCs w:val="28"/>
        </w:rPr>
        <w:t xml:space="preserve">) </w:t>
      </w:r>
      <w:r w:rsidR="0067708D">
        <w:rPr>
          <w:rFonts w:cs="Times New Roman"/>
          <w:szCs w:val="28"/>
        </w:rPr>
        <w:t xml:space="preserve">(таблица </w:t>
      </w:r>
      <w:r w:rsidR="00160A99" w:rsidRPr="002B136D">
        <w:rPr>
          <w:rFonts w:cs="Times New Roman"/>
          <w:szCs w:val="28"/>
          <w:lang w:val="kk-KZ"/>
        </w:rPr>
        <w:t>1</w:t>
      </w:r>
      <w:r w:rsidR="0076161A">
        <w:rPr>
          <w:rFonts w:cs="Times New Roman"/>
          <w:szCs w:val="28"/>
          <w:lang w:val="kk-KZ"/>
        </w:rPr>
        <w:t>6</w:t>
      </w:r>
      <w:r w:rsidRPr="002B136D">
        <w:rPr>
          <w:rFonts w:cs="Times New Roman"/>
          <w:szCs w:val="28"/>
        </w:rPr>
        <w:t>). Средние уровни ИЛ17А в крови увеличивались пропорционально тяжести ЭОП,</w:t>
      </w:r>
      <w:r w:rsidR="00192DA5" w:rsidRPr="002B136D">
        <w:rPr>
          <w:rFonts w:cs="Times New Roman"/>
          <w:szCs w:val="28"/>
        </w:rPr>
        <w:t xml:space="preserve"> </w:t>
      </w:r>
      <w:r w:rsidRPr="002B136D">
        <w:rPr>
          <w:rFonts w:cs="Times New Roman"/>
          <w:szCs w:val="28"/>
        </w:rPr>
        <w:t xml:space="preserve">при этом самые высокие показатели ИЛ-38 были у пациентов с умеренной тяжестью ЭОП, а самые низкие значения были у пациентов со степенью угрожающей потери зрения (6,2±0,6 (пг/л)). Также была выявлена прямая корреляционная связь с тяжестью (r=0.3, p=0.01) </w:t>
      </w:r>
      <w:r w:rsidR="00455815">
        <w:rPr>
          <w:rFonts w:cs="Times New Roman"/>
          <w:szCs w:val="28"/>
        </w:rPr>
        <w:t>(рисунок</w:t>
      </w:r>
      <w:r w:rsidR="00A95153">
        <w:rPr>
          <w:rFonts w:cs="Times New Roman"/>
          <w:szCs w:val="28"/>
        </w:rPr>
        <w:t xml:space="preserve"> </w:t>
      </w:r>
      <w:r w:rsidR="00160A99" w:rsidRPr="002B136D">
        <w:rPr>
          <w:rFonts w:cs="Times New Roman"/>
          <w:szCs w:val="28"/>
          <w:lang w:val="kk-KZ"/>
        </w:rPr>
        <w:t>2</w:t>
      </w:r>
      <w:r w:rsidR="007B402D">
        <w:rPr>
          <w:rFonts w:cs="Times New Roman"/>
          <w:szCs w:val="28"/>
          <w:lang w:val="kk-KZ"/>
        </w:rPr>
        <w:t>2</w:t>
      </w:r>
      <w:r w:rsidRPr="002B136D">
        <w:rPr>
          <w:rFonts w:cs="Times New Roman"/>
          <w:szCs w:val="28"/>
        </w:rPr>
        <w:t>). Однако дан</w:t>
      </w:r>
      <w:r w:rsidR="00192DA5" w:rsidRPr="002B136D">
        <w:rPr>
          <w:rFonts w:cs="Times New Roman"/>
          <w:szCs w:val="28"/>
        </w:rPr>
        <w:t xml:space="preserve">ные по ИЛ-38 не показали </w:t>
      </w:r>
      <w:r w:rsidRPr="002B136D">
        <w:rPr>
          <w:rFonts w:cs="Times New Roman"/>
          <w:szCs w:val="28"/>
        </w:rPr>
        <w:t>корреляционной связи с тяжестью</w:t>
      </w:r>
      <w:r w:rsidR="00192DA5" w:rsidRPr="002B136D">
        <w:rPr>
          <w:rFonts w:cs="Times New Roman"/>
          <w:szCs w:val="28"/>
        </w:rPr>
        <w:t xml:space="preserve"> (p&gt;0.05), хотя были обнаружены </w:t>
      </w:r>
      <w:r w:rsidRPr="002B136D">
        <w:rPr>
          <w:rFonts w:cs="Times New Roman"/>
          <w:szCs w:val="28"/>
        </w:rPr>
        <w:t xml:space="preserve">статистические </w:t>
      </w:r>
      <w:r w:rsidR="00192DA5" w:rsidRPr="002B136D">
        <w:rPr>
          <w:rFonts w:cs="Times New Roman"/>
          <w:szCs w:val="28"/>
        </w:rPr>
        <w:t xml:space="preserve"> значимые </w:t>
      </w:r>
      <w:r w:rsidRPr="002B136D">
        <w:rPr>
          <w:rFonts w:cs="Times New Roman"/>
          <w:szCs w:val="28"/>
        </w:rPr>
        <w:t>различия.</w:t>
      </w:r>
    </w:p>
    <w:p w14:paraId="7465D9F4" w14:textId="77777777" w:rsidR="00192DA5" w:rsidRPr="002B136D" w:rsidRDefault="00192DA5" w:rsidP="00AF31F3">
      <w:pPr>
        <w:spacing w:after="0" w:line="240" w:lineRule="auto"/>
        <w:ind w:firstLine="567"/>
        <w:contextualSpacing/>
        <w:jc w:val="both"/>
        <w:rPr>
          <w:rFonts w:cs="Times New Roman"/>
          <w:b/>
          <w:szCs w:val="28"/>
        </w:rPr>
      </w:pPr>
    </w:p>
    <w:p w14:paraId="6EFF6752" w14:textId="6FBE3BC4" w:rsidR="0034246C" w:rsidRPr="00AF31F3" w:rsidRDefault="0034246C" w:rsidP="00AF31F3">
      <w:pPr>
        <w:spacing w:after="0" w:line="240" w:lineRule="auto"/>
        <w:contextualSpacing/>
        <w:jc w:val="both"/>
        <w:rPr>
          <w:rFonts w:cs="Times New Roman"/>
          <w:bCs/>
          <w:szCs w:val="28"/>
        </w:rPr>
      </w:pPr>
      <w:r w:rsidRPr="00AF31F3">
        <w:rPr>
          <w:rFonts w:cs="Times New Roman"/>
          <w:bCs/>
          <w:szCs w:val="28"/>
        </w:rPr>
        <w:t xml:space="preserve">Таблица </w:t>
      </w:r>
      <w:r w:rsidR="00160A99" w:rsidRPr="00AF31F3">
        <w:rPr>
          <w:rFonts w:cs="Times New Roman"/>
          <w:bCs/>
          <w:szCs w:val="28"/>
          <w:lang w:val="kk-KZ"/>
        </w:rPr>
        <w:t>1</w:t>
      </w:r>
      <w:r w:rsidR="0076161A">
        <w:rPr>
          <w:rFonts w:cs="Times New Roman"/>
          <w:bCs/>
          <w:szCs w:val="28"/>
          <w:lang w:val="kk-KZ"/>
        </w:rPr>
        <w:t>6</w:t>
      </w:r>
      <w:r w:rsidR="00F77244" w:rsidRPr="00AF31F3">
        <w:rPr>
          <w:rFonts w:cs="Times New Roman"/>
          <w:bCs/>
          <w:szCs w:val="28"/>
          <w:lang w:val="kk-KZ"/>
        </w:rPr>
        <w:t xml:space="preserve"> </w:t>
      </w:r>
      <w:r w:rsidR="00AF31F3" w:rsidRPr="00AF31F3">
        <w:rPr>
          <w:rFonts w:cs="Times New Roman"/>
          <w:bCs/>
          <w:szCs w:val="28"/>
          <w:lang w:val="kk-KZ"/>
        </w:rPr>
        <w:t xml:space="preserve">- </w:t>
      </w:r>
      <w:r w:rsidR="00192DA5" w:rsidRPr="00AF31F3">
        <w:rPr>
          <w:rFonts w:cs="Times New Roman"/>
          <w:bCs/>
          <w:szCs w:val="28"/>
        </w:rPr>
        <w:t>Сравнительный анализ концентрации цитокинов в образцах сыворотки крови у пациентов с разными степенями тяжести ЭОП</w:t>
      </w:r>
    </w:p>
    <w:p w14:paraId="35560BF9" w14:textId="77777777" w:rsidR="000635FC" w:rsidRPr="002B136D" w:rsidRDefault="000635FC" w:rsidP="003300FF">
      <w:pPr>
        <w:spacing w:after="0" w:line="360" w:lineRule="auto"/>
        <w:rPr>
          <w:rFonts w:cs="Times New Roman"/>
          <w:b/>
          <w:sz w:val="24"/>
          <w:szCs w:val="28"/>
        </w:rPr>
      </w:pPr>
    </w:p>
    <w:tbl>
      <w:tblPr>
        <w:tblStyle w:val="ac"/>
        <w:tblW w:w="0" w:type="auto"/>
        <w:jc w:val="center"/>
        <w:tblLook w:val="04A0" w:firstRow="1" w:lastRow="0" w:firstColumn="1" w:lastColumn="0" w:noHBand="0" w:noVBand="1"/>
      </w:tblPr>
      <w:tblGrid>
        <w:gridCol w:w="2082"/>
        <w:gridCol w:w="1134"/>
        <w:gridCol w:w="2126"/>
        <w:gridCol w:w="3260"/>
        <w:gridCol w:w="945"/>
      </w:tblGrid>
      <w:tr w:rsidR="002B136D" w:rsidRPr="002B136D" w14:paraId="4BC3046A" w14:textId="77777777" w:rsidTr="00AF31F3">
        <w:trPr>
          <w:trHeight w:val="288"/>
          <w:jc w:val="center"/>
        </w:trPr>
        <w:tc>
          <w:tcPr>
            <w:tcW w:w="2082" w:type="dxa"/>
            <w:noWrap/>
          </w:tcPr>
          <w:p w14:paraId="623587B6" w14:textId="53DFC257" w:rsidR="000635FC" w:rsidRPr="00AF31F3" w:rsidRDefault="000635FC" w:rsidP="006D06D7">
            <w:pPr>
              <w:rPr>
                <w:sz w:val="24"/>
                <w:szCs w:val="24"/>
              </w:rPr>
            </w:pPr>
            <w:r w:rsidRPr="00AF31F3">
              <w:rPr>
                <w:sz w:val="24"/>
                <w:szCs w:val="24"/>
              </w:rPr>
              <w:t>Цитокины</w:t>
            </w:r>
            <w:r w:rsidR="0034246C" w:rsidRPr="00AF31F3">
              <w:rPr>
                <w:sz w:val="24"/>
                <w:szCs w:val="24"/>
              </w:rPr>
              <w:t xml:space="preserve"> (пг/л)</w:t>
            </w:r>
          </w:p>
        </w:tc>
        <w:tc>
          <w:tcPr>
            <w:tcW w:w="1134" w:type="dxa"/>
            <w:noWrap/>
          </w:tcPr>
          <w:p w14:paraId="03018F7C" w14:textId="0701234D" w:rsidR="0034246C" w:rsidRPr="00AF31F3" w:rsidRDefault="0034246C" w:rsidP="006D06D7">
            <w:pPr>
              <w:rPr>
                <w:rFonts w:cs="Times New Roman"/>
                <w:sz w:val="24"/>
                <w:szCs w:val="24"/>
                <w:lang w:val="kk-KZ"/>
              </w:rPr>
            </w:pPr>
            <w:r w:rsidRPr="00AF31F3">
              <w:rPr>
                <w:rFonts w:cs="Times New Roman"/>
                <w:sz w:val="24"/>
                <w:szCs w:val="24"/>
                <w:lang w:val="kk-KZ"/>
              </w:rPr>
              <w:t>Легкая</w:t>
            </w:r>
          </w:p>
          <w:p w14:paraId="3AA4336C" w14:textId="1EE0F27F" w:rsidR="000635FC" w:rsidRPr="00AF31F3" w:rsidRDefault="001A0C49" w:rsidP="006D06D7">
            <w:pPr>
              <w:rPr>
                <w:sz w:val="24"/>
                <w:szCs w:val="24"/>
                <w:lang w:val="en-US"/>
              </w:rPr>
            </w:pPr>
            <w:r w:rsidRPr="00AF31F3">
              <w:rPr>
                <w:sz w:val="24"/>
                <w:szCs w:val="24"/>
                <w:lang w:val="en-US"/>
              </w:rPr>
              <w:t>(n=29)</w:t>
            </w:r>
          </w:p>
        </w:tc>
        <w:tc>
          <w:tcPr>
            <w:tcW w:w="2126" w:type="dxa"/>
            <w:noWrap/>
          </w:tcPr>
          <w:p w14:paraId="48559C10" w14:textId="7266FD97" w:rsidR="000635FC" w:rsidRPr="00AF31F3" w:rsidRDefault="0034246C" w:rsidP="00AF31F3">
            <w:pPr>
              <w:jc w:val="both"/>
              <w:rPr>
                <w:rFonts w:cs="Times New Roman"/>
                <w:sz w:val="24"/>
                <w:szCs w:val="24"/>
              </w:rPr>
            </w:pPr>
            <w:r w:rsidRPr="00AF31F3">
              <w:rPr>
                <w:rFonts w:cs="Times New Roman"/>
                <w:sz w:val="24"/>
                <w:szCs w:val="24"/>
              </w:rPr>
              <w:t>Умеренной тяжести</w:t>
            </w:r>
            <w:r w:rsidR="00AF31F3">
              <w:rPr>
                <w:rFonts w:cs="Times New Roman"/>
                <w:sz w:val="24"/>
                <w:szCs w:val="24"/>
              </w:rPr>
              <w:t xml:space="preserve"> </w:t>
            </w:r>
            <w:r w:rsidR="001A0C49" w:rsidRPr="00AF31F3">
              <w:rPr>
                <w:sz w:val="24"/>
                <w:szCs w:val="24"/>
                <w:lang w:val="en-US"/>
              </w:rPr>
              <w:t>(n=29)</w:t>
            </w:r>
          </w:p>
        </w:tc>
        <w:tc>
          <w:tcPr>
            <w:tcW w:w="3260" w:type="dxa"/>
            <w:noWrap/>
          </w:tcPr>
          <w:p w14:paraId="5BA7A2F2" w14:textId="77777777" w:rsidR="000635FC" w:rsidRPr="00AF31F3" w:rsidRDefault="0034246C" w:rsidP="006D06D7">
            <w:pPr>
              <w:rPr>
                <w:rFonts w:cs="Times New Roman"/>
                <w:sz w:val="24"/>
                <w:szCs w:val="24"/>
                <w:lang w:val="en-US"/>
              </w:rPr>
            </w:pPr>
            <w:proofErr w:type="gramStart"/>
            <w:r w:rsidRPr="00AF31F3">
              <w:rPr>
                <w:rFonts w:cs="Times New Roman"/>
                <w:sz w:val="24"/>
                <w:szCs w:val="24"/>
              </w:rPr>
              <w:t>Угрожающая</w:t>
            </w:r>
            <w:proofErr w:type="gramEnd"/>
            <w:r w:rsidRPr="00AF31F3">
              <w:rPr>
                <w:rFonts w:cs="Times New Roman"/>
                <w:sz w:val="24"/>
                <w:szCs w:val="24"/>
              </w:rPr>
              <w:t xml:space="preserve"> потерей зрения</w:t>
            </w:r>
          </w:p>
          <w:p w14:paraId="1750E5E3" w14:textId="188B94FD" w:rsidR="001A0C49" w:rsidRPr="00AF31F3" w:rsidRDefault="001A0C49" w:rsidP="006D06D7">
            <w:pPr>
              <w:rPr>
                <w:sz w:val="24"/>
                <w:szCs w:val="24"/>
                <w:lang w:val="en-US"/>
              </w:rPr>
            </w:pPr>
            <w:r w:rsidRPr="00AF31F3">
              <w:rPr>
                <w:sz w:val="24"/>
                <w:szCs w:val="24"/>
                <w:lang w:val="en-US"/>
              </w:rPr>
              <w:t>(n=12)</w:t>
            </w:r>
          </w:p>
        </w:tc>
        <w:tc>
          <w:tcPr>
            <w:tcW w:w="945" w:type="dxa"/>
            <w:noWrap/>
          </w:tcPr>
          <w:p w14:paraId="158FE14D" w14:textId="0230D96B" w:rsidR="000635FC" w:rsidRPr="00AF31F3" w:rsidRDefault="000635FC" w:rsidP="006D06D7">
            <w:pPr>
              <w:rPr>
                <w:rFonts w:cs="Times New Roman"/>
                <w:bCs/>
                <w:sz w:val="24"/>
                <w:szCs w:val="24"/>
                <w:lang w:val="en-US"/>
              </w:rPr>
            </w:pPr>
            <w:r w:rsidRPr="00AF31F3">
              <w:rPr>
                <w:rFonts w:cs="Times New Roman"/>
                <w:bCs/>
                <w:sz w:val="24"/>
                <w:szCs w:val="24"/>
                <w:lang w:val="en-US"/>
              </w:rPr>
              <w:t>p-value</w:t>
            </w:r>
          </w:p>
        </w:tc>
      </w:tr>
      <w:tr w:rsidR="002B136D" w:rsidRPr="002B136D" w14:paraId="6C839C13" w14:textId="77777777" w:rsidTr="00AF31F3">
        <w:trPr>
          <w:trHeight w:val="288"/>
          <w:jc w:val="center"/>
        </w:trPr>
        <w:tc>
          <w:tcPr>
            <w:tcW w:w="2082" w:type="dxa"/>
            <w:noWrap/>
            <w:hideMark/>
          </w:tcPr>
          <w:p w14:paraId="5B9B92B7" w14:textId="06AA2905" w:rsidR="000635FC" w:rsidRPr="00AF31F3" w:rsidRDefault="003655AA" w:rsidP="006D06D7">
            <w:pPr>
              <w:rPr>
                <w:rFonts w:cs="Times New Roman"/>
                <w:bCs/>
                <w:sz w:val="24"/>
                <w:szCs w:val="24"/>
                <w:lang w:val="kk-KZ"/>
              </w:rPr>
            </w:pPr>
            <w:r w:rsidRPr="00AF31F3">
              <w:rPr>
                <w:sz w:val="24"/>
                <w:szCs w:val="24"/>
              </w:rPr>
              <w:t>ИЛ17</w:t>
            </w:r>
          </w:p>
        </w:tc>
        <w:tc>
          <w:tcPr>
            <w:tcW w:w="1134" w:type="dxa"/>
            <w:noWrap/>
            <w:hideMark/>
          </w:tcPr>
          <w:p w14:paraId="7A586D3D" w14:textId="320D3EEC" w:rsidR="000635FC" w:rsidRPr="00AF31F3" w:rsidRDefault="000635FC" w:rsidP="006D06D7">
            <w:pPr>
              <w:rPr>
                <w:rFonts w:cs="Times New Roman"/>
                <w:bCs/>
                <w:sz w:val="24"/>
                <w:szCs w:val="24"/>
              </w:rPr>
            </w:pPr>
            <w:r w:rsidRPr="00AF31F3">
              <w:rPr>
                <w:sz w:val="24"/>
                <w:szCs w:val="24"/>
              </w:rPr>
              <w:t>6,4±0,6</w:t>
            </w:r>
          </w:p>
        </w:tc>
        <w:tc>
          <w:tcPr>
            <w:tcW w:w="2126" w:type="dxa"/>
            <w:noWrap/>
            <w:hideMark/>
          </w:tcPr>
          <w:p w14:paraId="2D63B98B" w14:textId="758729E7" w:rsidR="000635FC" w:rsidRPr="00AF31F3" w:rsidRDefault="000635FC" w:rsidP="006D06D7">
            <w:pPr>
              <w:rPr>
                <w:rFonts w:cs="Times New Roman"/>
                <w:bCs/>
                <w:sz w:val="24"/>
                <w:szCs w:val="24"/>
              </w:rPr>
            </w:pPr>
            <w:r w:rsidRPr="00AF31F3">
              <w:rPr>
                <w:sz w:val="24"/>
                <w:szCs w:val="24"/>
              </w:rPr>
              <w:t>8,9±0,9</w:t>
            </w:r>
          </w:p>
        </w:tc>
        <w:tc>
          <w:tcPr>
            <w:tcW w:w="3260" w:type="dxa"/>
            <w:noWrap/>
            <w:hideMark/>
          </w:tcPr>
          <w:p w14:paraId="65D1D10D" w14:textId="34A34918" w:rsidR="000635FC" w:rsidRPr="00AF31F3" w:rsidRDefault="000635FC" w:rsidP="006D06D7">
            <w:pPr>
              <w:rPr>
                <w:rFonts w:cs="Times New Roman"/>
                <w:bCs/>
                <w:sz w:val="24"/>
                <w:szCs w:val="24"/>
              </w:rPr>
            </w:pPr>
            <w:r w:rsidRPr="00AF31F3">
              <w:rPr>
                <w:sz w:val="24"/>
                <w:szCs w:val="24"/>
              </w:rPr>
              <w:t>15,1±7,2</w:t>
            </w:r>
          </w:p>
        </w:tc>
        <w:tc>
          <w:tcPr>
            <w:tcW w:w="945" w:type="dxa"/>
            <w:noWrap/>
            <w:hideMark/>
          </w:tcPr>
          <w:p w14:paraId="3D4DCB78" w14:textId="18D17950" w:rsidR="000635FC" w:rsidRPr="00AF31F3" w:rsidRDefault="000635FC" w:rsidP="006D06D7">
            <w:pPr>
              <w:rPr>
                <w:rFonts w:cs="Times New Roman"/>
                <w:bCs/>
                <w:sz w:val="24"/>
                <w:szCs w:val="24"/>
              </w:rPr>
            </w:pPr>
            <w:r w:rsidRPr="00AF31F3">
              <w:rPr>
                <w:rFonts w:cs="Times New Roman"/>
                <w:bCs/>
                <w:sz w:val="24"/>
                <w:szCs w:val="24"/>
                <w:lang w:val="en-US"/>
              </w:rPr>
              <w:t>0.02</w:t>
            </w:r>
            <w:r w:rsidR="00533796" w:rsidRPr="00AF31F3">
              <w:rPr>
                <w:rFonts w:cs="Times New Roman"/>
                <w:bCs/>
                <w:sz w:val="24"/>
                <w:szCs w:val="24"/>
              </w:rPr>
              <w:t>*</w:t>
            </w:r>
          </w:p>
        </w:tc>
      </w:tr>
      <w:tr w:rsidR="00AF31F3" w:rsidRPr="002B136D" w14:paraId="493646D7" w14:textId="77777777" w:rsidTr="00AF31F3">
        <w:trPr>
          <w:trHeight w:val="288"/>
          <w:jc w:val="center"/>
        </w:trPr>
        <w:tc>
          <w:tcPr>
            <w:tcW w:w="2082" w:type="dxa"/>
            <w:noWrap/>
            <w:hideMark/>
          </w:tcPr>
          <w:p w14:paraId="10076ACF" w14:textId="239C1C4F" w:rsidR="000635FC" w:rsidRPr="00AF31F3" w:rsidRDefault="000635FC" w:rsidP="006D06D7">
            <w:pPr>
              <w:rPr>
                <w:rFonts w:cs="Times New Roman"/>
                <w:sz w:val="24"/>
                <w:szCs w:val="24"/>
              </w:rPr>
            </w:pPr>
            <w:r w:rsidRPr="00AF31F3">
              <w:rPr>
                <w:sz w:val="24"/>
                <w:szCs w:val="24"/>
              </w:rPr>
              <w:t>ИЛ38</w:t>
            </w:r>
          </w:p>
        </w:tc>
        <w:tc>
          <w:tcPr>
            <w:tcW w:w="1134" w:type="dxa"/>
            <w:noWrap/>
            <w:hideMark/>
          </w:tcPr>
          <w:p w14:paraId="07993BE1" w14:textId="338C38F1" w:rsidR="000635FC" w:rsidRPr="00AF31F3" w:rsidRDefault="000635FC" w:rsidP="006D06D7">
            <w:pPr>
              <w:rPr>
                <w:rFonts w:cs="Times New Roman"/>
                <w:sz w:val="24"/>
                <w:szCs w:val="24"/>
              </w:rPr>
            </w:pPr>
            <w:r w:rsidRPr="00AF31F3">
              <w:rPr>
                <w:sz w:val="24"/>
                <w:szCs w:val="24"/>
              </w:rPr>
              <w:t>7,8±1,3</w:t>
            </w:r>
          </w:p>
        </w:tc>
        <w:tc>
          <w:tcPr>
            <w:tcW w:w="2126" w:type="dxa"/>
            <w:noWrap/>
            <w:hideMark/>
          </w:tcPr>
          <w:p w14:paraId="1C9ACE74" w14:textId="04000389" w:rsidR="000635FC" w:rsidRPr="00AF31F3" w:rsidRDefault="000635FC" w:rsidP="006D06D7">
            <w:pPr>
              <w:rPr>
                <w:rFonts w:cs="Times New Roman"/>
                <w:sz w:val="24"/>
                <w:szCs w:val="24"/>
              </w:rPr>
            </w:pPr>
            <w:r w:rsidRPr="00AF31F3">
              <w:rPr>
                <w:sz w:val="24"/>
                <w:szCs w:val="24"/>
              </w:rPr>
              <w:t>10,11±1,4</w:t>
            </w:r>
          </w:p>
        </w:tc>
        <w:tc>
          <w:tcPr>
            <w:tcW w:w="3260" w:type="dxa"/>
            <w:noWrap/>
            <w:hideMark/>
          </w:tcPr>
          <w:p w14:paraId="79EEF5F4" w14:textId="463E426A" w:rsidR="000635FC" w:rsidRPr="00AF31F3" w:rsidRDefault="000635FC" w:rsidP="006D06D7">
            <w:pPr>
              <w:rPr>
                <w:rFonts w:cs="Times New Roman"/>
                <w:sz w:val="24"/>
                <w:szCs w:val="24"/>
              </w:rPr>
            </w:pPr>
            <w:r w:rsidRPr="00AF31F3">
              <w:rPr>
                <w:sz w:val="24"/>
                <w:szCs w:val="24"/>
              </w:rPr>
              <w:t>6,2±0,6</w:t>
            </w:r>
          </w:p>
        </w:tc>
        <w:tc>
          <w:tcPr>
            <w:tcW w:w="945" w:type="dxa"/>
            <w:noWrap/>
            <w:hideMark/>
          </w:tcPr>
          <w:p w14:paraId="5F5E8C39" w14:textId="3727B3ED" w:rsidR="000635FC" w:rsidRPr="00AF31F3" w:rsidRDefault="000635FC" w:rsidP="006D06D7">
            <w:pPr>
              <w:rPr>
                <w:rFonts w:cs="Times New Roman"/>
                <w:sz w:val="24"/>
                <w:szCs w:val="24"/>
              </w:rPr>
            </w:pPr>
            <w:r w:rsidRPr="00AF31F3">
              <w:rPr>
                <w:rFonts w:cs="Times New Roman"/>
                <w:sz w:val="24"/>
                <w:szCs w:val="24"/>
                <w:lang w:val="en-US"/>
              </w:rPr>
              <w:t>0.03</w:t>
            </w:r>
            <w:r w:rsidR="00533796" w:rsidRPr="00AF31F3">
              <w:rPr>
                <w:rFonts w:cs="Times New Roman"/>
                <w:sz w:val="24"/>
                <w:szCs w:val="24"/>
              </w:rPr>
              <w:t>*</w:t>
            </w:r>
          </w:p>
        </w:tc>
      </w:tr>
    </w:tbl>
    <w:p w14:paraId="4599DA9F" w14:textId="77777777" w:rsidR="00D901B2" w:rsidRPr="002B136D" w:rsidRDefault="00D901B2" w:rsidP="00D901B2">
      <w:pPr>
        <w:spacing w:after="0" w:line="360" w:lineRule="auto"/>
        <w:jc w:val="center"/>
        <w:rPr>
          <w:rFonts w:cs="Times New Roman"/>
          <w:szCs w:val="28"/>
        </w:rPr>
      </w:pPr>
    </w:p>
    <w:p w14:paraId="0FA7494F" w14:textId="77777777" w:rsidR="006D06D7" w:rsidRPr="002B136D" w:rsidRDefault="006D06D7" w:rsidP="006D06D7">
      <w:pPr>
        <w:spacing w:after="0" w:line="240" w:lineRule="auto"/>
        <w:jc w:val="center"/>
        <w:rPr>
          <w:rFonts w:cs="Times New Roman"/>
          <w:b/>
          <w:sz w:val="24"/>
          <w:szCs w:val="28"/>
        </w:rPr>
      </w:pPr>
    </w:p>
    <w:p w14:paraId="0E674E45" w14:textId="7601D79D" w:rsidR="006D536A" w:rsidRPr="002B136D" w:rsidRDefault="00756CBB" w:rsidP="00192DA5">
      <w:pPr>
        <w:spacing w:after="0" w:line="360" w:lineRule="auto"/>
        <w:jc w:val="center"/>
        <w:rPr>
          <w:rFonts w:cs="Times New Roman"/>
          <w:b/>
          <w:szCs w:val="28"/>
        </w:rPr>
      </w:pPr>
      <w:r w:rsidRPr="002B136D">
        <w:rPr>
          <w:rFonts w:cs="Times New Roman"/>
          <w:b/>
          <w:noProof/>
          <w:szCs w:val="28"/>
          <w:lang w:eastAsia="ru-RU"/>
        </w:rPr>
        <w:lastRenderedPageBreak/>
        <mc:AlternateContent>
          <mc:Choice Requires="wps">
            <w:drawing>
              <wp:anchor distT="0" distB="0" distL="114300" distR="114300" simplePos="0" relativeHeight="251664896" behindDoc="0" locked="0" layoutInCell="1" allowOverlap="1" wp14:anchorId="1A5CBCB6" wp14:editId="3FB98D8F">
                <wp:simplePos x="0" y="0"/>
                <wp:positionH relativeFrom="column">
                  <wp:posOffset>1231053</wp:posOffset>
                </wp:positionH>
                <wp:positionV relativeFrom="paragraph">
                  <wp:posOffset>2338705</wp:posOffset>
                </wp:positionV>
                <wp:extent cx="4140412" cy="0"/>
                <wp:effectExtent l="38100" t="38100" r="50800" b="952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414041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98DFFB" id="Прямая соединительная линия 2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96.95pt,184.15pt" to="422.9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" strokecolor="black [3200]" strokeweight="2pt">
                <v:shadow on="t" color="black" opacity="24903f" origin=",.5" offset="0,.55556mm"/>
              </v:line>
            </w:pict>
          </mc:Fallback>
        </mc:AlternateContent>
      </w:r>
      <w:r w:rsidRPr="002B136D">
        <w:rPr>
          <w:rFonts w:cs="Times New Roman"/>
          <w:b/>
          <w:noProof/>
          <w:szCs w:val="28"/>
          <w:lang w:eastAsia="ru-RU"/>
        </w:rPr>
        <mc:AlternateContent>
          <mc:Choice Requires="wps">
            <w:drawing>
              <wp:anchor distT="0" distB="0" distL="114300" distR="114300" simplePos="0" relativeHeight="251657728" behindDoc="0" locked="0" layoutInCell="1" allowOverlap="1" wp14:anchorId="579D6AE5" wp14:editId="2A598772">
                <wp:simplePos x="0" y="0"/>
                <wp:positionH relativeFrom="column">
                  <wp:posOffset>1222798</wp:posOffset>
                </wp:positionH>
                <wp:positionV relativeFrom="paragraph">
                  <wp:posOffset>146049</wp:posOffset>
                </wp:positionV>
                <wp:extent cx="8467" cy="2192867"/>
                <wp:effectExtent l="57150" t="19050" r="67945" b="7429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8467" cy="21928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DABA45A" id="Прямая соединительная линия 23"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96.3pt,11.5pt" to="96.9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" strokecolor="black [3200]" strokeweight="2pt">
                <v:shadow on="t" color="black" opacity="24903f" origin=",.5" offset="0,.55556mm"/>
              </v:line>
            </w:pict>
          </mc:Fallback>
        </mc:AlternateContent>
      </w:r>
      <w:r w:rsidR="00D901B2" w:rsidRPr="002B136D">
        <w:rPr>
          <w:rFonts w:cs="Times New Roman"/>
          <w:b/>
          <w:noProof/>
          <w:szCs w:val="28"/>
          <w:lang w:eastAsia="ru-RU"/>
        </w:rPr>
        <w:drawing>
          <wp:inline distT="0" distB="0" distL="0" distR="0" wp14:anchorId="1423AC26" wp14:editId="683234FF">
            <wp:extent cx="4614497" cy="29948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4508" cy="2994810"/>
                    </a:xfrm>
                    <a:prstGeom prst="rect">
                      <a:avLst/>
                    </a:prstGeom>
                    <a:noFill/>
                  </pic:spPr>
                </pic:pic>
              </a:graphicData>
            </a:graphic>
          </wp:inline>
        </w:drawing>
      </w:r>
    </w:p>
    <w:p w14:paraId="118902B5" w14:textId="7486948C" w:rsidR="00AF31F3" w:rsidRPr="00AF31F3" w:rsidRDefault="00F35C00" w:rsidP="00AF31F3">
      <w:pPr>
        <w:spacing w:after="0" w:line="240" w:lineRule="auto"/>
        <w:jc w:val="center"/>
        <w:rPr>
          <w:rFonts w:cs="Times New Roman"/>
          <w:bCs/>
          <w:szCs w:val="28"/>
        </w:rPr>
      </w:pPr>
      <w:r>
        <w:rPr>
          <w:rFonts w:cs="Times New Roman"/>
          <w:bCs/>
          <w:szCs w:val="28"/>
        </w:rPr>
        <w:t xml:space="preserve">Рисунок </w:t>
      </w:r>
      <w:r w:rsidR="00AF31F3" w:rsidRPr="00AF31F3">
        <w:rPr>
          <w:rFonts w:cs="Times New Roman"/>
          <w:bCs/>
          <w:szCs w:val="28"/>
          <w:lang w:val="kk-KZ"/>
        </w:rPr>
        <w:t>2</w:t>
      </w:r>
      <w:r w:rsidR="007B402D">
        <w:rPr>
          <w:rFonts w:cs="Times New Roman"/>
          <w:bCs/>
          <w:szCs w:val="28"/>
          <w:lang w:val="kk-KZ"/>
        </w:rPr>
        <w:t>2</w:t>
      </w:r>
      <w:r w:rsidR="00AF31F3" w:rsidRPr="00AF31F3">
        <w:rPr>
          <w:rFonts w:cs="Times New Roman"/>
          <w:bCs/>
          <w:szCs w:val="28"/>
          <w:lang w:val="kk-KZ"/>
        </w:rPr>
        <w:t xml:space="preserve"> - </w:t>
      </w:r>
      <w:r w:rsidR="00AF31F3" w:rsidRPr="00AF31F3">
        <w:rPr>
          <w:rFonts w:cs="Times New Roman"/>
          <w:bCs/>
          <w:szCs w:val="28"/>
        </w:rPr>
        <w:t>Корреляция сывороточной концентрации ИЛ-17 (пг/л) с тяжестью ЭОП по классификации EUGOGO (</w:t>
      </w:r>
      <w:r w:rsidR="00AF31F3" w:rsidRPr="00AF31F3">
        <w:rPr>
          <w:rFonts w:cs="Times New Roman"/>
          <w:bCs/>
          <w:szCs w:val="28"/>
          <w:lang w:val="en-US"/>
        </w:rPr>
        <w:t>r</w:t>
      </w:r>
      <w:r w:rsidR="00AF31F3" w:rsidRPr="00AF31F3">
        <w:rPr>
          <w:rFonts w:cs="Times New Roman"/>
          <w:bCs/>
          <w:szCs w:val="28"/>
        </w:rPr>
        <w:t xml:space="preserve">=0.3/ </w:t>
      </w:r>
      <w:r w:rsidR="00AF31F3" w:rsidRPr="00AF31F3">
        <w:rPr>
          <w:rFonts w:cs="Times New Roman"/>
          <w:bCs/>
          <w:szCs w:val="28"/>
          <w:lang w:val="en-US"/>
        </w:rPr>
        <w:t>p</w:t>
      </w:r>
      <w:r w:rsidR="00AF31F3" w:rsidRPr="00AF31F3">
        <w:rPr>
          <w:rFonts w:cs="Times New Roman"/>
          <w:bCs/>
          <w:szCs w:val="28"/>
        </w:rPr>
        <w:t>=0.01)</w:t>
      </w:r>
    </w:p>
    <w:p w14:paraId="1FE78FEC" w14:textId="77777777" w:rsidR="00AF31F3" w:rsidRDefault="00AF31F3" w:rsidP="006D06D7">
      <w:pPr>
        <w:spacing w:after="0" w:line="240" w:lineRule="auto"/>
        <w:ind w:firstLine="709"/>
        <w:contextualSpacing/>
        <w:jc w:val="both"/>
        <w:rPr>
          <w:rFonts w:cs="Times New Roman"/>
          <w:szCs w:val="28"/>
        </w:rPr>
      </w:pPr>
    </w:p>
    <w:p w14:paraId="2311FEA5" w14:textId="065C59A4" w:rsidR="00533796" w:rsidRPr="002B136D" w:rsidRDefault="00477387" w:rsidP="00AF31F3">
      <w:pPr>
        <w:spacing w:after="0" w:line="240" w:lineRule="auto"/>
        <w:ind w:firstLine="567"/>
        <w:contextualSpacing/>
        <w:jc w:val="both"/>
        <w:rPr>
          <w:rFonts w:cs="Times New Roman"/>
          <w:b/>
          <w:szCs w:val="28"/>
        </w:rPr>
      </w:pPr>
      <w:r w:rsidRPr="002B136D">
        <w:rPr>
          <w:rFonts w:cs="Times New Roman"/>
          <w:szCs w:val="28"/>
        </w:rPr>
        <w:t xml:space="preserve">Мы обнаружили связь между уровнем клинической активности и тяжестью ЭОП через увеличение концентрации IL-17 и снижение уровня IL-38 в образцах. У пациентов с </w:t>
      </w:r>
      <w:r w:rsidR="005A3AE9" w:rsidRPr="002B136D">
        <w:rPr>
          <w:rFonts w:cs="Times New Roman"/>
          <w:szCs w:val="28"/>
        </w:rPr>
        <w:t>активной ЭОП концентрация IL-17</w:t>
      </w:r>
      <w:r w:rsidRPr="002B136D">
        <w:rPr>
          <w:rFonts w:cs="Times New Roman"/>
          <w:szCs w:val="28"/>
        </w:rPr>
        <w:t xml:space="preserve"> оказалась выше в слезах (p = 0,01), крови (p = 0,01) и жировой ткани (p = 0,001) по сравнению с неактивными пациентами. </w:t>
      </w:r>
      <w:r w:rsidR="009E4B7A" w:rsidRPr="002B136D">
        <w:rPr>
          <w:rFonts w:cs="Times New Roman"/>
          <w:szCs w:val="28"/>
        </w:rPr>
        <w:t>Уровни цитокинов различались в зависимост</w:t>
      </w:r>
      <w:r w:rsidR="005A3AE9" w:rsidRPr="002B136D">
        <w:rPr>
          <w:rFonts w:cs="Times New Roman"/>
          <w:szCs w:val="28"/>
        </w:rPr>
        <w:t>и от тяжести заболевания. IL-17</w:t>
      </w:r>
      <w:r w:rsidR="009E4B7A" w:rsidRPr="002B136D">
        <w:rPr>
          <w:rFonts w:cs="Times New Roman"/>
          <w:szCs w:val="28"/>
        </w:rPr>
        <w:t xml:space="preserve"> преобладал (p=0,02) с положительной корреляцией (r=0,3/ p=0,01), в то время как IL-38 был минимален у пациентов с тяжелой формой заболевания (p=0,03), но без корреляции.</w:t>
      </w:r>
    </w:p>
    <w:p w14:paraId="0462B9F1" w14:textId="77777777" w:rsidR="00533796" w:rsidRPr="002B136D" w:rsidRDefault="00533796" w:rsidP="006D06D7">
      <w:pPr>
        <w:spacing w:after="0" w:line="240" w:lineRule="auto"/>
        <w:ind w:firstLine="709"/>
        <w:contextualSpacing/>
        <w:jc w:val="both"/>
        <w:rPr>
          <w:rFonts w:cs="Times New Roman"/>
          <w:b/>
          <w:szCs w:val="28"/>
        </w:rPr>
      </w:pPr>
    </w:p>
    <w:p w14:paraId="05948B8F" w14:textId="69298CAA" w:rsidR="00A565A2" w:rsidRPr="002B136D" w:rsidRDefault="006138E1" w:rsidP="00AF31F3">
      <w:pPr>
        <w:spacing w:after="0" w:line="240" w:lineRule="auto"/>
        <w:ind w:firstLine="567"/>
        <w:contextualSpacing/>
        <w:jc w:val="both"/>
        <w:rPr>
          <w:rFonts w:cs="Times New Roman"/>
          <w:b/>
          <w:szCs w:val="28"/>
        </w:rPr>
      </w:pPr>
      <w:r w:rsidRPr="002B136D">
        <w:rPr>
          <w:rFonts w:cs="Times New Roman"/>
          <w:b/>
          <w:szCs w:val="28"/>
        </w:rPr>
        <w:t>3.</w:t>
      </w:r>
      <w:r w:rsidR="008F4CD6" w:rsidRPr="002B136D">
        <w:rPr>
          <w:rFonts w:cs="Times New Roman"/>
          <w:b/>
          <w:szCs w:val="28"/>
        </w:rPr>
        <w:t>3</w:t>
      </w:r>
      <w:r w:rsidRPr="002B136D">
        <w:rPr>
          <w:rFonts w:cs="Times New Roman"/>
          <w:b/>
          <w:szCs w:val="28"/>
        </w:rPr>
        <w:t xml:space="preserve"> </w:t>
      </w:r>
      <w:r w:rsidR="00EE2DBA" w:rsidRPr="002B136D">
        <w:rPr>
          <w:rFonts w:cs="Times New Roman"/>
          <w:b/>
          <w:szCs w:val="28"/>
        </w:rPr>
        <w:t>Гистологическа</w:t>
      </w:r>
      <w:r w:rsidR="00A565A2" w:rsidRPr="002B136D">
        <w:rPr>
          <w:rFonts w:cs="Times New Roman"/>
          <w:b/>
          <w:szCs w:val="28"/>
        </w:rPr>
        <w:t>я и иммуногистохимическая оценк</w:t>
      </w:r>
      <w:proofErr w:type="gramStart"/>
      <w:r w:rsidR="00A565A2" w:rsidRPr="002B136D">
        <w:rPr>
          <w:rFonts w:cs="Times New Roman"/>
          <w:b/>
          <w:szCs w:val="28"/>
          <w:lang w:val="en-US"/>
        </w:rPr>
        <w:t>a</w:t>
      </w:r>
      <w:proofErr w:type="gramEnd"/>
      <w:r w:rsidR="000513C5" w:rsidRPr="002B136D">
        <w:rPr>
          <w:rFonts w:cs="Times New Roman"/>
          <w:b/>
          <w:szCs w:val="28"/>
        </w:rPr>
        <w:t xml:space="preserve"> в исследуемых группах</w:t>
      </w:r>
    </w:p>
    <w:p w14:paraId="2EBA9975" w14:textId="743BB9B7" w:rsidR="00EE2DBA" w:rsidRPr="002B136D" w:rsidRDefault="00EE2DBA" w:rsidP="00AF31F3">
      <w:pPr>
        <w:spacing w:after="0" w:line="240" w:lineRule="auto"/>
        <w:ind w:firstLine="567"/>
        <w:contextualSpacing/>
        <w:jc w:val="both"/>
        <w:rPr>
          <w:rFonts w:cs="Times New Roman"/>
          <w:b/>
          <w:szCs w:val="28"/>
        </w:rPr>
      </w:pPr>
      <w:r w:rsidRPr="002B136D">
        <w:rPr>
          <w:rFonts w:cs="Times New Roman"/>
          <w:szCs w:val="28"/>
        </w:rPr>
        <w:t>Результаты гистологических и гистохимических исследований полученных образцов орбитальной жировой ткани исследуемых групп представлены на рис</w:t>
      </w:r>
      <w:r w:rsidR="00F77244" w:rsidRPr="002B136D">
        <w:rPr>
          <w:rFonts w:cs="Times New Roman"/>
          <w:szCs w:val="28"/>
        </w:rPr>
        <w:t>унке 2</w:t>
      </w:r>
      <w:r w:rsidR="007B402D">
        <w:rPr>
          <w:rFonts w:cs="Times New Roman"/>
          <w:szCs w:val="28"/>
          <w:lang w:val="kk-KZ"/>
        </w:rPr>
        <w:t>3</w:t>
      </w:r>
      <w:r w:rsidR="00F218B4" w:rsidRPr="002B136D">
        <w:rPr>
          <w:rFonts w:cs="Times New Roman"/>
          <w:szCs w:val="28"/>
        </w:rPr>
        <w:t xml:space="preserve"> (</w:t>
      </w:r>
      <w:r w:rsidR="00F218B4" w:rsidRPr="002B136D">
        <w:rPr>
          <w:rFonts w:cs="Times New Roman"/>
          <w:szCs w:val="28"/>
          <w:lang w:val="en-US"/>
        </w:rPr>
        <w:t>A</w:t>
      </w:r>
      <w:r w:rsidR="00F218B4" w:rsidRPr="002B136D">
        <w:rPr>
          <w:rFonts w:cs="Times New Roman"/>
          <w:szCs w:val="28"/>
        </w:rPr>
        <w:t>-</w:t>
      </w:r>
      <w:r w:rsidR="00F218B4" w:rsidRPr="002B136D">
        <w:rPr>
          <w:rFonts w:cs="Times New Roman"/>
          <w:szCs w:val="28"/>
          <w:lang w:val="en-US"/>
        </w:rPr>
        <w:t>F</w:t>
      </w:r>
      <w:r w:rsidR="00F218B4" w:rsidRPr="002B136D">
        <w:rPr>
          <w:rFonts w:cs="Times New Roman"/>
          <w:szCs w:val="28"/>
        </w:rPr>
        <w:t>).</w:t>
      </w:r>
    </w:p>
    <w:p w14:paraId="479DF34C" w14:textId="77777777" w:rsidR="00EE2DBA" w:rsidRPr="002B136D" w:rsidRDefault="00EE2DBA" w:rsidP="006E7629">
      <w:pPr>
        <w:spacing w:after="0" w:line="360" w:lineRule="auto"/>
        <w:jc w:val="both"/>
        <w:rPr>
          <w:rFonts w:cs="Times New Roman"/>
          <w:b/>
          <w:szCs w:val="28"/>
        </w:rPr>
      </w:pPr>
    </w:p>
    <w:p w14:paraId="118B83A1" w14:textId="77777777" w:rsidR="0087684E" w:rsidRDefault="0087684E" w:rsidP="00AF31F3">
      <w:pPr>
        <w:spacing w:after="0" w:line="360" w:lineRule="auto"/>
        <w:jc w:val="center"/>
        <w:rPr>
          <w:rFonts w:cs="Times New Roman"/>
          <w:szCs w:val="28"/>
          <w:lang w:val="kk-KZ"/>
        </w:rPr>
      </w:pPr>
      <w:r w:rsidRPr="002B136D">
        <w:rPr>
          <w:rFonts w:cs="Times New Roman"/>
          <w:noProof/>
          <w:szCs w:val="28"/>
          <w:lang w:eastAsia="ru-RU"/>
        </w:rPr>
        <w:lastRenderedPageBreak/>
        <w:drawing>
          <wp:inline distT="0" distB="0" distL="0" distR="0" wp14:anchorId="58061BA7" wp14:editId="36B2DD58">
            <wp:extent cx="2750515" cy="2889303"/>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9230" cy="2908963"/>
                    </a:xfrm>
                    <a:prstGeom prst="rect">
                      <a:avLst/>
                    </a:prstGeom>
                    <a:noFill/>
                    <a:ln>
                      <a:noFill/>
                    </a:ln>
                  </pic:spPr>
                </pic:pic>
              </a:graphicData>
            </a:graphic>
          </wp:inline>
        </w:drawing>
      </w:r>
    </w:p>
    <w:p w14:paraId="677038C6" w14:textId="79E7819C" w:rsidR="00AF31F3" w:rsidRPr="00AF31F3" w:rsidRDefault="00AF31F3" w:rsidP="00AF31F3">
      <w:pPr>
        <w:spacing w:after="0" w:line="360" w:lineRule="auto"/>
        <w:jc w:val="center"/>
        <w:rPr>
          <w:rFonts w:cs="Times New Roman"/>
          <w:sz w:val="24"/>
          <w:szCs w:val="24"/>
          <w:lang w:val="kk-KZ"/>
        </w:rPr>
      </w:pPr>
      <w:r w:rsidRPr="00AF31F3">
        <w:rPr>
          <w:rFonts w:cs="Times New Roman"/>
          <w:sz w:val="24"/>
          <w:szCs w:val="24"/>
          <w:lang w:val="kk-KZ"/>
        </w:rPr>
        <w:t>А)</w:t>
      </w:r>
    </w:p>
    <w:p w14:paraId="347E3623" w14:textId="3DDE6BF2" w:rsidR="000513C5" w:rsidRDefault="00AF31F3" w:rsidP="00AF31F3">
      <w:pPr>
        <w:spacing w:after="0" w:line="240" w:lineRule="auto"/>
        <w:contextualSpacing/>
        <w:jc w:val="center"/>
        <w:rPr>
          <w:rFonts w:cs="Times New Roman"/>
          <w:bCs/>
          <w:sz w:val="24"/>
          <w:szCs w:val="28"/>
        </w:rPr>
      </w:pPr>
      <w:proofErr w:type="gramStart"/>
      <w:r w:rsidRPr="00AF31F3">
        <w:rPr>
          <w:rFonts w:cs="Times New Roman"/>
          <w:bCs/>
          <w:sz w:val="24"/>
          <w:szCs w:val="28"/>
        </w:rPr>
        <w:t>А-</w:t>
      </w:r>
      <w:proofErr w:type="gramEnd"/>
      <w:r w:rsidRPr="00AF31F3">
        <w:rPr>
          <w:rFonts w:cs="Times New Roman"/>
          <w:bCs/>
          <w:sz w:val="24"/>
          <w:szCs w:val="28"/>
        </w:rPr>
        <w:t xml:space="preserve"> контрольная группа, жировая ткань обычного гистологического строения, увеличение х 100</w:t>
      </w:r>
    </w:p>
    <w:p w14:paraId="625B1305" w14:textId="77777777" w:rsidR="00AF31F3" w:rsidRPr="00AF31F3" w:rsidRDefault="00AF31F3" w:rsidP="00AF31F3">
      <w:pPr>
        <w:spacing w:after="0" w:line="240" w:lineRule="auto"/>
        <w:contextualSpacing/>
        <w:jc w:val="center"/>
        <w:rPr>
          <w:rFonts w:cs="Times New Roman"/>
          <w:bCs/>
          <w:sz w:val="24"/>
          <w:szCs w:val="28"/>
        </w:rPr>
      </w:pPr>
    </w:p>
    <w:p w14:paraId="70EEE55E" w14:textId="2AE11D4D" w:rsidR="0087684E" w:rsidRPr="00AF31F3" w:rsidRDefault="0087684E" w:rsidP="00AF31F3">
      <w:pPr>
        <w:spacing w:after="0" w:line="360" w:lineRule="auto"/>
        <w:jc w:val="center"/>
        <w:rPr>
          <w:rFonts w:cs="Times New Roman"/>
          <w:sz w:val="24"/>
          <w:szCs w:val="24"/>
          <w:lang w:val="kk-KZ"/>
        </w:rPr>
      </w:pPr>
      <w:r w:rsidRPr="00AF31F3">
        <w:rPr>
          <w:rFonts w:cs="Times New Roman"/>
          <w:noProof/>
          <w:sz w:val="24"/>
          <w:szCs w:val="24"/>
          <w:lang w:eastAsia="ru-RU"/>
        </w:rPr>
        <w:drawing>
          <wp:inline distT="0" distB="0" distL="0" distR="0" wp14:anchorId="5B2D5C47" wp14:editId="2113F45C">
            <wp:extent cx="2838298" cy="2927392"/>
            <wp:effectExtent l="0" t="0" r="63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4896" cy="2954824"/>
                    </a:xfrm>
                    <a:prstGeom prst="rect">
                      <a:avLst/>
                    </a:prstGeom>
                    <a:noFill/>
                    <a:ln>
                      <a:noFill/>
                    </a:ln>
                  </pic:spPr>
                </pic:pic>
              </a:graphicData>
            </a:graphic>
          </wp:inline>
        </w:drawing>
      </w:r>
    </w:p>
    <w:p w14:paraId="6D3A978A" w14:textId="4CF08408" w:rsidR="00AF31F3" w:rsidRPr="00AF31F3" w:rsidRDefault="00AF31F3" w:rsidP="00AF31F3">
      <w:pPr>
        <w:spacing w:after="0" w:line="360" w:lineRule="auto"/>
        <w:jc w:val="center"/>
        <w:rPr>
          <w:rFonts w:cs="Times New Roman"/>
          <w:sz w:val="24"/>
          <w:szCs w:val="24"/>
          <w:lang w:val="kk-KZ"/>
        </w:rPr>
      </w:pPr>
      <w:r w:rsidRPr="00AF31F3">
        <w:rPr>
          <w:rFonts w:cs="Times New Roman"/>
          <w:sz w:val="24"/>
          <w:szCs w:val="24"/>
          <w:lang w:val="kk-KZ"/>
        </w:rPr>
        <w:t>В)</w:t>
      </w:r>
    </w:p>
    <w:p w14:paraId="56D88B10" w14:textId="5CA9D974" w:rsidR="00AF31F3" w:rsidRPr="00AF31F3" w:rsidRDefault="00AF31F3" w:rsidP="00AF31F3">
      <w:pPr>
        <w:spacing w:after="0" w:line="240" w:lineRule="auto"/>
        <w:contextualSpacing/>
        <w:jc w:val="center"/>
        <w:rPr>
          <w:rFonts w:cs="Times New Roman"/>
          <w:bCs/>
          <w:sz w:val="24"/>
          <w:szCs w:val="28"/>
        </w:rPr>
      </w:pPr>
      <w:proofErr w:type="gramStart"/>
      <w:r w:rsidRPr="00AF31F3">
        <w:rPr>
          <w:rFonts w:cs="Times New Roman"/>
          <w:bCs/>
          <w:sz w:val="24"/>
          <w:szCs w:val="28"/>
        </w:rPr>
        <w:t>В</w:t>
      </w:r>
      <w:proofErr w:type="gramEnd"/>
      <w:r>
        <w:rPr>
          <w:rFonts w:cs="Times New Roman"/>
          <w:bCs/>
          <w:sz w:val="24"/>
          <w:szCs w:val="28"/>
        </w:rPr>
        <w:t xml:space="preserve"> </w:t>
      </w:r>
      <w:r w:rsidRPr="00AF31F3">
        <w:rPr>
          <w:rFonts w:cs="Times New Roman"/>
          <w:bCs/>
          <w:sz w:val="24"/>
          <w:szCs w:val="28"/>
        </w:rPr>
        <w:t xml:space="preserve">- </w:t>
      </w:r>
      <w:proofErr w:type="gramStart"/>
      <w:r w:rsidRPr="00AF31F3">
        <w:rPr>
          <w:rFonts w:cs="Times New Roman"/>
          <w:bCs/>
          <w:sz w:val="24"/>
          <w:szCs w:val="28"/>
        </w:rPr>
        <w:t>активная</w:t>
      </w:r>
      <w:proofErr w:type="gramEnd"/>
      <w:r w:rsidRPr="00AF31F3">
        <w:rPr>
          <w:rFonts w:cs="Times New Roman"/>
          <w:bCs/>
          <w:sz w:val="24"/>
          <w:szCs w:val="28"/>
        </w:rPr>
        <w:t xml:space="preserve"> форма ЭОП, очаговая инфильтрация лимфоцитами, гистиоцитами, плазматическими клетками, выраженный склероз, сосудистое полнокровие, увеличение х 200</w:t>
      </w:r>
    </w:p>
    <w:p w14:paraId="797F5DE0" w14:textId="77777777" w:rsidR="00AF31F3" w:rsidRPr="00AF31F3" w:rsidRDefault="00AF31F3" w:rsidP="00AF31F3">
      <w:pPr>
        <w:spacing w:after="0" w:line="240" w:lineRule="auto"/>
        <w:contextualSpacing/>
        <w:jc w:val="center"/>
        <w:rPr>
          <w:rFonts w:cs="Times New Roman"/>
          <w:bCs/>
          <w:szCs w:val="28"/>
        </w:rPr>
      </w:pPr>
    </w:p>
    <w:p w14:paraId="17E2379E" w14:textId="5A1E0AE8" w:rsidR="0087684E" w:rsidRPr="00AF31F3" w:rsidRDefault="003365B3" w:rsidP="00AF31F3">
      <w:pPr>
        <w:spacing w:after="0" w:line="240" w:lineRule="auto"/>
        <w:contextualSpacing/>
        <w:jc w:val="center"/>
        <w:rPr>
          <w:rFonts w:cs="Times New Roman"/>
          <w:bCs/>
          <w:szCs w:val="28"/>
        </w:rPr>
      </w:pPr>
      <w:r w:rsidRPr="00AF31F3">
        <w:rPr>
          <w:rFonts w:cs="Times New Roman"/>
          <w:bCs/>
          <w:szCs w:val="28"/>
          <w:lang w:val="kk-KZ"/>
        </w:rPr>
        <w:t xml:space="preserve">Рисунок </w:t>
      </w:r>
      <w:r w:rsidR="00160A99" w:rsidRPr="00AF31F3">
        <w:rPr>
          <w:rFonts w:cs="Times New Roman"/>
          <w:bCs/>
          <w:szCs w:val="28"/>
          <w:lang w:val="kk-KZ"/>
        </w:rPr>
        <w:t>2</w:t>
      </w:r>
      <w:r w:rsidR="007B402D">
        <w:rPr>
          <w:rFonts w:cs="Times New Roman"/>
          <w:bCs/>
          <w:szCs w:val="28"/>
          <w:lang w:val="kk-KZ"/>
        </w:rPr>
        <w:t>3</w:t>
      </w:r>
      <w:r w:rsidR="00AF31F3" w:rsidRPr="00AF31F3">
        <w:rPr>
          <w:rFonts w:cs="Times New Roman"/>
          <w:bCs/>
          <w:szCs w:val="28"/>
        </w:rPr>
        <w:t xml:space="preserve"> -</w:t>
      </w:r>
      <w:r w:rsidR="0087684E" w:rsidRPr="00AF31F3">
        <w:rPr>
          <w:rFonts w:cs="Times New Roman"/>
          <w:bCs/>
          <w:szCs w:val="28"/>
        </w:rPr>
        <w:t xml:space="preserve"> Гистологическая и гистохимическая картина полученных образцов орбитальной жировой клетчатки </w:t>
      </w:r>
      <w:r w:rsidR="0087684E" w:rsidRPr="00AF31F3">
        <w:rPr>
          <w:rFonts w:cs="Times New Roman"/>
          <w:bCs/>
          <w:szCs w:val="28"/>
          <w:lang w:val="kk-KZ"/>
        </w:rPr>
        <w:t xml:space="preserve">в </w:t>
      </w:r>
      <w:r w:rsidR="0087684E" w:rsidRPr="00AF31F3">
        <w:rPr>
          <w:rFonts w:cs="Times New Roman"/>
          <w:bCs/>
          <w:szCs w:val="28"/>
        </w:rPr>
        <w:t>исследуемых групп</w:t>
      </w:r>
      <w:r w:rsidR="0087684E" w:rsidRPr="00AF31F3">
        <w:rPr>
          <w:rFonts w:cs="Times New Roman"/>
          <w:bCs/>
          <w:szCs w:val="28"/>
          <w:lang w:val="kk-KZ"/>
        </w:rPr>
        <w:t>ах</w:t>
      </w:r>
      <w:r w:rsidR="00AF31F3">
        <w:rPr>
          <w:rFonts w:cs="Times New Roman"/>
          <w:bCs/>
          <w:szCs w:val="28"/>
          <w:lang w:val="kk-KZ"/>
        </w:rPr>
        <w:t>, лист 1</w:t>
      </w:r>
    </w:p>
    <w:p w14:paraId="5C7C7499" w14:textId="77777777" w:rsidR="0087684E" w:rsidRDefault="0087684E" w:rsidP="00AF31F3">
      <w:pPr>
        <w:spacing w:after="0" w:line="360" w:lineRule="auto"/>
        <w:jc w:val="center"/>
        <w:rPr>
          <w:rFonts w:cs="Times New Roman"/>
          <w:szCs w:val="28"/>
          <w:lang w:val="kk-KZ"/>
        </w:rPr>
      </w:pPr>
      <w:r w:rsidRPr="002B136D">
        <w:rPr>
          <w:rFonts w:cs="Times New Roman"/>
          <w:noProof/>
          <w:szCs w:val="28"/>
          <w:lang w:eastAsia="ru-RU"/>
        </w:rPr>
        <w:lastRenderedPageBreak/>
        <w:drawing>
          <wp:inline distT="0" distB="0" distL="0" distR="0" wp14:anchorId="26ADBE8F" wp14:editId="4F9FDC87">
            <wp:extent cx="2991917" cy="32588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2414" cy="3270235"/>
                    </a:xfrm>
                    <a:prstGeom prst="rect">
                      <a:avLst/>
                    </a:prstGeom>
                    <a:noFill/>
                    <a:ln>
                      <a:noFill/>
                    </a:ln>
                  </pic:spPr>
                </pic:pic>
              </a:graphicData>
            </a:graphic>
          </wp:inline>
        </w:drawing>
      </w:r>
    </w:p>
    <w:p w14:paraId="3CE89560" w14:textId="58A09D60" w:rsidR="00AF31F3" w:rsidRDefault="00AF31F3" w:rsidP="00AF31F3">
      <w:pPr>
        <w:spacing w:after="0" w:line="360" w:lineRule="auto"/>
        <w:jc w:val="center"/>
        <w:rPr>
          <w:rFonts w:cs="Times New Roman"/>
          <w:sz w:val="24"/>
          <w:szCs w:val="24"/>
          <w:lang w:val="kk-KZ"/>
        </w:rPr>
      </w:pPr>
      <w:r w:rsidRPr="00AF31F3">
        <w:rPr>
          <w:rFonts w:cs="Times New Roman"/>
          <w:sz w:val="24"/>
          <w:szCs w:val="24"/>
          <w:lang w:val="kk-KZ"/>
        </w:rPr>
        <w:t>С)</w:t>
      </w:r>
    </w:p>
    <w:p w14:paraId="073B75A9" w14:textId="77777777" w:rsidR="00AF31F3" w:rsidRPr="00AF31F3" w:rsidRDefault="00AF31F3" w:rsidP="00AF31F3">
      <w:pPr>
        <w:spacing w:after="0" w:line="360" w:lineRule="auto"/>
        <w:jc w:val="center"/>
        <w:rPr>
          <w:rFonts w:cs="Times New Roman"/>
          <w:sz w:val="16"/>
          <w:szCs w:val="16"/>
          <w:lang w:val="kk-KZ"/>
        </w:rPr>
      </w:pPr>
    </w:p>
    <w:p w14:paraId="36F72009" w14:textId="49110850" w:rsidR="00AF31F3" w:rsidRPr="00AF31F3" w:rsidRDefault="00AF31F3" w:rsidP="00AF31F3">
      <w:pPr>
        <w:spacing w:after="0" w:line="240" w:lineRule="auto"/>
        <w:contextualSpacing/>
        <w:jc w:val="center"/>
        <w:rPr>
          <w:rFonts w:cs="Times New Roman"/>
          <w:bCs/>
          <w:sz w:val="24"/>
          <w:szCs w:val="24"/>
          <w:lang w:val="kk-KZ"/>
        </w:rPr>
      </w:pPr>
      <w:proofErr w:type="gramStart"/>
      <w:r w:rsidRPr="00AF31F3">
        <w:rPr>
          <w:rFonts w:cs="Times New Roman"/>
          <w:bCs/>
          <w:sz w:val="24"/>
          <w:szCs w:val="24"/>
        </w:rPr>
        <w:t>С</w:t>
      </w:r>
      <w:proofErr w:type="gramEnd"/>
      <w:r>
        <w:rPr>
          <w:rFonts w:cs="Times New Roman"/>
          <w:bCs/>
          <w:sz w:val="24"/>
          <w:szCs w:val="24"/>
        </w:rPr>
        <w:t xml:space="preserve"> </w:t>
      </w:r>
      <w:r w:rsidRPr="00AF31F3">
        <w:rPr>
          <w:rFonts w:cs="Times New Roman"/>
          <w:bCs/>
          <w:sz w:val="24"/>
          <w:szCs w:val="24"/>
        </w:rPr>
        <w:t>-</w:t>
      </w:r>
      <w:r>
        <w:rPr>
          <w:rFonts w:cs="Times New Roman"/>
          <w:bCs/>
          <w:sz w:val="24"/>
          <w:szCs w:val="24"/>
        </w:rPr>
        <w:t xml:space="preserve"> </w:t>
      </w:r>
      <w:proofErr w:type="gramStart"/>
      <w:r w:rsidRPr="00AF31F3">
        <w:rPr>
          <w:rFonts w:cs="Times New Roman"/>
          <w:bCs/>
          <w:sz w:val="24"/>
          <w:szCs w:val="24"/>
        </w:rPr>
        <w:t>неактивная</w:t>
      </w:r>
      <w:proofErr w:type="gramEnd"/>
      <w:r w:rsidRPr="00AF31F3">
        <w:rPr>
          <w:rFonts w:cs="Times New Roman"/>
          <w:bCs/>
          <w:sz w:val="24"/>
          <w:szCs w:val="24"/>
        </w:rPr>
        <w:t xml:space="preserve"> форма ЭОП, очаговая инфильтрация лимфоцитами, гистиоцитами, плазматическими клетками, периваскулярный склероз нарастает в 100 раз</w:t>
      </w:r>
    </w:p>
    <w:p w14:paraId="0DB5E8CB" w14:textId="77777777" w:rsidR="000513C5" w:rsidRPr="002B136D" w:rsidRDefault="000513C5" w:rsidP="006E7629">
      <w:pPr>
        <w:spacing w:after="0" w:line="360" w:lineRule="auto"/>
        <w:jc w:val="both"/>
        <w:rPr>
          <w:rFonts w:cs="Times New Roman"/>
          <w:szCs w:val="28"/>
        </w:rPr>
      </w:pPr>
    </w:p>
    <w:p w14:paraId="56318FAB" w14:textId="77777777" w:rsidR="0087684E" w:rsidRPr="002B136D" w:rsidRDefault="0087684E" w:rsidP="00AF31F3">
      <w:pPr>
        <w:spacing w:after="0" w:line="360" w:lineRule="auto"/>
        <w:jc w:val="center"/>
        <w:rPr>
          <w:rFonts w:cs="Times New Roman"/>
          <w:szCs w:val="28"/>
          <w:lang w:val="kk-KZ"/>
        </w:rPr>
      </w:pPr>
      <w:r w:rsidRPr="002B136D">
        <w:rPr>
          <w:rFonts w:cs="Times New Roman"/>
          <w:noProof/>
          <w:szCs w:val="28"/>
          <w:lang w:eastAsia="ru-RU"/>
        </w:rPr>
        <w:drawing>
          <wp:inline distT="0" distB="0" distL="0" distR="0" wp14:anchorId="71FE99E1" wp14:editId="175144B7">
            <wp:extent cx="3252851" cy="2926080"/>
            <wp:effectExtent l="0" t="0" r="508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7229" cy="2939013"/>
                    </a:xfrm>
                    <a:prstGeom prst="rect">
                      <a:avLst/>
                    </a:prstGeom>
                    <a:noFill/>
                    <a:ln>
                      <a:noFill/>
                    </a:ln>
                  </pic:spPr>
                </pic:pic>
              </a:graphicData>
            </a:graphic>
          </wp:inline>
        </w:drawing>
      </w:r>
    </w:p>
    <w:p w14:paraId="1EE03144" w14:textId="7A5D1FF3" w:rsidR="00AF31F3" w:rsidRDefault="00AF31F3" w:rsidP="00AF31F3">
      <w:pPr>
        <w:spacing w:after="0" w:line="240" w:lineRule="auto"/>
        <w:contextualSpacing/>
        <w:jc w:val="center"/>
        <w:rPr>
          <w:rFonts w:cs="Times New Roman"/>
          <w:bCs/>
          <w:sz w:val="24"/>
          <w:szCs w:val="28"/>
        </w:rPr>
      </w:pPr>
      <w:r w:rsidRPr="00AF31F3">
        <w:rPr>
          <w:rFonts w:cs="Times New Roman"/>
          <w:bCs/>
          <w:sz w:val="24"/>
          <w:szCs w:val="28"/>
          <w:lang w:val="en-US"/>
        </w:rPr>
        <w:t>D</w:t>
      </w:r>
      <w:r>
        <w:rPr>
          <w:rFonts w:cs="Times New Roman"/>
          <w:bCs/>
          <w:sz w:val="24"/>
          <w:szCs w:val="28"/>
        </w:rPr>
        <w:t>)</w:t>
      </w:r>
    </w:p>
    <w:p w14:paraId="422043D9" w14:textId="77777777" w:rsidR="00AF31F3" w:rsidRDefault="00AF31F3" w:rsidP="00AF31F3">
      <w:pPr>
        <w:spacing w:after="0" w:line="240" w:lineRule="auto"/>
        <w:contextualSpacing/>
        <w:jc w:val="center"/>
        <w:rPr>
          <w:rFonts w:cs="Times New Roman"/>
          <w:bCs/>
          <w:sz w:val="24"/>
          <w:szCs w:val="28"/>
        </w:rPr>
      </w:pPr>
    </w:p>
    <w:p w14:paraId="331A8846" w14:textId="3CF85BA2" w:rsidR="00AF31F3" w:rsidRPr="00AF31F3" w:rsidRDefault="00AF31F3" w:rsidP="00AF31F3">
      <w:pPr>
        <w:spacing w:after="0" w:line="240" w:lineRule="auto"/>
        <w:contextualSpacing/>
        <w:jc w:val="center"/>
        <w:rPr>
          <w:rFonts w:cs="Times New Roman"/>
          <w:bCs/>
          <w:sz w:val="24"/>
          <w:szCs w:val="28"/>
        </w:rPr>
      </w:pPr>
      <w:r w:rsidRPr="00AF31F3">
        <w:rPr>
          <w:rFonts w:cs="Times New Roman"/>
          <w:bCs/>
          <w:sz w:val="24"/>
          <w:szCs w:val="28"/>
          <w:lang w:val="en-US"/>
        </w:rPr>
        <w:t>D</w:t>
      </w:r>
      <w:r w:rsidRPr="00AF31F3">
        <w:rPr>
          <w:rFonts w:cs="Times New Roman"/>
          <w:bCs/>
          <w:sz w:val="24"/>
          <w:szCs w:val="28"/>
        </w:rPr>
        <w:t xml:space="preserve">- </w:t>
      </w:r>
      <w:proofErr w:type="gramStart"/>
      <w:r w:rsidRPr="00AF31F3">
        <w:rPr>
          <w:rFonts w:cs="Times New Roman"/>
          <w:bCs/>
          <w:sz w:val="24"/>
          <w:szCs w:val="28"/>
        </w:rPr>
        <w:t>контрольная</w:t>
      </w:r>
      <w:proofErr w:type="gramEnd"/>
      <w:r w:rsidRPr="00AF31F3">
        <w:rPr>
          <w:rFonts w:cs="Times New Roman"/>
          <w:bCs/>
          <w:sz w:val="24"/>
          <w:szCs w:val="28"/>
        </w:rPr>
        <w:t xml:space="preserve"> группа, иммуногистохимическое исследование с </w:t>
      </w:r>
      <w:r w:rsidRPr="00AF31F3">
        <w:rPr>
          <w:rFonts w:cs="Times New Roman"/>
          <w:bCs/>
          <w:sz w:val="24"/>
          <w:szCs w:val="28"/>
          <w:lang w:val="en-US"/>
        </w:rPr>
        <w:t>IL</w:t>
      </w:r>
      <w:r w:rsidRPr="00AF31F3">
        <w:rPr>
          <w:rFonts w:cs="Times New Roman"/>
          <w:bCs/>
          <w:sz w:val="24"/>
          <w:szCs w:val="28"/>
        </w:rPr>
        <w:t>-17, экспрессия отсутствует, увеличение х 100</w:t>
      </w:r>
    </w:p>
    <w:p w14:paraId="143A93F6" w14:textId="77777777" w:rsidR="00AF31F3" w:rsidRPr="00AF31F3" w:rsidRDefault="00AF31F3" w:rsidP="00AF31F3">
      <w:pPr>
        <w:spacing w:after="0" w:line="240" w:lineRule="auto"/>
        <w:contextualSpacing/>
        <w:jc w:val="center"/>
        <w:rPr>
          <w:rFonts w:cs="Times New Roman"/>
          <w:bCs/>
          <w:szCs w:val="28"/>
        </w:rPr>
      </w:pPr>
    </w:p>
    <w:p w14:paraId="466169E3" w14:textId="739E41DA" w:rsidR="0087684E" w:rsidRPr="00AF31F3" w:rsidRDefault="003365B3" w:rsidP="00AF31F3">
      <w:pPr>
        <w:spacing w:after="0" w:line="240" w:lineRule="auto"/>
        <w:contextualSpacing/>
        <w:jc w:val="center"/>
        <w:rPr>
          <w:rFonts w:cs="Times New Roman"/>
          <w:bCs/>
          <w:szCs w:val="28"/>
        </w:rPr>
      </w:pPr>
      <w:r w:rsidRPr="00AF31F3">
        <w:rPr>
          <w:rFonts w:cs="Times New Roman"/>
          <w:bCs/>
          <w:szCs w:val="28"/>
          <w:lang w:val="kk-KZ"/>
        </w:rPr>
        <w:t xml:space="preserve">Рисунок </w:t>
      </w:r>
      <w:r w:rsidR="00F77244" w:rsidRPr="00AF31F3">
        <w:rPr>
          <w:rFonts w:cs="Times New Roman"/>
          <w:bCs/>
          <w:szCs w:val="28"/>
          <w:lang w:val="kk-KZ"/>
        </w:rPr>
        <w:t>2</w:t>
      </w:r>
      <w:r w:rsidR="007B402D">
        <w:rPr>
          <w:rFonts w:cs="Times New Roman"/>
          <w:bCs/>
          <w:szCs w:val="28"/>
          <w:lang w:val="kk-KZ"/>
        </w:rPr>
        <w:t>3</w:t>
      </w:r>
      <w:r w:rsidR="00AF31F3">
        <w:rPr>
          <w:rFonts w:cs="Times New Roman"/>
          <w:bCs/>
          <w:szCs w:val="28"/>
        </w:rPr>
        <w:t>, лист 2</w:t>
      </w:r>
    </w:p>
    <w:p w14:paraId="22281058" w14:textId="77777777" w:rsidR="0087684E" w:rsidRPr="002B136D" w:rsidRDefault="0087684E" w:rsidP="006D06D7">
      <w:pPr>
        <w:spacing w:after="0" w:line="240" w:lineRule="auto"/>
        <w:contextualSpacing/>
        <w:jc w:val="both"/>
        <w:rPr>
          <w:rFonts w:cs="Times New Roman"/>
          <w:sz w:val="24"/>
          <w:szCs w:val="28"/>
        </w:rPr>
      </w:pPr>
    </w:p>
    <w:p w14:paraId="7607C281" w14:textId="77777777" w:rsidR="0087684E" w:rsidRPr="002B136D" w:rsidRDefault="0087684E" w:rsidP="00AF31F3">
      <w:pPr>
        <w:spacing w:after="0" w:line="360" w:lineRule="auto"/>
        <w:jc w:val="center"/>
        <w:rPr>
          <w:rFonts w:cs="Times New Roman"/>
          <w:szCs w:val="28"/>
          <w:lang w:val="kk-KZ"/>
        </w:rPr>
      </w:pPr>
      <w:r w:rsidRPr="002B136D">
        <w:rPr>
          <w:rFonts w:cs="Times New Roman"/>
          <w:noProof/>
          <w:szCs w:val="28"/>
          <w:lang w:eastAsia="ru-RU"/>
        </w:rPr>
        <w:lastRenderedPageBreak/>
        <w:drawing>
          <wp:inline distT="0" distB="0" distL="0" distR="0" wp14:anchorId="0A1480F5" wp14:editId="5E23307E">
            <wp:extent cx="3083648" cy="2711958"/>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5708" cy="2740153"/>
                    </a:xfrm>
                    <a:prstGeom prst="rect">
                      <a:avLst/>
                    </a:prstGeom>
                    <a:noFill/>
                    <a:ln>
                      <a:noFill/>
                    </a:ln>
                  </pic:spPr>
                </pic:pic>
              </a:graphicData>
            </a:graphic>
          </wp:inline>
        </w:drawing>
      </w:r>
    </w:p>
    <w:p w14:paraId="71A06018" w14:textId="7BBBE067" w:rsidR="00AF31F3" w:rsidRDefault="00AF31F3" w:rsidP="00AF31F3">
      <w:pPr>
        <w:spacing w:after="0" w:line="240" w:lineRule="auto"/>
        <w:jc w:val="center"/>
        <w:rPr>
          <w:rFonts w:cs="Times New Roman"/>
          <w:bCs/>
          <w:sz w:val="24"/>
          <w:szCs w:val="28"/>
        </w:rPr>
      </w:pPr>
      <w:r>
        <w:rPr>
          <w:rFonts w:cs="Times New Roman"/>
          <w:bCs/>
          <w:sz w:val="24"/>
          <w:szCs w:val="28"/>
        </w:rPr>
        <w:t>Е)</w:t>
      </w:r>
    </w:p>
    <w:p w14:paraId="20EF7163" w14:textId="77777777" w:rsidR="00AF31F3" w:rsidRDefault="00AF31F3" w:rsidP="00AF31F3">
      <w:pPr>
        <w:spacing w:after="0" w:line="240" w:lineRule="auto"/>
        <w:jc w:val="center"/>
        <w:rPr>
          <w:rFonts w:cs="Times New Roman"/>
          <w:bCs/>
          <w:sz w:val="24"/>
          <w:szCs w:val="28"/>
        </w:rPr>
      </w:pPr>
    </w:p>
    <w:p w14:paraId="22BDB418" w14:textId="309360A5" w:rsidR="0087684E" w:rsidRPr="00AF31F3" w:rsidRDefault="00AF31F3" w:rsidP="00AF31F3">
      <w:pPr>
        <w:spacing w:after="0" w:line="240" w:lineRule="auto"/>
        <w:jc w:val="center"/>
        <w:rPr>
          <w:rFonts w:cs="Times New Roman"/>
          <w:bCs/>
          <w:szCs w:val="28"/>
          <w:lang w:val="kk-KZ"/>
        </w:rPr>
      </w:pPr>
      <w:r w:rsidRPr="00AF31F3">
        <w:rPr>
          <w:rFonts w:cs="Times New Roman"/>
          <w:bCs/>
          <w:sz w:val="24"/>
          <w:szCs w:val="28"/>
        </w:rPr>
        <w:t xml:space="preserve">Е - активная форма ЭОП, иммуногистохимическое исследование, экспрессия </w:t>
      </w:r>
      <w:r w:rsidRPr="00AF31F3">
        <w:rPr>
          <w:rFonts w:cs="Times New Roman"/>
          <w:bCs/>
          <w:sz w:val="24"/>
          <w:szCs w:val="28"/>
          <w:lang w:val="en-US"/>
        </w:rPr>
        <w:t>IL</w:t>
      </w:r>
      <w:r w:rsidRPr="00AF31F3">
        <w:rPr>
          <w:rFonts w:cs="Times New Roman"/>
          <w:bCs/>
          <w:sz w:val="24"/>
          <w:szCs w:val="28"/>
        </w:rPr>
        <w:t>-17, увеличение х 200</w:t>
      </w:r>
    </w:p>
    <w:p w14:paraId="62B2BF7A" w14:textId="1ABD716D" w:rsidR="0087684E" w:rsidRPr="002B136D" w:rsidRDefault="00AF31F3" w:rsidP="006D06D7">
      <w:pPr>
        <w:spacing w:after="0" w:line="240" w:lineRule="auto"/>
        <w:contextualSpacing/>
        <w:jc w:val="both"/>
        <w:rPr>
          <w:rFonts w:cs="Times New Roman"/>
          <w:b/>
          <w:sz w:val="24"/>
          <w:szCs w:val="28"/>
        </w:rPr>
      </w:pPr>
      <w:r>
        <w:rPr>
          <w:rFonts w:cs="Times New Roman"/>
          <w:b/>
          <w:sz w:val="24"/>
          <w:szCs w:val="28"/>
          <w:lang w:val="kk-KZ"/>
        </w:rPr>
        <w:t xml:space="preserve"> </w:t>
      </w:r>
    </w:p>
    <w:p w14:paraId="25B8E823" w14:textId="77777777" w:rsidR="006D06D7" w:rsidRPr="009E575B" w:rsidRDefault="006D06D7" w:rsidP="006D06D7">
      <w:pPr>
        <w:spacing w:after="0" w:line="240" w:lineRule="auto"/>
        <w:contextualSpacing/>
        <w:jc w:val="both"/>
        <w:rPr>
          <w:rFonts w:cs="Times New Roman"/>
          <w:b/>
          <w:sz w:val="16"/>
          <w:szCs w:val="16"/>
        </w:rPr>
      </w:pPr>
    </w:p>
    <w:p w14:paraId="2D117F3D" w14:textId="5268FCE5" w:rsidR="009E575B" w:rsidRPr="009E575B" w:rsidRDefault="0087684E" w:rsidP="009E575B">
      <w:pPr>
        <w:spacing w:after="0" w:line="360" w:lineRule="auto"/>
        <w:jc w:val="center"/>
        <w:rPr>
          <w:rFonts w:cs="Times New Roman"/>
          <w:szCs w:val="28"/>
          <w:lang w:val="kk-KZ"/>
        </w:rPr>
      </w:pPr>
      <w:r w:rsidRPr="002B136D">
        <w:rPr>
          <w:rFonts w:cs="Times New Roman"/>
          <w:noProof/>
          <w:szCs w:val="28"/>
          <w:lang w:eastAsia="ru-RU"/>
        </w:rPr>
        <w:drawing>
          <wp:inline distT="0" distB="0" distL="0" distR="0" wp14:anchorId="5BF77E6B" wp14:editId="25CD6820">
            <wp:extent cx="3101645" cy="288219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9153" cy="2907752"/>
                    </a:xfrm>
                    <a:prstGeom prst="rect">
                      <a:avLst/>
                    </a:prstGeom>
                    <a:noFill/>
                    <a:ln>
                      <a:noFill/>
                    </a:ln>
                  </pic:spPr>
                </pic:pic>
              </a:graphicData>
            </a:graphic>
          </wp:inline>
        </w:drawing>
      </w:r>
    </w:p>
    <w:p w14:paraId="4160CFA6" w14:textId="244DD9DC" w:rsidR="009E575B" w:rsidRDefault="009E575B" w:rsidP="009E575B">
      <w:pPr>
        <w:spacing w:after="0" w:line="240" w:lineRule="auto"/>
        <w:contextualSpacing/>
        <w:jc w:val="center"/>
        <w:rPr>
          <w:rFonts w:cs="Times New Roman"/>
          <w:bCs/>
          <w:sz w:val="24"/>
          <w:szCs w:val="28"/>
        </w:rPr>
      </w:pPr>
      <w:r w:rsidRPr="009E575B">
        <w:rPr>
          <w:rFonts w:cs="Times New Roman"/>
          <w:bCs/>
          <w:sz w:val="24"/>
          <w:szCs w:val="28"/>
        </w:rPr>
        <w:t>F</w:t>
      </w:r>
      <w:r>
        <w:rPr>
          <w:rFonts w:cs="Times New Roman"/>
          <w:bCs/>
          <w:sz w:val="24"/>
          <w:szCs w:val="28"/>
        </w:rPr>
        <w:t>)</w:t>
      </w:r>
    </w:p>
    <w:p w14:paraId="28999EFB" w14:textId="77777777" w:rsidR="009E575B" w:rsidRDefault="009E575B" w:rsidP="009E575B">
      <w:pPr>
        <w:spacing w:after="0" w:line="240" w:lineRule="auto"/>
        <w:contextualSpacing/>
        <w:jc w:val="center"/>
        <w:rPr>
          <w:rFonts w:cs="Times New Roman"/>
          <w:bCs/>
          <w:sz w:val="24"/>
          <w:szCs w:val="28"/>
        </w:rPr>
      </w:pPr>
    </w:p>
    <w:p w14:paraId="3F8F2D90" w14:textId="134B0DE5" w:rsidR="009E575B" w:rsidRPr="009E575B" w:rsidRDefault="009E575B" w:rsidP="009E575B">
      <w:pPr>
        <w:spacing w:after="0" w:line="240" w:lineRule="auto"/>
        <w:contextualSpacing/>
        <w:jc w:val="center"/>
        <w:rPr>
          <w:rFonts w:cs="Times New Roman"/>
          <w:bCs/>
          <w:sz w:val="24"/>
          <w:szCs w:val="28"/>
        </w:rPr>
      </w:pPr>
      <w:r w:rsidRPr="009E575B">
        <w:rPr>
          <w:rFonts w:cs="Times New Roman"/>
          <w:bCs/>
          <w:sz w:val="24"/>
          <w:szCs w:val="28"/>
        </w:rPr>
        <w:t>F</w:t>
      </w:r>
      <w:r>
        <w:rPr>
          <w:rFonts w:cs="Times New Roman"/>
          <w:bCs/>
          <w:sz w:val="24"/>
          <w:szCs w:val="28"/>
        </w:rPr>
        <w:t xml:space="preserve"> </w:t>
      </w:r>
      <w:r w:rsidRPr="009E575B">
        <w:rPr>
          <w:rFonts w:cs="Times New Roman"/>
          <w:bCs/>
          <w:sz w:val="24"/>
          <w:szCs w:val="28"/>
        </w:rPr>
        <w:t>- неактивная форма ЭОП, иммуногистохимическое исследование, экспрессия IL-17, увеличение х 100</w:t>
      </w:r>
    </w:p>
    <w:p w14:paraId="3E2D9BA3" w14:textId="77777777" w:rsidR="009E575B" w:rsidRPr="009E575B" w:rsidRDefault="009E575B" w:rsidP="006D06D7">
      <w:pPr>
        <w:spacing w:after="0" w:line="240" w:lineRule="auto"/>
        <w:contextualSpacing/>
        <w:jc w:val="both"/>
        <w:rPr>
          <w:rFonts w:cs="Times New Roman"/>
          <w:b/>
          <w:szCs w:val="28"/>
        </w:rPr>
      </w:pPr>
    </w:p>
    <w:p w14:paraId="1C05D873" w14:textId="5B53C541" w:rsidR="009E575B" w:rsidRPr="00AF31F3" w:rsidRDefault="009E575B" w:rsidP="009E575B">
      <w:pPr>
        <w:spacing w:after="0" w:line="240" w:lineRule="auto"/>
        <w:contextualSpacing/>
        <w:jc w:val="center"/>
        <w:rPr>
          <w:rFonts w:cs="Times New Roman"/>
          <w:bCs/>
          <w:szCs w:val="28"/>
        </w:rPr>
      </w:pPr>
      <w:r w:rsidRPr="00AF31F3">
        <w:rPr>
          <w:rFonts w:cs="Times New Roman"/>
          <w:bCs/>
          <w:szCs w:val="28"/>
          <w:lang w:val="kk-KZ"/>
        </w:rPr>
        <w:t>Рисунок 2</w:t>
      </w:r>
      <w:r w:rsidR="007B402D">
        <w:rPr>
          <w:rFonts w:cs="Times New Roman"/>
          <w:bCs/>
          <w:szCs w:val="28"/>
          <w:lang w:val="kk-KZ"/>
        </w:rPr>
        <w:t>3</w:t>
      </w:r>
      <w:r>
        <w:rPr>
          <w:rFonts w:cs="Times New Roman"/>
          <w:bCs/>
          <w:szCs w:val="28"/>
        </w:rPr>
        <w:t>, лист 3</w:t>
      </w:r>
    </w:p>
    <w:p w14:paraId="3088C4AA" w14:textId="77777777" w:rsidR="0087684E" w:rsidRPr="009E575B" w:rsidRDefault="0087684E" w:rsidP="006D06D7">
      <w:pPr>
        <w:spacing w:after="0" w:line="240" w:lineRule="auto"/>
        <w:ind w:firstLine="708"/>
        <w:contextualSpacing/>
        <w:jc w:val="both"/>
        <w:rPr>
          <w:rFonts w:cs="Times New Roman"/>
          <w:b/>
          <w:szCs w:val="28"/>
        </w:rPr>
      </w:pPr>
    </w:p>
    <w:p w14:paraId="09ED861A" w14:textId="68E0668B" w:rsidR="0087684E" w:rsidRPr="002B136D" w:rsidRDefault="00EE2DBA" w:rsidP="009E575B">
      <w:pPr>
        <w:spacing w:after="0" w:line="240" w:lineRule="auto"/>
        <w:ind w:firstLine="567"/>
        <w:contextualSpacing/>
        <w:jc w:val="both"/>
        <w:rPr>
          <w:rFonts w:cs="Times New Roman"/>
          <w:szCs w:val="28"/>
        </w:rPr>
      </w:pPr>
      <w:r w:rsidRPr="002B136D">
        <w:rPr>
          <w:rFonts w:cs="Times New Roman"/>
          <w:szCs w:val="28"/>
        </w:rPr>
        <w:t>Микроскопическое исследование гистологического материала из контроль</w:t>
      </w:r>
      <w:r w:rsidR="00622CE8" w:rsidRPr="002B136D">
        <w:rPr>
          <w:rFonts w:cs="Times New Roman"/>
          <w:szCs w:val="28"/>
        </w:rPr>
        <w:t>ной группы показало наличие жир</w:t>
      </w:r>
      <w:r w:rsidRPr="002B136D">
        <w:rPr>
          <w:rFonts w:cs="Times New Roman"/>
          <w:szCs w:val="28"/>
        </w:rPr>
        <w:t xml:space="preserve">овой ткани обычной гистологической структуры. Согласно иммунногистохимическому исследованию в этой группе, образцы не показали экспрессию </w:t>
      </w:r>
      <w:r w:rsidR="00C66614" w:rsidRPr="002B136D">
        <w:rPr>
          <w:rFonts w:cs="Times New Roman"/>
          <w:szCs w:val="28"/>
          <w:lang w:val="en-US"/>
        </w:rPr>
        <w:t>IL</w:t>
      </w:r>
      <w:r w:rsidRPr="002B136D">
        <w:rPr>
          <w:rFonts w:cs="Times New Roman"/>
          <w:szCs w:val="28"/>
        </w:rPr>
        <w:t xml:space="preserve">-17. </w:t>
      </w:r>
    </w:p>
    <w:p w14:paraId="783E4CD6" w14:textId="646D4525" w:rsidR="0087684E" w:rsidRPr="002B136D" w:rsidRDefault="00EE2DBA" w:rsidP="009E575B">
      <w:pPr>
        <w:spacing w:after="0" w:line="240" w:lineRule="auto"/>
        <w:ind w:firstLine="567"/>
        <w:contextualSpacing/>
        <w:jc w:val="both"/>
        <w:rPr>
          <w:rFonts w:cs="Times New Roman"/>
          <w:szCs w:val="28"/>
        </w:rPr>
      </w:pPr>
      <w:r w:rsidRPr="002B136D">
        <w:rPr>
          <w:rFonts w:cs="Times New Roman"/>
          <w:szCs w:val="28"/>
        </w:rPr>
        <w:lastRenderedPageBreak/>
        <w:t>А в группе пациентов с активным ЭОП, гистологическое исследование образцов орбитальной клетчатки показало наличие очаговой инфильтрации лимфоцитами, гистиоцитами, плазматическими клетками, тяжелым склерозом. Кроме того, иммуногистохимическое исследование орбитальной жировой ткани из этой группы с антителами против IL</w:t>
      </w:r>
      <w:r w:rsidR="00C66614" w:rsidRPr="002B136D">
        <w:rPr>
          <w:rFonts w:cs="Times New Roman"/>
          <w:szCs w:val="28"/>
        </w:rPr>
        <w:t>-</w:t>
      </w:r>
      <w:r w:rsidRPr="002B136D">
        <w:rPr>
          <w:rFonts w:cs="Times New Roman"/>
          <w:szCs w:val="28"/>
        </w:rPr>
        <w:t>17 показало положительную экспрессию лимфоидными клетками во всех случаях.</w:t>
      </w:r>
    </w:p>
    <w:p w14:paraId="0916B331" w14:textId="77777777" w:rsidR="0087684E" w:rsidRPr="002B136D" w:rsidRDefault="00EE2DBA" w:rsidP="009E575B">
      <w:pPr>
        <w:spacing w:after="0" w:line="240" w:lineRule="auto"/>
        <w:ind w:firstLine="567"/>
        <w:contextualSpacing/>
        <w:jc w:val="both"/>
        <w:rPr>
          <w:rFonts w:cs="Times New Roman"/>
          <w:szCs w:val="28"/>
        </w:rPr>
      </w:pPr>
      <w:r w:rsidRPr="002B136D">
        <w:rPr>
          <w:rFonts w:cs="Times New Roman"/>
          <w:szCs w:val="28"/>
        </w:rPr>
        <w:t>Образцы орбитального жира, полученные у пациентов с неактивной формой ЭОП, продемонстрировали очаговую инфильтрацию лимфоцитами, гистиоцитами, плазматическими клетками и периваскулярным склерозом.</w:t>
      </w:r>
    </w:p>
    <w:p w14:paraId="46E5259C" w14:textId="00D42CB7" w:rsidR="00F74852" w:rsidRPr="002B136D" w:rsidRDefault="00F74852" w:rsidP="009E575B">
      <w:pPr>
        <w:spacing w:after="0" w:line="240" w:lineRule="auto"/>
        <w:ind w:firstLine="567"/>
        <w:contextualSpacing/>
        <w:jc w:val="both"/>
        <w:rPr>
          <w:rFonts w:cs="Times New Roman"/>
          <w:szCs w:val="28"/>
        </w:rPr>
      </w:pPr>
      <w:r w:rsidRPr="002B136D">
        <w:rPr>
          <w:rFonts w:cs="Times New Roman"/>
          <w:bCs/>
          <w:szCs w:val="28"/>
          <w:lang w:val="en-US"/>
        </w:rPr>
        <w:t>O</w:t>
      </w:r>
      <w:r w:rsidRPr="002B136D">
        <w:rPr>
          <w:rFonts w:cs="Times New Roman"/>
          <w:bCs/>
          <w:szCs w:val="28"/>
          <w:lang w:val="kk-KZ"/>
        </w:rPr>
        <w:t>ценк</w:t>
      </w:r>
      <w:r w:rsidRPr="002B136D">
        <w:rPr>
          <w:rFonts w:cs="Times New Roman"/>
          <w:bCs/>
          <w:szCs w:val="28"/>
        </w:rPr>
        <w:t xml:space="preserve">а </w:t>
      </w:r>
      <w:r w:rsidRPr="002B136D">
        <w:rPr>
          <w:rFonts w:cs="Times New Roman"/>
          <w:bCs/>
          <w:szCs w:val="28"/>
          <w:lang w:val="kk-KZ"/>
        </w:rPr>
        <w:t xml:space="preserve">корреляционной связи между </w:t>
      </w:r>
      <w:r w:rsidRPr="002B136D">
        <w:rPr>
          <w:rFonts w:cs="Times New Roman"/>
          <w:bCs/>
          <w:szCs w:val="28"/>
        </w:rPr>
        <w:t xml:space="preserve">оценкой клинической активности (CAS) и уровня </w:t>
      </w:r>
      <w:r w:rsidR="00C66614" w:rsidRPr="002B136D">
        <w:rPr>
          <w:rFonts w:cs="Times New Roman"/>
          <w:bCs/>
          <w:szCs w:val="28"/>
          <w:lang w:val="en-US"/>
        </w:rPr>
        <w:t>IL</w:t>
      </w:r>
      <w:r w:rsidRPr="002B136D">
        <w:rPr>
          <w:rFonts w:cs="Times New Roman"/>
          <w:bCs/>
          <w:szCs w:val="28"/>
        </w:rPr>
        <w:t>-</w:t>
      </w:r>
      <w:r w:rsidRPr="002B136D">
        <w:rPr>
          <w:rFonts w:cs="Times New Roman"/>
          <w:bCs/>
          <w:szCs w:val="28"/>
          <w:lang w:val="kk-KZ"/>
        </w:rPr>
        <w:t xml:space="preserve">17 в орбитальной клетчатке у пациентов с активной формой </w:t>
      </w:r>
      <w:r w:rsidR="00701FE0">
        <w:rPr>
          <w:rFonts w:cs="Times New Roman"/>
          <w:szCs w:val="28"/>
          <w:lang w:val="kk-KZ"/>
        </w:rPr>
        <w:t>ЭОП</w:t>
      </w:r>
      <w:r w:rsidRPr="002B136D">
        <w:rPr>
          <w:rFonts w:cs="Times New Roman"/>
          <w:bCs/>
          <w:szCs w:val="28"/>
          <w:lang w:val="kk-KZ"/>
        </w:rPr>
        <w:t xml:space="preserve"> выявила умеренную корреляционную связь, однако без статистически значимой разницы </w:t>
      </w:r>
      <w:r w:rsidRPr="002B136D">
        <w:rPr>
          <w:rFonts w:cs="Times New Roman"/>
          <w:szCs w:val="28"/>
        </w:rPr>
        <w:t>(</w:t>
      </w:r>
      <w:r w:rsidRPr="002B136D">
        <w:rPr>
          <w:rFonts w:cs="Times New Roman"/>
          <w:szCs w:val="28"/>
          <w:lang w:val="en-US"/>
        </w:rPr>
        <w:t>r</w:t>
      </w:r>
      <w:r w:rsidRPr="002B136D">
        <w:rPr>
          <w:rFonts w:cs="Times New Roman"/>
          <w:szCs w:val="28"/>
        </w:rPr>
        <w:t>=</w:t>
      </w:r>
      <w:r w:rsidRPr="002B136D">
        <w:rPr>
          <w:rFonts w:cs="Times New Roman"/>
          <w:szCs w:val="28"/>
          <w:lang w:val="kk-KZ"/>
        </w:rPr>
        <w:t xml:space="preserve"> </w:t>
      </w:r>
      <w:r w:rsidRPr="002B136D">
        <w:rPr>
          <w:rFonts w:cs="Times New Roman"/>
          <w:szCs w:val="28"/>
        </w:rPr>
        <w:t>0.</w:t>
      </w:r>
      <w:r w:rsidRPr="002B136D">
        <w:rPr>
          <w:rFonts w:cs="Times New Roman"/>
          <w:szCs w:val="28"/>
          <w:lang w:val="kk-KZ"/>
        </w:rPr>
        <w:t>3</w:t>
      </w:r>
      <w:r w:rsidRPr="002B136D">
        <w:rPr>
          <w:rFonts w:cs="Times New Roman"/>
          <w:szCs w:val="28"/>
        </w:rPr>
        <w:t xml:space="preserve">; </w:t>
      </w:r>
      <w:r w:rsidRPr="002B136D">
        <w:rPr>
          <w:rFonts w:cs="Times New Roman"/>
          <w:szCs w:val="28"/>
          <w:lang w:val="en-US"/>
        </w:rPr>
        <w:t>p</w:t>
      </w:r>
      <w:r w:rsidRPr="002B136D">
        <w:rPr>
          <w:rFonts w:cs="Times New Roman"/>
          <w:szCs w:val="28"/>
        </w:rPr>
        <w:t xml:space="preserve">=0.145) </w:t>
      </w:r>
      <w:r w:rsidR="00AF31F3">
        <w:rPr>
          <w:rFonts w:cs="Times New Roman"/>
          <w:szCs w:val="28"/>
        </w:rPr>
        <w:t>(рисунок</w:t>
      </w:r>
      <w:r w:rsidR="00A95153">
        <w:rPr>
          <w:rFonts w:cs="Times New Roman"/>
          <w:szCs w:val="28"/>
        </w:rPr>
        <w:t xml:space="preserve"> </w:t>
      </w:r>
      <w:r w:rsidR="00F77244" w:rsidRPr="002B136D">
        <w:rPr>
          <w:rFonts w:cs="Times New Roman"/>
          <w:szCs w:val="28"/>
          <w:lang w:val="kk-KZ"/>
        </w:rPr>
        <w:t>2</w:t>
      </w:r>
      <w:r w:rsidR="007B402D">
        <w:rPr>
          <w:rFonts w:cs="Times New Roman"/>
          <w:szCs w:val="28"/>
          <w:lang w:val="kk-KZ"/>
        </w:rPr>
        <w:t>4</w:t>
      </w:r>
      <w:r w:rsidRPr="002B136D">
        <w:rPr>
          <w:rFonts w:cs="Times New Roman"/>
          <w:szCs w:val="28"/>
        </w:rPr>
        <w:t xml:space="preserve">). Определение </w:t>
      </w:r>
      <w:r w:rsidRPr="002B136D">
        <w:rPr>
          <w:rFonts w:cs="Times New Roman"/>
          <w:bCs/>
          <w:szCs w:val="28"/>
          <w:lang w:val="kk-KZ"/>
        </w:rPr>
        <w:t xml:space="preserve">корреляционной связи между </w:t>
      </w:r>
      <w:r w:rsidRPr="002B136D">
        <w:rPr>
          <w:rFonts w:cs="Times New Roman"/>
          <w:bCs/>
          <w:szCs w:val="28"/>
        </w:rPr>
        <w:t xml:space="preserve">оценкой клинической активности (CAS) и уровня </w:t>
      </w:r>
      <w:r w:rsidR="00C66614" w:rsidRPr="002B136D">
        <w:rPr>
          <w:rFonts w:cs="Times New Roman"/>
          <w:bCs/>
          <w:szCs w:val="28"/>
          <w:lang w:val="en-US"/>
        </w:rPr>
        <w:t>IL</w:t>
      </w:r>
      <w:r w:rsidRPr="002B136D">
        <w:rPr>
          <w:rFonts w:cs="Times New Roman"/>
          <w:bCs/>
          <w:szCs w:val="28"/>
        </w:rPr>
        <w:t>-</w:t>
      </w:r>
      <w:r w:rsidRPr="002B136D">
        <w:rPr>
          <w:rFonts w:cs="Times New Roman"/>
          <w:bCs/>
          <w:szCs w:val="28"/>
          <w:lang w:val="kk-KZ"/>
        </w:rPr>
        <w:t xml:space="preserve">38 в орбитальной клетчатке у пациентов с активной формой </w:t>
      </w:r>
      <w:r w:rsidR="00701FE0">
        <w:rPr>
          <w:rFonts w:cs="Times New Roman"/>
          <w:szCs w:val="28"/>
          <w:lang w:val="kk-KZ"/>
        </w:rPr>
        <w:t>ЭОП</w:t>
      </w:r>
      <w:r w:rsidRPr="002B136D">
        <w:rPr>
          <w:rFonts w:cs="Times New Roman"/>
          <w:bCs/>
          <w:szCs w:val="28"/>
          <w:lang w:val="kk-KZ"/>
        </w:rPr>
        <w:t xml:space="preserve"> соответствовало обратной корреляционной связи, где увеличение </w:t>
      </w:r>
      <w:r w:rsidRPr="002B136D">
        <w:rPr>
          <w:rFonts w:cs="Times New Roman"/>
          <w:bCs/>
          <w:szCs w:val="28"/>
        </w:rPr>
        <w:t>клинической активности (CAS)</w:t>
      </w:r>
      <w:r w:rsidR="00622CE8" w:rsidRPr="002B136D">
        <w:rPr>
          <w:rFonts w:cs="Times New Roman"/>
          <w:bCs/>
          <w:szCs w:val="28"/>
        </w:rPr>
        <w:t xml:space="preserve"> </w:t>
      </w:r>
      <w:r w:rsidRPr="002B136D">
        <w:rPr>
          <w:rFonts w:cs="Times New Roman"/>
          <w:bCs/>
          <w:szCs w:val="28"/>
        </w:rPr>
        <w:t xml:space="preserve">заболевания приводило к снижению концентрации </w:t>
      </w:r>
      <w:r w:rsidR="00C66614" w:rsidRPr="002B136D">
        <w:rPr>
          <w:rFonts w:cs="Times New Roman"/>
          <w:bCs/>
          <w:szCs w:val="28"/>
          <w:lang w:val="en-US"/>
        </w:rPr>
        <w:t>IL</w:t>
      </w:r>
      <w:r w:rsidRPr="002B136D">
        <w:rPr>
          <w:rFonts w:cs="Times New Roman"/>
          <w:bCs/>
          <w:szCs w:val="28"/>
        </w:rPr>
        <w:t>-</w:t>
      </w:r>
      <w:r w:rsidRPr="002B136D">
        <w:rPr>
          <w:rFonts w:cs="Times New Roman"/>
          <w:bCs/>
          <w:szCs w:val="28"/>
          <w:lang w:val="kk-KZ"/>
        </w:rPr>
        <w:t xml:space="preserve">38 </w:t>
      </w:r>
      <w:r w:rsidRPr="002B136D">
        <w:rPr>
          <w:rFonts w:cs="Times New Roman"/>
          <w:bCs/>
          <w:szCs w:val="28"/>
        </w:rPr>
        <w:t>со</w:t>
      </w:r>
      <w:r w:rsidRPr="002B136D">
        <w:rPr>
          <w:rFonts w:cs="Times New Roman"/>
          <w:bCs/>
          <w:szCs w:val="28"/>
          <w:lang w:val="kk-KZ"/>
        </w:rPr>
        <w:t xml:space="preserve"> статистически достоверной значимостью</w:t>
      </w:r>
      <w:r w:rsidRPr="002B136D">
        <w:rPr>
          <w:rFonts w:cs="Times New Roman"/>
          <w:bCs/>
          <w:szCs w:val="28"/>
        </w:rPr>
        <w:t xml:space="preserve"> </w:t>
      </w:r>
      <w:r w:rsidRPr="002B136D">
        <w:rPr>
          <w:rFonts w:cs="Times New Roman"/>
          <w:szCs w:val="28"/>
        </w:rPr>
        <w:t>(</w:t>
      </w:r>
      <w:r w:rsidRPr="002B136D">
        <w:rPr>
          <w:rFonts w:cs="Times New Roman"/>
          <w:szCs w:val="28"/>
          <w:lang w:val="en-US"/>
        </w:rPr>
        <w:t>r</w:t>
      </w:r>
      <w:r w:rsidRPr="002B136D">
        <w:rPr>
          <w:rFonts w:cs="Times New Roman"/>
          <w:szCs w:val="28"/>
        </w:rPr>
        <w:t xml:space="preserve">=- 0.433; </w:t>
      </w:r>
      <w:r w:rsidRPr="002B136D">
        <w:rPr>
          <w:rFonts w:cs="Times New Roman"/>
          <w:szCs w:val="28"/>
          <w:lang w:val="en-US"/>
        </w:rPr>
        <w:t>p</w:t>
      </w:r>
      <w:r w:rsidRPr="002B136D">
        <w:rPr>
          <w:rFonts w:cs="Times New Roman"/>
          <w:szCs w:val="28"/>
        </w:rPr>
        <w:t xml:space="preserve">=0.030) </w:t>
      </w:r>
      <w:r w:rsidR="00AF31F3">
        <w:rPr>
          <w:rFonts w:cs="Times New Roman"/>
          <w:szCs w:val="28"/>
        </w:rPr>
        <w:t>(рисунок</w:t>
      </w:r>
      <w:r w:rsidR="009E575B">
        <w:rPr>
          <w:rFonts w:cs="Times New Roman"/>
          <w:szCs w:val="28"/>
        </w:rPr>
        <w:t xml:space="preserve"> </w:t>
      </w:r>
      <w:r w:rsidR="00F77244" w:rsidRPr="002B136D">
        <w:rPr>
          <w:rFonts w:cs="Times New Roman"/>
          <w:szCs w:val="28"/>
        </w:rPr>
        <w:t>2</w:t>
      </w:r>
      <w:r w:rsidR="007B402D">
        <w:rPr>
          <w:rFonts w:cs="Times New Roman"/>
          <w:szCs w:val="28"/>
        </w:rPr>
        <w:t>5</w:t>
      </w:r>
      <w:r w:rsidRPr="002B136D">
        <w:rPr>
          <w:rFonts w:cs="Times New Roman"/>
          <w:szCs w:val="28"/>
        </w:rPr>
        <w:t>).</w:t>
      </w:r>
    </w:p>
    <w:p w14:paraId="5FE09E19" w14:textId="77777777" w:rsidR="0087684E" w:rsidRPr="009E575B" w:rsidRDefault="0087684E" w:rsidP="006D06D7">
      <w:pPr>
        <w:spacing w:after="0" w:line="240" w:lineRule="auto"/>
        <w:ind w:firstLine="709"/>
        <w:contextualSpacing/>
        <w:jc w:val="both"/>
        <w:rPr>
          <w:rFonts w:cs="Times New Roman"/>
          <w:szCs w:val="28"/>
        </w:rPr>
      </w:pPr>
    </w:p>
    <w:p w14:paraId="471E0969" w14:textId="3B703783" w:rsidR="00EE2DBA" w:rsidRPr="002B136D" w:rsidRDefault="00EE2DBA" w:rsidP="009E575B">
      <w:pPr>
        <w:spacing w:after="0" w:line="360" w:lineRule="auto"/>
        <w:jc w:val="center"/>
        <w:rPr>
          <w:rFonts w:cs="Times New Roman"/>
          <w:szCs w:val="28"/>
        </w:rPr>
      </w:pPr>
      <w:r w:rsidRPr="002B136D">
        <w:rPr>
          <w:rFonts w:cs="Times New Roman"/>
          <w:noProof/>
          <w:szCs w:val="28"/>
          <w:lang w:eastAsia="ru-RU"/>
        </w:rPr>
        <w:drawing>
          <wp:inline distT="0" distB="0" distL="0" distR="0" wp14:anchorId="36ED4B62" wp14:editId="5B0E6E09">
            <wp:extent cx="4835264" cy="2841448"/>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8855" cy="2855311"/>
                    </a:xfrm>
                    <a:prstGeom prst="rect">
                      <a:avLst/>
                    </a:prstGeom>
                    <a:noFill/>
                  </pic:spPr>
                </pic:pic>
              </a:graphicData>
            </a:graphic>
          </wp:inline>
        </w:drawing>
      </w:r>
    </w:p>
    <w:p w14:paraId="578D994F" w14:textId="77777777" w:rsidR="009E575B" w:rsidRPr="009E575B" w:rsidRDefault="009E575B" w:rsidP="009E575B">
      <w:pPr>
        <w:spacing w:after="0" w:line="240" w:lineRule="auto"/>
        <w:contextualSpacing/>
        <w:jc w:val="center"/>
        <w:rPr>
          <w:rFonts w:cs="Times New Roman"/>
          <w:bCs/>
          <w:sz w:val="18"/>
          <w:szCs w:val="18"/>
        </w:rPr>
      </w:pPr>
    </w:p>
    <w:p w14:paraId="665BE34C" w14:textId="69FDA3EF" w:rsidR="006138E1" w:rsidRPr="009E575B" w:rsidRDefault="00F77244" w:rsidP="009E575B">
      <w:pPr>
        <w:spacing w:after="0" w:line="240" w:lineRule="auto"/>
        <w:contextualSpacing/>
        <w:jc w:val="center"/>
        <w:rPr>
          <w:rFonts w:cs="Times New Roman"/>
          <w:bCs/>
          <w:szCs w:val="28"/>
        </w:rPr>
      </w:pPr>
      <w:r w:rsidRPr="009E575B">
        <w:rPr>
          <w:rFonts w:cs="Times New Roman"/>
          <w:bCs/>
          <w:szCs w:val="28"/>
        </w:rPr>
        <w:t>Рисунок 2</w:t>
      </w:r>
      <w:r w:rsidR="007B402D">
        <w:rPr>
          <w:rFonts w:cs="Times New Roman"/>
          <w:bCs/>
          <w:szCs w:val="28"/>
        </w:rPr>
        <w:t xml:space="preserve">4 </w:t>
      </w:r>
      <w:r w:rsidR="009E575B" w:rsidRPr="009E575B">
        <w:rPr>
          <w:rFonts w:cs="Times New Roman"/>
          <w:bCs/>
          <w:szCs w:val="28"/>
        </w:rPr>
        <w:t xml:space="preserve">- </w:t>
      </w:r>
      <w:r w:rsidR="006138E1" w:rsidRPr="009E575B">
        <w:rPr>
          <w:rFonts w:cs="Times New Roman"/>
          <w:bCs/>
          <w:szCs w:val="28"/>
        </w:rPr>
        <w:t xml:space="preserve">Уровни </w:t>
      </w:r>
      <w:r w:rsidR="00C66614" w:rsidRPr="009E575B">
        <w:rPr>
          <w:rFonts w:cs="Times New Roman"/>
          <w:bCs/>
          <w:szCs w:val="28"/>
          <w:lang w:val="en-US"/>
        </w:rPr>
        <w:t>IL</w:t>
      </w:r>
      <w:r w:rsidR="006138E1" w:rsidRPr="009E575B">
        <w:rPr>
          <w:rFonts w:cs="Times New Roman"/>
          <w:bCs/>
          <w:szCs w:val="28"/>
        </w:rPr>
        <w:t xml:space="preserve">-17 в соединительной ткани орбиты </w:t>
      </w:r>
      <w:r w:rsidR="0038552C" w:rsidRPr="009E575B">
        <w:rPr>
          <w:rFonts w:cs="Times New Roman"/>
          <w:bCs/>
          <w:szCs w:val="28"/>
        </w:rPr>
        <w:t>пациентов</w:t>
      </w:r>
      <w:r w:rsidR="006138E1" w:rsidRPr="009E575B">
        <w:rPr>
          <w:rFonts w:cs="Times New Roman"/>
          <w:bCs/>
          <w:szCs w:val="28"/>
        </w:rPr>
        <w:t xml:space="preserve"> активной формой </w:t>
      </w:r>
      <w:r w:rsidR="006138E1" w:rsidRPr="009E575B">
        <w:rPr>
          <w:rFonts w:cs="Times New Roman"/>
          <w:bCs/>
          <w:szCs w:val="28"/>
          <w:lang w:val="kk-KZ"/>
        </w:rPr>
        <w:t>ЭОП</w:t>
      </w:r>
      <w:r w:rsidR="006138E1" w:rsidRPr="009E575B">
        <w:rPr>
          <w:rFonts w:cs="Times New Roman"/>
          <w:bCs/>
          <w:szCs w:val="28"/>
        </w:rPr>
        <w:t xml:space="preserve"> и их корреляция с </w:t>
      </w:r>
      <w:r w:rsidR="006138E1" w:rsidRPr="009E575B">
        <w:rPr>
          <w:rFonts w:cs="Times New Roman"/>
          <w:bCs/>
          <w:szCs w:val="28"/>
          <w:lang w:val="en-US"/>
        </w:rPr>
        <w:t>CAS</w:t>
      </w:r>
    </w:p>
    <w:p w14:paraId="6E2BD8DC" w14:textId="77777777" w:rsidR="006138E1" w:rsidRPr="002B136D" w:rsidRDefault="006138E1" w:rsidP="006D06D7">
      <w:pPr>
        <w:spacing w:after="0" w:line="240" w:lineRule="auto"/>
        <w:contextualSpacing/>
        <w:jc w:val="both"/>
        <w:rPr>
          <w:rFonts w:cs="Times New Roman"/>
          <w:sz w:val="24"/>
          <w:szCs w:val="28"/>
        </w:rPr>
      </w:pPr>
    </w:p>
    <w:p w14:paraId="232B7299" w14:textId="77777777" w:rsidR="001D6D13" w:rsidRPr="002B136D" w:rsidRDefault="001D6D13" w:rsidP="006E7629">
      <w:pPr>
        <w:spacing w:after="0" w:line="360" w:lineRule="auto"/>
        <w:jc w:val="both"/>
        <w:rPr>
          <w:rFonts w:cs="Times New Roman"/>
          <w:szCs w:val="28"/>
          <w:lang w:val="kk-KZ"/>
        </w:rPr>
      </w:pPr>
    </w:p>
    <w:p w14:paraId="54D82907" w14:textId="0407C0CC" w:rsidR="001D6D13" w:rsidRPr="002B136D" w:rsidRDefault="00BD1DDD" w:rsidP="009E575B">
      <w:pPr>
        <w:spacing w:after="0" w:line="360" w:lineRule="auto"/>
        <w:jc w:val="center"/>
        <w:rPr>
          <w:rFonts w:cs="Times New Roman"/>
          <w:szCs w:val="28"/>
          <w:lang w:val="kk-KZ"/>
        </w:rPr>
      </w:pPr>
      <w:r w:rsidRPr="002B136D">
        <w:rPr>
          <w:rFonts w:cs="Times New Roman"/>
          <w:noProof/>
          <w:szCs w:val="28"/>
          <w:lang w:eastAsia="ru-RU"/>
        </w:rPr>
        <w:lastRenderedPageBreak/>
        <mc:AlternateContent>
          <mc:Choice Requires="wps">
            <w:drawing>
              <wp:anchor distT="0" distB="0" distL="114300" distR="114300" simplePos="0" relativeHeight="251650560" behindDoc="0" locked="0" layoutInCell="1" allowOverlap="1" wp14:anchorId="1182965B" wp14:editId="7EE990BF">
                <wp:simplePos x="0" y="0"/>
                <wp:positionH relativeFrom="column">
                  <wp:posOffset>424815</wp:posOffset>
                </wp:positionH>
                <wp:positionV relativeFrom="paragraph">
                  <wp:posOffset>2537460</wp:posOffset>
                </wp:positionV>
                <wp:extent cx="0" cy="0"/>
                <wp:effectExtent l="0" t="0" r="0" b="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DEBB4F" id="Прямая соединительная линия 31"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33.45pt,199.8pt" to="33.4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" strokecolor="#4579b8 [3044]"/>
            </w:pict>
          </mc:Fallback>
        </mc:AlternateContent>
      </w:r>
      <w:r w:rsidR="001D6D13" w:rsidRPr="002B136D">
        <w:rPr>
          <w:rFonts w:cs="Times New Roman"/>
          <w:noProof/>
          <w:szCs w:val="28"/>
          <w:lang w:eastAsia="ru-RU"/>
        </w:rPr>
        <w:drawing>
          <wp:inline distT="0" distB="0" distL="0" distR="0" wp14:anchorId="4E93DAB3" wp14:editId="0442C4C9">
            <wp:extent cx="4917042" cy="2889504"/>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5885" cy="2894700"/>
                    </a:xfrm>
                    <a:prstGeom prst="rect">
                      <a:avLst/>
                    </a:prstGeom>
                    <a:noFill/>
                  </pic:spPr>
                </pic:pic>
              </a:graphicData>
            </a:graphic>
          </wp:inline>
        </w:drawing>
      </w:r>
    </w:p>
    <w:p w14:paraId="278987B2" w14:textId="77777777" w:rsidR="009E575B" w:rsidRPr="009E575B" w:rsidRDefault="009E575B" w:rsidP="009E575B">
      <w:pPr>
        <w:spacing w:after="0" w:line="240" w:lineRule="auto"/>
        <w:contextualSpacing/>
        <w:jc w:val="center"/>
        <w:rPr>
          <w:rFonts w:cs="Times New Roman"/>
          <w:bCs/>
          <w:sz w:val="16"/>
          <w:szCs w:val="16"/>
        </w:rPr>
      </w:pPr>
    </w:p>
    <w:p w14:paraId="1776B80C" w14:textId="6AB4FA08" w:rsidR="001E3616" w:rsidRPr="009E575B" w:rsidRDefault="00F77244" w:rsidP="009E575B">
      <w:pPr>
        <w:spacing w:after="0" w:line="240" w:lineRule="auto"/>
        <w:contextualSpacing/>
        <w:jc w:val="center"/>
        <w:rPr>
          <w:rFonts w:cs="Times New Roman"/>
          <w:bCs/>
          <w:szCs w:val="28"/>
        </w:rPr>
      </w:pPr>
      <w:r w:rsidRPr="009E575B">
        <w:rPr>
          <w:rFonts w:cs="Times New Roman"/>
          <w:bCs/>
          <w:szCs w:val="28"/>
        </w:rPr>
        <w:t>Рисунок 2</w:t>
      </w:r>
      <w:r w:rsidR="007B402D">
        <w:rPr>
          <w:rFonts w:cs="Times New Roman"/>
          <w:bCs/>
          <w:szCs w:val="28"/>
        </w:rPr>
        <w:t>5</w:t>
      </w:r>
      <w:r w:rsidR="000513C5" w:rsidRPr="009E575B">
        <w:rPr>
          <w:rFonts w:cs="Times New Roman"/>
          <w:bCs/>
          <w:szCs w:val="28"/>
        </w:rPr>
        <w:t xml:space="preserve"> - </w:t>
      </w:r>
      <w:r w:rsidR="006138E1" w:rsidRPr="009E575B">
        <w:rPr>
          <w:rFonts w:cs="Times New Roman"/>
          <w:bCs/>
          <w:szCs w:val="28"/>
        </w:rPr>
        <w:t xml:space="preserve">Уровни </w:t>
      </w:r>
      <w:r w:rsidR="000E3E8D" w:rsidRPr="009E575B">
        <w:rPr>
          <w:rFonts w:cs="Times New Roman"/>
          <w:bCs/>
          <w:szCs w:val="28"/>
          <w:lang w:val="en-US"/>
        </w:rPr>
        <w:t>IL</w:t>
      </w:r>
      <w:r w:rsidR="006138E1" w:rsidRPr="009E575B">
        <w:rPr>
          <w:rFonts w:cs="Times New Roman"/>
          <w:bCs/>
          <w:szCs w:val="28"/>
        </w:rPr>
        <w:t xml:space="preserve">-38 в соединительной ткани орбиты </w:t>
      </w:r>
      <w:r w:rsidR="0038552C" w:rsidRPr="009E575B">
        <w:rPr>
          <w:rFonts w:cs="Times New Roman"/>
          <w:bCs/>
          <w:szCs w:val="28"/>
        </w:rPr>
        <w:t>пациентов</w:t>
      </w:r>
      <w:r w:rsidR="006138E1" w:rsidRPr="009E575B">
        <w:rPr>
          <w:rFonts w:cs="Times New Roman"/>
          <w:bCs/>
          <w:szCs w:val="28"/>
        </w:rPr>
        <w:t xml:space="preserve"> активной формой </w:t>
      </w:r>
      <w:r w:rsidR="006138E1" w:rsidRPr="009E575B">
        <w:rPr>
          <w:rFonts w:cs="Times New Roman"/>
          <w:bCs/>
          <w:szCs w:val="28"/>
          <w:lang w:val="kk-KZ"/>
        </w:rPr>
        <w:t>ЭОП</w:t>
      </w:r>
      <w:r w:rsidR="006138E1" w:rsidRPr="009E575B">
        <w:rPr>
          <w:rFonts w:cs="Times New Roman"/>
          <w:bCs/>
          <w:szCs w:val="28"/>
        </w:rPr>
        <w:t xml:space="preserve"> и их корреляция с </w:t>
      </w:r>
      <w:r w:rsidR="006138E1" w:rsidRPr="009E575B">
        <w:rPr>
          <w:rFonts w:cs="Times New Roman"/>
          <w:bCs/>
          <w:szCs w:val="28"/>
          <w:lang w:val="en-US"/>
        </w:rPr>
        <w:t>CAS</w:t>
      </w:r>
    </w:p>
    <w:p w14:paraId="42E7030B" w14:textId="77777777" w:rsidR="006D06D7" w:rsidRPr="009E575B" w:rsidRDefault="006D06D7" w:rsidP="006D06D7">
      <w:pPr>
        <w:spacing w:after="0" w:line="240" w:lineRule="auto"/>
        <w:ind w:firstLine="709"/>
        <w:contextualSpacing/>
        <w:jc w:val="both"/>
        <w:rPr>
          <w:rFonts w:cs="Times New Roman"/>
          <w:b/>
          <w:szCs w:val="28"/>
        </w:rPr>
      </w:pPr>
    </w:p>
    <w:p w14:paraId="353B6452" w14:textId="77618C08" w:rsidR="00EB3D58" w:rsidRPr="002B136D" w:rsidRDefault="00F907C0" w:rsidP="009E575B">
      <w:pPr>
        <w:spacing w:after="0" w:line="240" w:lineRule="auto"/>
        <w:ind w:firstLine="567"/>
        <w:contextualSpacing/>
        <w:jc w:val="both"/>
        <w:rPr>
          <w:rFonts w:cs="Times New Roman"/>
          <w:szCs w:val="28"/>
        </w:rPr>
      </w:pPr>
      <w:r w:rsidRPr="002B136D">
        <w:rPr>
          <w:rFonts w:cs="Times New Roman"/>
          <w:szCs w:val="28"/>
        </w:rPr>
        <w:t>Таким образом, в</w:t>
      </w:r>
      <w:r w:rsidR="00EB3D58" w:rsidRPr="002B136D">
        <w:rPr>
          <w:rFonts w:cs="Times New Roman"/>
          <w:szCs w:val="28"/>
        </w:rPr>
        <w:t xml:space="preserve"> данном разделе мы фокусировались на анализе и интерпретации данных, полученных в ходе гистологического и иммуногистохимического исследования орбитальной жировой клетчатки у пациентов </w:t>
      </w:r>
      <w:proofErr w:type="gramStart"/>
      <w:r w:rsidR="00EB3D58" w:rsidRPr="002B136D">
        <w:rPr>
          <w:rFonts w:cs="Times New Roman"/>
          <w:szCs w:val="28"/>
        </w:rPr>
        <w:t>с</w:t>
      </w:r>
      <w:proofErr w:type="gramEnd"/>
      <w:r w:rsidR="00EB3D58" w:rsidRPr="002B136D">
        <w:rPr>
          <w:rFonts w:cs="Times New Roman"/>
          <w:szCs w:val="28"/>
        </w:rPr>
        <w:t xml:space="preserve"> эндокринной офтальмопатией (ЭОП).</w:t>
      </w:r>
    </w:p>
    <w:p w14:paraId="481B2095" w14:textId="77777777" w:rsidR="00EB3D58" w:rsidRPr="002B136D" w:rsidRDefault="00EB3D58" w:rsidP="009E575B">
      <w:pPr>
        <w:spacing w:after="0" w:line="240" w:lineRule="auto"/>
        <w:ind w:firstLine="567"/>
        <w:contextualSpacing/>
        <w:jc w:val="both"/>
        <w:rPr>
          <w:rFonts w:cs="Times New Roman"/>
          <w:szCs w:val="28"/>
        </w:rPr>
      </w:pPr>
      <w:r w:rsidRPr="002B136D">
        <w:rPr>
          <w:rFonts w:cs="Times New Roman"/>
          <w:szCs w:val="28"/>
        </w:rPr>
        <w:t>Гистологический анализ контрольной группы выявил жировую ткань стандартного строения, что свидетельствует о нормальной морфологии без признаков патологических изменений. В то же время, образцы от пациентов с активной формой ЭОП демонстрируют значительную очаговую инфильтрацию клетками иммунной системы, такими как лимфоциты, гистиоциты и плазматические клетки, а также выраженный склероз и сосудистое полнокровие. Эти изменения коррелируют с инфламматорным процессом, характерным для активной фазы ЭОП, и подтверждаются иммуногистохимическими данными.</w:t>
      </w:r>
    </w:p>
    <w:p w14:paraId="13742E09" w14:textId="5C362E84" w:rsidR="00EB3D58" w:rsidRPr="002B136D" w:rsidRDefault="00EB3D58" w:rsidP="009E575B">
      <w:pPr>
        <w:spacing w:after="0" w:line="240" w:lineRule="auto"/>
        <w:ind w:firstLine="567"/>
        <w:contextualSpacing/>
        <w:jc w:val="both"/>
        <w:rPr>
          <w:rFonts w:cs="Times New Roman"/>
          <w:szCs w:val="28"/>
        </w:rPr>
      </w:pPr>
      <w:r w:rsidRPr="002B136D">
        <w:rPr>
          <w:rFonts w:cs="Times New Roman"/>
          <w:szCs w:val="28"/>
        </w:rPr>
        <w:t xml:space="preserve">Иммуногистохимическое окрашивание с антителами против IL-17 показало отсутствие экспрессии в контрольной группе, тогда как в группе с </w:t>
      </w:r>
      <w:proofErr w:type="gramStart"/>
      <w:r w:rsidRPr="002B136D">
        <w:rPr>
          <w:rFonts w:cs="Times New Roman"/>
          <w:szCs w:val="28"/>
        </w:rPr>
        <w:t>активным</w:t>
      </w:r>
      <w:proofErr w:type="gramEnd"/>
      <w:r w:rsidRPr="002B136D">
        <w:rPr>
          <w:rFonts w:cs="Times New Roman"/>
          <w:szCs w:val="28"/>
        </w:rPr>
        <w:t xml:space="preserve"> ЭОП наблюдалась положительная экспрессия. Это подтверждает предыдущие исследования, указывающие на важную роль IL-17 в модуляции воспалительных процессов и его потенциальное влияние на </w:t>
      </w:r>
      <w:proofErr w:type="gramStart"/>
      <w:r w:rsidRPr="002B136D">
        <w:rPr>
          <w:rFonts w:cs="Times New Roman"/>
          <w:szCs w:val="28"/>
        </w:rPr>
        <w:t>развитие</w:t>
      </w:r>
      <w:proofErr w:type="gramEnd"/>
      <w:r w:rsidRPr="002B136D">
        <w:rPr>
          <w:rFonts w:cs="Times New Roman"/>
          <w:szCs w:val="28"/>
        </w:rPr>
        <w:t xml:space="preserve"> и прогрессирование ЭОП.</w:t>
      </w:r>
    </w:p>
    <w:p w14:paraId="35DD7210" w14:textId="0AE9A4B1" w:rsidR="00EB3D58" w:rsidRPr="002B136D" w:rsidRDefault="00EB3D58" w:rsidP="009E575B">
      <w:pPr>
        <w:spacing w:after="0" w:line="240" w:lineRule="auto"/>
        <w:ind w:firstLine="567"/>
        <w:contextualSpacing/>
        <w:jc w:val="both"/>
        <w:rPr>
          <w:rFonts w:cs="Times New Roman"/>
          <w:szCs w:val="28"/>
        </w:rPr>
      </w:pPr>
      <w:r w:rsidRPr="002B136D">
        <w:rPr>
          <w:rFonts w:cs="Times New Roman"/>
          <w:szCs w:val="28"/>
        </w:rPr>
        <w:t>Оценка клинической активности ЭОП по шкале CAS показала умеренную корреляцию с уровнями IL-17 в орбитальной клетчатке, хотя эта корреляция не достигла статистической значимости. Это может указывать на сложный характер взаимоотношений между экспрессией отдельных цитокинов и клиническими проявлениями ЭОП. Тем не менее, наблюдаемая тенденция требует дополнительного изучения с использованием более крупных выборок для определения степени влияния IL-17 на активность ЭОП.</w:t>
      </w:r>
    </w:p>
    <w:p w14:paraId="05048C08" w14:textId="77777777" w:rsidR="00EB3D58" w:rsidRPr="002B136D" w:rsidRDefault="00EB3D58" w:rsidP="009E575B">
      <w:pPr>
        <w:spacing w:after="0" w:line="240" w:lineRule="auto"/>
        <w:ind w:firstLine="567"/>
        <w:contextualSpacing/>
        <w:jc w:val="both"/>
        <w:rPr>
          <w:rFonts w:cs="Times New Roman"/>
          <w:szCs w:val="28"/>
        </w:rPr>
      </w:pPr>
      <w:r w:rsidRPr="002B136D">
        <w:rPr>
          <w:rFonts w:cs="Times New Roman"/>
          <w:szCs w:val="28"/>
        </w:rPr>
        <w:lastRenderedPageBreak/>
        <w:t>В отношении IL-38 была обнаружена обратная корреляция: повышение клинической активности ЭОП связано со снижением уровней IL-38. Этот результат является статистически значимым и подчеркивает потенциальную роль IL-38 как противовоспалительного агента в контексте ЭОП. Эти данные согласуются с представлениями о том, что IL-38 может оказывать тормозящее действие на воспалительный ответ в орбитальной клетчатке.</w:t>
      </w:r>
    </w:p>
    <w:p w14:paraId="6BAE4CD4" w14:textId="405FCE87" w:rsidR="00EB3D58" w:rsidRPr="002B136D" w:rsidRDefault="00EB3D58" w:rsidP="009E575B">
      <w:pPr>
        <w:spacing w:after="0" w:line="240" w:lineRule="auto"/>
        <w:ind w:firstLine="567"/>
        <w:contextualSpacing/>
        <w:jc w:val="both"/>
        <w:rPr>
          <w:rFonts w:cs="Times New Roman"/>
          <w:szCs w:val="28"/>
        </w:rPr>
      </w:pPr>
      <w:r w:rsidRPr="002B136D">
        <w:rPr>
          <w:rFonts w:cs="Times New Roman"/>
          <w:szCs w:val="28"/>
        </w:rPr>
        <w:t>Результаты текущего исследования в значительной степени согласуются с ранее опубликованными данными, подчеркивая роль иммунной инфильтрации и цитокинов в патогенезе ЭОП. Положительная экспрессия IL-17 в активной фазе ЭОП и обратная корреляция IL-38 с активностью заболевания поддерживают гипотезу о центральной роли этих молекул в регуляции воспаления при ЭОП.</w:t>
      </w:r>
    </w:p>
    <w:p w14:paraId="4857C090" w14:textId="3682DBAC" w:rsidR="00EB3D58" w:rsidRPr="002B136D" w:rsidRDefault="00EB3D58" w:rsidP="009E575B">
      <w:pPr>
        <w:spacing w:after="0" w:line="240" w:lineRule="auto"/>
        <w:ind w:firstLine="567"/>
        <w:contextualSpacing/>
        <w:jc w:val="both"/>
        <w:rPr>
          <w:rFonts w:cs="Times New Roman"/>
          <w:szCs w:val="28"/>
        </w:rPr>
      </w:pPr>
      <w:r w:rsidRPr="002B136D">
        <w:rPr>
          <w:rFonts w:cs="Times New Roman"/>
          <w:szCs w:val="28"/>
        </w:rPr>
        <w:t>Общий анализ данных подтверждает значимость гистологических и иммуногистохимических параметров в оценке активности ЭОП. Наличие инфильтрации имм</w:t>
      </w:r>
      <w:r w:rsidR="009F3BA4" w:rsidRPr="002B136D">
        <w:rPr>
          <w:rFonts w:cs="Times New Roman"/>
          <w:szCs w:val="28"/>
        </w:rPr>
        <w:t xml:space="preserve">унных клеток и экспрессии IL-17 </w:t>
      </w:r>
      <w:r w:rsidRPr="002B136D">
        <w:rPr>
          <w:rFonts w:cs="Times New Roman"/>
          <w:szCs w:val="28"/>
        </w:rPr>
        <w:t>в активной форме ЭОП, а также обратная корреляция уровней IL-38 с клинической активностью, предоставляют ценную информацию для понимания механизмов болезни и разработки новых терапевтических подходов.</w:t>
      </w:r>
    </w:p>
    <w:p w14:paraId="542A70CE" w14:textId="77777777" w:rsidR="009E575B" w:rsidRDefault="009E575B" w:rsidP="006D06D7">
      <w:pPr>
        <w:spacing w:after="0" w:line="240" w:lineRule="auto"/>
        <w:ind w:firstLine="709"/>
        <w:contextualSpacing/>
        <w:jc w:val="both"/>
        <w:rPr>
          <w:rFonts w:cs="Times New Roman"/>
          <w:b/>
          <w:szCs w:val="28"/>
        </w:rPr>
      </w:pPr>
    </w:p>
    <w:p w14:paraId="70E3DA66" w14:textId="7B366C1E" w:rsidR="003C4AB8" w:rsidRPr="002B136D" w:rsidRDefault="00143D08" w:rsidP="009E575B">
      <w:pPr>
        <w:spacing w:after="0" w:line="240" w:lineRule="auto"/>
        <w:ind w:firstLine="567"/>
        <w:contextualSpacing/>
        <w:jc w:val="both"/>
        <w:rPr>
          <w:rFonts w:cs="Times New Roman"/>
          <w:b/>
          <w:szCs w:val="28"/>
        </w:rPr>
      </w:pPr>
      <w:r w:rsidRPr="002B136D">
        <w:rPr>
          <w:rFonts w:cs="Times New Roman"/>
          <w:b/>
          <w:szCs w:val="28"/>
        </w:rPr>
        <w:t>3.</w:t>
      </w:r>
      <w:r w:rsidR="00334A43" w:rsidRPr="002B136D">
        <w:rPr>
          <w:rFonts w:cs="Times New Roman"/>
          <w:b/>
          <w:szCs w:val="28"/>
        </w:rPr>
        <w:t>4</w:t>
      </w:r>
      <w:r w:rsidRPr="002B136D">
        <w:rPr>
          <w:rFonts w:cs="Times New Roman"/>
          <w:b/>
          <w:szCs w:val="28"/>
        </w:rPr>
        <w:t xml:space="preserve"> </w:t>
      </w:r>
      <w:r w:rsidR="003C4AB8" w:rsidRPr="002B136D">
        <w:rPr>
          <w:rFonts w:cs="Times New Roman"/>
          <w:b/>
          <w:szCs w:val="28"/>
        </w:rPr>
        <w:t>Влияние полиморфизмов генов IL-17 и IL-38 на развитие эндокринной офтальмопатии и их связь с активностью и тяжестью заболевания</w:t>
      </w:r>
    </w:p>
    <w:p w14:paraId="0477C079" w14:textId="703E7795" w:rsidR="00143D08" w:rsidRPr="002B136D" w:rsidRDefault="00191D04" w:rsidP="009E575B">
      <w:pPr>
        <w:spacing w:after="0" w:line="240" w:lineRule="auto"/>
        <w:ind w:firstLine="567"/>
        <w:contextualSpacing/>
        <w:jc w:val="both"/>
        <w:rPr>
          <w:rFonts w:cs="Times New Roman"/>
          <w:szCs w:val="28"/>
        </w:rPr>
      </w:pPr>
      <w:r w:rsidRPr="002B136D">
        <w:rPr>
          <w:rFonts w:cs="Times New Roman"/>
          <w:szCs w:val="28"/>
        </w:rPr>
        <w:t xml:space="preserve">Далее </w:t>
      </w:r>
      <w:r w:rsidR="00143D08" w:rsidRPr="002B136D">
        <w:rPr>
          <w:rFonts w:cs="Times New Roman"/>
          <w:szCs w:val="28"/>
        </w:rPr>
        <w:t>мы изучили ассоциацию предрасположенности трех генетических полиморфизмов rs9463772</w:t>
      </w:r>
      <w:r w:rsidR="00D77B6D" w:rsidRPr="002B136D">
        <w:rPr>
          <w:rFonts w:cs="Times New Roman"/>
          <w:szCs w:val="28"/>
        </w:rPr>
        <w:t xml:space="preserve"> </w:t>
      </w:r>
      <w:r w:rsidR="00143D08" w:rsidRPr="002B136D">
        <w:rPr>
          <w:rFonts w:cs="Times New Roman"/>
          <w:szCs w:val="28"/>
        </w:rPr>
        <w:t>C/T (Il-17F);</w:t>
      </w:r>
      <w:r w:rsidR="00D77B6D" w:rsidRPr="002B136D">
        <w:rPr>
          <w:rFonts w:cs="Times New Roman"/>
          <w:szCs w:val="28"/>
        </w:rPr>
        <w:t xml:space="preserve"> </w:t>
      </w:r>
      <w:r w:rsidR="00143D08" w:rsidRPr="002B136D">
        <w:rPr>
          <w:rFonts w:cs="Times New Roman"/>
          <w:szCs w:val="28"/>
        </w:rPr>
        <w:t>rs3811058 C/T и rs7570267 A/G</w:t>
      </w:r>
      <w:r w:rsidR="00D77B6D" w:rsidRPr="002B136D">
        <w:rPr>
          <w:rFonts w:cs="Times New Roman"/>
          <w:szCs w:val="28"/>
        </w:rPr>
        <w:t xml:space="preserve"> </w:t>
      </w:r>
      <w:r w:rsidR="00143D08" w:rsidRPr="002B136D">
        <w:rPr>
          <w:rFonts w:cs="Times New Roman"/>
          <w:szCs w:val="28"/>
        </w:rPr>
        <w:t xml:space="preserve">(IL-38) к ЭОП, среди </w:t>
      </w:r>
      <w:r w:rsidR="0038552C" w:rsidRPr="002B136D">
        <w:rPr>
          <w:rFonts w:cs="Times New Roman"/>
          <w:szCs w:val="28"/>
        </w:rPr>
        <w:t>пациентов</w:t>
      </w:r>
      <w:r w:rsidR="00143D08" w:rsidRPr="002B136D">
        <w:rPr>
          <w:rFonts w:cs="Times New Roman"/>
          <w:szCs w:val="28"/>
        </w:rPr>
        <w:t xml:space="preserve"> заболеваниями ЩЖ</w:t>
      </w:r>
      <w:r w:rsidR="00D77B6D" w:rsidRPr="002B136D">
        <w:rPr>
          <w:rFonts w:cs="Times New Roman"/>
          <w:szCs w:val="28"/>
        </w:rPr>
        <w:t xml:space="preserve"> </w:t>
      </w:r>
      <w:proofErr w:type="gramStart"/>
      <w:r w:rsidR="00143D08" w:rsidRPr="002B136D">
        <w:rPr>
          <w:rFonts w:cs="Times New Roman"/>
          <w:szCs w:val="28"/>
        </w:rPr>
        <w:t>с</w:t>
      </w:r>
      <w:proofErr w:type="gramEnd"/>
      <w:r w:rsidR="00143D08" w:rsidRPr="002B136D">
        <w:rPr>
          <w:rFonts w:cs="Times New Roman"/>
          <w:szCs w:val="28"/>
        </w:rPr>
        <w:t xml:space="preserve"> и </w:t>
      </w:r>
      <w:proofErr w:type="gramStart"/>
      <w:r w:rsidR="00143D08" w:rsidRPr="002B136D">
        <w:rPr>
          <w:rFonts w:cs="Times New Roman"/>
          <w:szCs w:val="28"/>
        </w:rPr>
        <w:t>без</w:t>
      </w:r>
      <w:proofErr w:type="gramEnd"/>
      <w:r w:rsidR="00143D08" w:rsidRPr="002B136D">
        <w:rPr>
          <w:rFonts w:cs="Times New Roman"/>
          <w:szCs w:val="28"/>
        </w:rPr>
        <w:t xml:space="preserve"> патологии орбиты.</w:t>
      </w:r>
    </w:p>
    <w:p w14:paraId="56F190F2" w14:textId="7A4E769D" w:rsidR="00191D04" w:rsidRPr="002B136D" w:rsidRDefault="00330958" w:rsidP="009E575B">
      <w:pPr>
        <w:spacing w:after="0" w:line="240" w:lineRule="auto"/>
        <w:ind w:firstLine="567"/>
        <w:contextualSpacing/>
        <w:jc w:val="both"/>
        <w:rPr>
          <w:rFonts w:cs="Times New Roman"/>
          <w:szCs w:val="28"/>
        </w:rPr>
      </w:pPr>
      <w:r w:rsidRPr="002B136D">
        <w:rPr>
          <w:rFonts w:cs="Times New Roman"/>
          <w:szCs w:val="28"/>
        </w:rPr>
        <w:t>Таблица 1</w:t>
      </w:r>
      <w:r w:rsidR="0076161A">
        <w:rPr>
          <w:rFonts w:cs="Times New Roman"/>
          <w:szCs w:val="28"/>
          <w:lang w:val="kk-KZ"/>
        </w:rPr>
        <w:t>7</w:t>
      </w:r>
      <w:r w:rsidR="00191D04" w:rsidRPr="002B136D">
        <w:rPr>
          <w:rFonts w:cs="Times New Roman"/>
          <w:szCs w:val="28"/>
        </w:rPr>
        <w:t xml:space="preserve"> представляет результаты исследования, направленного на изучение ассоциации предрасположенности к развитию офтальмопатии Грейвса (ЭОП) среди пациентов с заболеваниями щитовидной железы (ЩЖ) и без патологии орбиты. Исследование также оценивало связь с тремя генетическими полиморфизмами: rs9463772 C/T (IL-17F), rs3811058 C/T и rs7570267 A/G (IL-38). </w:t>
      </w:r>
    </w:p>
    <w:p w14:paraId="53827D2D" w14:textId="26021DB6" w:rsidR="00191D04" w:rsidRPr="002B136D" w:rsidRDefault="00191D04" w:rsidP="009E575B">
      <w:pPr>
        <w:spacing w:after="0" w:line="240" w:lineRule="auto"/>
        <w:ind w:firstLine="567"/>
        <w:contextualSpacing/>
        <w:jc w:val="both"/>
        <w:rPr>
          <w:rFonts w:cs="Times New Roman"/>
          <w:szCs w:val="28"/>
        </w:rPr>
      </w:pPr>
      <w:r w:rsidRPr="002B136D">
        <w:rPr>
          <w:rFonts w:cs="Times New Roman"/>
          <w:szCs w:val="28"/>
        </w:rPr>
        <w:t>В группе пациентов с ЭОП (n = 132), 66% (87 человек) составляли женщины, а 34% (45 человек) - мужчины. В группе пациентов без ЭОП (n = 153), 76% (116 человек) были женщины, и 24% (37 человек) - мужчины.</w:t>
      </w:r>
    </w:p>
    <w:p w14:paraId="50091CC2" w14:textId="3A3AA0B7" w:rsidR="00191D04" w:rsidRPr="002B136D" w:rsidRDefault="00191D04" w:rsidP="009E575B">
      <w:pPr>
        <w:spacing w:after="0" w:line="240" w:lineRule="auto"/>
        <w:ind w:firstLine="567"/>
        <w:contextualSpacing/>
        <w:jc w:val="both"/>
        <w:rPr>
          <w:rFonts w:cs="Times New Roman"/>
          <w:szCs w:val="28"/>
        </w:rPr>
      </w:pPr>
      <w:r w:rsidRPr="002B136D">
        <w:rPr>
          <w:rFonts w:cs="Times New Roman"/>
          <w:szCs w:val="28"/>
        </w:rPr>
        <w:t>Анализ пола пациентов показывает, что в обеих группах преобладали женщины, но в группе с ЭОП доля мужчин была немного выше.</w:t>
      </w:r>
    </w:p>
    <w:p w14:paraId="7E64202E" w14:textId="0E4A805F" w:rsidR="00191D04" w:rsidRPr="002B136D" w:rsidRDefault="00191D04" w:rsidP="009E575B">
      <w:pPr>
        <w:spacing w:after="0" w:line="240" w:lineRule="auto"/>
        <w:ind w:firstLine="567"/>
        <w:contextualSpacing/>
        <w:jc w:val="both"/>
        <w:rPr>
          <w:rFonts w:cs="Times New Roman"/>
          <w:szCs w:val="28"/>
        </w:rPr>
      </w:pPr>
      <w:r w:rsidRPr="002B136D">
        <w:rPr>
          <w:rFonts w:cs="Times New Roman"/>
          <w:szCs w:val="28"/>
        </w:rPr>
        <w:t xml:space="preserve">В группе пациентов с ЭОП, 56% (74 человека) курили. В группе пациентов без ЭОП, 43.5% (67 человек) были курильщиками. </w:t>
      </w:r>
      <w:proofErr w:type="gramStart"/>
      <w:r w:rsidRPr="002B136D">
        <w:rPr>
          <w:rFonts w:cs="Times New Roman"/>
          <w:szCs w:val="28"/>
        </w:rPr>
        <w:t>Эти данные указывают на более высокий процент курящих среди пациентов с ЭОП, что может свидетельствовать о связи между курением и развитием ЭОП.</w:t>
      </w:r>
      <w:proofErr w:type="gramEnd"/>
    </w:p>
    <w:p w14:paraId="5B2B6BF1" w14:textId="590C1952" w:rsidR="00191D04" w:rsidRPr="002B136D" w:rsidRDefault="00191D04" w:rsidP="009E575B">
      <w:pPr>
        <w:spacing w:after="0" w:line="240" w:lineRule="auto"/>
        <w:ind w:firstLine="567"/>
        <w:contextualSpacing/>
        <w:jc w:val="both"/>
        <w:rPr>
          <w:rFonts w:cs="Times New Roman"/>
          <w:szCs w:val="28"/>
        </w:rPr>
      </w:pPr>
      <w:r w:rsidRPr="002B136D">
        <w:rPr>
          <w:rFonts w:cs="Times New Roman"/>
          <w:szCs w:val="28"/>
        </w:rPr>
        <w:t>Уровни гормонов щитовидной железы (ТТГ, Т3, и Т</w:t>
      </w:r>
      <w:proofErr w:type="gramStart"/>
      <w:r w:rsidRPr="002B136D">
        <w:rPr>
          <w:rFonts w:cs="Times New Roman"/>
          <w:szCs w:val="28"/>
        </w:rPr>
        <w:t>4</w:t>
      </w:r>
      <w:proofErr w:type="gramEnd"/>
      <w:r w:rsidRPr="002B136D">
        <w:rPr>
          <w:rFonts w:cs="Times New Roman"/>
          <w:szCs w:val="28"/>
        </w:rPr>
        <w:t xml:space="preserve">) и антител (анти-рТТГ и анти-ТПО) не показали статистически значимых различий между группами пациентов с ЭОП и без ЭОП, что может свидетельствовать о том, что </w:t>
      </w:r>
      <w:r w:rsidRPr="002B136D">
        <w:rPr>
          <w:rFonts w:cs="Times New Roman"/>
          <w:szCs w:val="28"/>
        </w:rPr>
        <w:lastRenderedPageBreak/>
        <w:t>гормональный фон щитовидной железы не является основным дифференцирующим фактором в контексте данного исследования.</w:t>
      </w:r>
    </w:p>
    <w:p w14:paraId="4DF180A0" w14:textId="77777777" w:rsidR="00743B9C" w:rsidRPr="009E575B" w:rsidRDefault="00743B9C" w:rsidP="009E575B">
      <w:pPr>
        <w:spacing w:after="0" w:line="240" w:lineRule="auto"/>
        <w:ind w:firstLine="567"/>
        <w:contextualSpacing/>
        <w:jc w:val="both"/>
        <w:rPr>
          <w:rFonts w:cs="Times New Roman"/>
          <w:bCs/>
          <w:szCs w:val="28"/>
        </w:rPr>
      </w:pPr>
    </w:p>
    <w:p w14:paraId="3216A79F" w14:textId="2AC13238" w:rsidR="00143D08" w:rsidRPr="009E575B" w:rsidRDefault="00143D08" w:rsidP="009E575B">
      <w:pPr>
        <w:spacing w:after="0" w:line="240" w:lineRule="auto"/>
        <w:rPr>
          <w:rFonts w:cs="Times New Roman"/>
          <w:bCs/>
          <w:szCs w:val="28"/>
        </w:rPr>
      </w:pPr>
      <w:r w:rsidRPr="009E575B">
        <w:rPr>
          <w:rFonts w:cs="Times New Roman"/>
          <w:bCs/>
          <w:szCs w:val="28"/>
        </w:rPr>
        <w:t>Таб</w:t>
      </w:r>
      <w:r w:rsidR="003A52E7" w:rsidRPr="009E575B">
        <w:rPr>
          <w:rFonts w:cs="Times New Roman"/>
          <w:bCs/>
          <w:szCs w:val="28"/>
        </w:rPr>
        <w:t xml:space="preserve">лица </w:t>
      </w:r>
      <w:r w:rsidR="00330958" w:rsidRPr="009E575B">
        <w:rPr>
          <w:rFonts w:cs="Times New Roman"/>
          <w:bCs/>
          <w:szCs w:val="28"/>
        </w:rPr>
        <w:t>1</w:t>
      </w:r>
      <w:r w:rsidR="0076161A">
        <w:rPr>
          <w:rFonts w:cs="Times New Roman"/>
          <w:bCs/>
          <w:szCs w:val="28"/>
        </w:rPr>
        <w:t xml:space="preserve">7 </w:t>
      </w:r>
      <w:r w:rsidR="009E575B" w:rsidRPr="009E575B">
        <w:rPr>
          <w:rFonts w:cs="Times New Roman"/>
          <w:bCs/>
          <w:szCs w:val="28"/>
        </w:rPr>
        <w:t>-</w:t>
      </w:r>
      <w:r w:rsidRPr="009E575B">
        <w:rPr>
          <w:rFonts w:cs="Times New Roman"/>
          <w:bCs/>
          <w:szCs w:val="28"/>
        </w:rPr>
        <w:t xml:space="preserve"> Гормональные характеристики групп</w:t>
      </w:r>
    </w:p>
    <w:p w14:paraId="08D7565C" w14:textId="77777777" w:rsidR="006D06D7" w:rsidRPr="009E575B" w:rsidRDefault="006D06D7" w:rsidP="006D06D7">
      <w:pPr>
        <w:spacing w:after="0" w:line="240" w:lineRule="auto"/>
        <w:jc w:val="center"/>
        <w:rPr>
          <w:rFonts w:cs="Times New Roman"/>
          <w:b/>
          <w:szCs w:val="28"/>
        </w:rPr>
      </w:pPr>
    </w:p>
    <w:tbl>
      <w:tblPr>
        <w:tblStyle w:val="ac"/>
        <w:tblW w:w="0" w:type="auto"/>
        <w:tblInd w:w="108" w:type="dxa"/>
        <w:tblLook w:val="04A0" w:firstRow="1" w:lastRow="0" w:firstColumn="1" w:lastColumn="0" w:noHBand="0" w:noVBand="1"/>
      </w:tblPr>
      <w:tblGrid>
        <w:gridCol w:w="2552"/>
        <w:gridCol w:w="2835"/>
        <w:gridCol w:w="3118"/>
        <w:gridCol w:w="1134"/>
      </w:tblGrid>
      <w:tr w:rsidR="002B136D" w:rsidRPr="002B136D" w14:paraId="0693D0EF" w14:textId="77777777" w:rsidTr="009E575B">
        <w:tc>
          <w:tcPr>
            <w:tcW w:w="2552" w:type="dxa"/>
          </w:tcPr>
          <w:p w14:paraId="2A2943C6" w14:textId="7D6DEF27" w:rsidR="00143D08" w:rsidRPr="002B136D" w:rsidRDefault="00743B9C" w:rsidP="006D06D7">
            <w:pPr>
              <w:jc w:val="both"/>
              <w:rPr>
                <w:rFonts w:cs="Times New Roman"/>
                <w:sz w:val="24"/>
                <w:szCs w:val="28"/>
              </w:rPr>
            </w:pPr>
            <w:r w:rsidRPr="002B136D">
              <w:rPr>
                <w:rFonts w:cs="Times New Roman"/>
                <w:sz w:val="24"/>
                <w:szCs w:val="28"/>
              </w:rPr>
              <w:t>Показатель</w:t>
            </w:r>
          </w:p>
        </w:tc>
        <w:tc>
          <w:tcPr>
            <w:tcW w:w="2835" w:type="dxa"/>
          </w:tcPr>
          <w:p w14:paraId="0C19CD13" w14:textId="23F37767" w:rsidR="00743B9C" w:rsidRPr="009E575B" w:rsidRDefault="00143D08" w:rsidP="00F35C00">
            <w:pPr>
              <w:jc w:val="both"/>
              <w:rPr>
                <w:rFonts w:cs="Times New Roman"/>
                <w:sz w:val="24"/>
                <w:szCs w:val="28"/>
              </w:rPr>
            </w:pPr>
            <w:r w:rsidRPr="002B136D">
              <w:rPr>
                <w:rFonts w:cs="Times New Roman"/>
                <w:sz w:val="24"/>
                <w:szCs w:val="28"/>
              </w:rPr>
              <w:t>Пациенты с ЭОП</w:t>
            </w:r>
            <w:r w:rsidR="009E575B">
              <w:rPr>
                <w:rFonts w:cs="Times New Roman"/>
                <w:sz w:val="24"/>
                <w:szCs w:val="28"/>
              </w:rPr>
              <w:t xml:space="preserve"> </w:t>
            </w:r>
            <w:r w:rsidR="00743B9C" w:rsidRPr="002B136D">
              <w:rPr>
                <w:rFonts w:cs="Times New Roman"/>
                <w:sz w:val="24"/>
                <w:szCs w:val="28"/>
                <w:lang w:val="en-US"/>
              </w:rPr>
              <w:t>n - 132</w:t>
            </w:r>
          </w:p>
        </w:tc>
        <w:tc>
          <w:tcPr>
            <w:tcW w:w="3118" w:type="dxa"/>
          </w:tcPr>
          <w:p w14:paraId="54DD0E55" w14:textId="517F83E3" w:rsidR="00743B9C" w:rsidRPr="009E575B" w:rsidRDefault="00143D08" w:rsidP="006D06D7">
            <w:pPr>
              <w:jc w:val="both"/>
              <w:rPr>
                <w:rFonts w:cs="Times New Roman"/>
                <w:sz w:val="24"/>
                <w:szCs w:val="28"/>
              </w:rPr>
            </w:pPr>
            <w:r w:rsidRPr="002B136D">
              <w:rPr>
                <w:rFonts w:cs="Times New Roman"/>
                <w:sz w:val="24"/>
                <w:szCs w:val="28"/>
              </w:rPr>
              <w:t>Пациенты без ЭОП</w:t>
            </w:r>
            <w:r w:rsidR="00F35C00">
              <w:rPr>
                <w:rFonts w:cs="Times New Roman"/>
                <w:sz w:val="24"/>
                <w:szCs w:val="28"/>
              </w:rPr>
              <w:t xml:space="preserve"> </w:t>
            </w:r>
            <w:r w:rsidR="00743B9C" w:rsidRPr="002B136D">
              <w:rPr>
                <w:rFonts w:cs="Times New Roman"/>
                <w:sz w:val="24"/>
                <w:szCs w:val="28"/>
                <w:lang w:val="en-US"/>
              </w:rPr>
              <w:t>n - 153</w:t>
            </w:r>
          </w:p>
        </w:tc>
        <w:tc>
          <w:tcPr>
            <w:tcW w:w="1134" w:type="dxa"/>
          </w:tcPr>
          <w:p w14:paraId="3F7BAC75" w14:textId="77777777" w:rsidR="00143D08" w:rsidRPr="002B136D" w:rsidRDefault="00143D08" w:rsidP="006D06D7">
            <w:pPr>
              <w:jc w:val="both"/>
              <w:rPr>
                <w:rFonts w:cs="Times New Roman"/>
                <w:sz w:val="24"/>
                <w:szCs w:val="28"/>
              </w:rPr>
            </w:pPr>
            <w:proofErr w:type="gramStart"/>
            <w:r w:rsidRPr="002B136D">
              <w:rPr>
                <w:rFonts w:cs="Times New Roman"/>
                <w:sz w:val="24"/>
                <w:szCs w:val="28"/>
              </w:rPr>
              <w:t>Р</w:t>
            </w:r>
            <w:proofErr w:type="gramEnd"/>
            <w:r w:rsidRPr="002B136D">
              <w:rPr>
                <w:rFonts w:cs="Times New Roman"/>
                <w:sz w:val="24"/>
                <w:szCs w:val="28"/>
              </w:rPr>
              <w:t xml:space="preserve">- </w:t>
            </w:r>
            <w:r w:rsidRPr="002B136D">
              <w:rPr>
                <w:rFonts w:cs="Times New Roman"/>
                <w:sz w:val="24"/>
                <w:szCs w:val="28"/>
                <w:lang w:val="en-US"/>
              </w:rPr>
              <w:t>value</w:t>
            </w:r>
          </w:p>
        </w:tc>
      </w:tr>
      <w:tr w:rsidR="002B136D" w:rsidRPr="002B136D" w14:paraId="4ABAED06" w14:textId="77777777" w:rsidTr="009E575B">
        <w:tc>
          <w:tcPr>
            <w:tcW w:w="9639" w:type="dxa"/>
            <w:gridSpan w:val="4"/>
          </w:tcPr>
          <w:p w14:paraId="1373561A" w14:textId="283415B6" w:rsidR="00743B9C" w:rsidRPr="002B136D" w:rsidRDefault="00743B9C" w:rsidP="009E575B">
            <w:pPr>
              <w:jc w:val="center"/>
              <w:rPr>
                <w:rFonts w:cs="Times New Roman"/>
                <w:sz w:val="24"/>
                <w:szCs w:val="28"/>
              </w:rPr>
            </w:pPr>
            <w:r w:rsidRPr="002B136D">
              <w:rPr>
                <w:rFonts w:cs="Times New Roman"/>
                <w:sz w:val="24"/>
                <w:szCs w:val="28"/>
              </w:rPr>
              <w:t>Пол</w:t>
            </w:r>
          </w:p>
        </w:tc>
      </w:tr>
      <w:tr w:rsidR="002B136D" w:rsidRPr="002B136D" w14:paraId="40657801" w14:textId="77777777" w:rsidTr="009E575B">
        <w:tc>
          <w:tcPr>
            <w:tcW w:w="2552" w:type="dxa"/>
          </w:tcPr>
          <w:p w14:paraId="6FC31ECA" w14:textId="52882BA9" w:rsidR="00143D08" w:rsidRPr="002B136D" w:rsidRDefault="00743B9C" w:rsidP="006D06D7">
            <w:pPr>
              <w:jc w:val="both"/>
              <w:rPr>
                <w:rFonts w:cs="Times New Roman"/>
                <w:sz w:val="24"/>
                <w:szCs w:val="28"/>
              </w:rPr>
            </w:pPr>
            <w:r w:rsidRPr="002B136D">
              <w:rPr>
                <w:rFonts w:cs="Times New Roman"/>
                <w:sz w:val="24"/>
                <w:szCs w:val="28"/>
              </w:rPr>
              <w:t xml:space="preserve">     </w:t>
            </w:r>
            <w:r w:rsidR="00143D08" w:rsidRPr="002B136D">
              <w:rPr>
                <w:rFonts w:cs="Times New Roman"/>
                <w:sz w:val="24"/>
                <w:szCs w:val="28"/>
              </w:rPr>
              <w:t xml:space="preserve">Женщины </w:t>
            </w:r>
          </w:p>
        </w:tc>
        <w:tc>
          <w:tcPr>
            <w:tcW w:w="2835" w:type="dxa"/>
          </w:tcPr>
          <w:p w14:paraId="2B810D8A" w14:textId="30A8EE9A" w:rsidR="00143D08" w:rsidRPr="002B136D" w:rsidRDefault="00743B9C" w:rsidP="006D06D7">
            <w:pPr>
              <w:jc w:val="both"/>
              <w:rPr>
                <w:rFonts w:cs="Times New Roman"/>
                <w:sz w:val="24"/>
                <w:szCs w:val="28"/>
                <w:lang w:val="en-US"/>
              </w:rPr>
            </w:pPr>
            <w:r w:rsidRPr="002B136D">
              <w:rPr>
                <w:rFonts w:cs="Times New Roman"/>
                <w:sz w:val="24"/>
                <w:szCs w:val="28"/>
                <w:lang w:val="en-US"/>
              </w:rPr>
              <w:t>87 (</w:t>
            </w:r>
            <w:r w:rsidR="00143D08" w:rsidRPr="002B136D">
              <w:rPr>
                <w:rFonts w:cs="Times New Roman"/>
                <w:sz w:val="24"/>
                <w:szCs w:val="28"/>
                <w:lang w:val="kk-KZ"/>
              </w:rPr>
              <w:t>66</w:t>
            </w:r>
            <w:r w:rsidR="00143D08" w:rsidRPr="002B136D">
              <w:rPr>
                <w:rFonts w:cs="Times New Roman"/>
                <w:sz w:val="24"/>
                <w:szCs w:val="28"/>
              </w:rPr>
              <w:t>%</w:t>
            </w:r>
            <w:r w:rsidRPr="002B136D">
              <w:rPr>
                <w:rFonts w:cs="Times New Roman"/>
                <w:sz w:val="24"/>
                <w:szCs w:val="28"/>
                <w:lang w:val="en-US"/>
              </w:rPr>
              <w:t>)</w:t>
            </w:r>
          </w:p>
        </w:tc>
        <w:tc>
          <w:tcPr>
            <w:tcW w:w="3118" w:type="dxa"/>
          </w:tcPr>
          <w:p w14:paraId="10F13F2D" w14:textId="195B871F" w:rsidR="00143D08" w:rsidRPr="002B136D" w:rsidRDefault="00743B9C" w:rsidP="001F23D6">
            <w:pPr>
              <w:jc w:val="both"/>
              <w:rPr>
                <w:rFonts w:cs="Times New Roman"/>
                <w:sz w:val="24"/>
                <w:szCs w:val="28"/>
                <w:lang w:val="en-US"/>
              </w:rPr>
            </w:pPr>
            <w:r w:rsidRPr="002B136D">
              <w:rPr>
                <w:rFonts w:cs="Times New Roman"/>
                <w:sz w:val="24"/>
                <w:szCs w:val="28"/>
                <w:lang w:val="en-US"/>
              </w:rPr>
              <w:t>11</w:t>
            </w:r>
            <w:r w:rsidR="001F23D6" w:rsidRPr="002B136D">
              <w:rPr>
                <w:rFonts w:cs="Times New Roman"/>
                <w:sz w:val="24"/>
                <w:szCs w:val="28"/>
              </w:rPr>
              <w:t>5</w:t>
            </w:r>
            <w:r w:rsidRPr="002B136D">
              <w:rPr>
                <w:rFonts w:cs="Times New Roman"/>
                <w:sz w:val="24"/>
                <w:szCs w:val="28"/>
                <w:lang w:val="en-US"/>
              </w:rPr>
              <w:t xml:space="preserve"> (</w:t>
            </w:r>
            <w:r w:rsidR="00143D08" w:rsidRPr="002B136D">
              <w:rPr>
                <w:rFonts w:cs="Times New Roman"/>
                <w:sz w:val="24"/>
                <w:szCs w:val="28"/>
              </w:rPr>
              <w:t>76%</w:t>
            </w:r>
            <w:r w:rsidRPr="002B136D">
              <w:rPr>
                <w:rFonts w:cs="Times New Roman"/>
                <w:sz w:val="24"/>
                <w:szCs w:val="28"/>
                <w:lang w:val="en-US"/>
              </w:rPr>
              <w:t>)</w:t>
            </w:r>
          </w:p>
        </w:tc>
        <w:tc>
          <w:tcPr>
            <w:tcW w:w="1134" w:type="dxa"/>
          </w:tcPr>
          <w:p w14:paraId="1211653C" w14:textId="77777777" w:rsidR="00143D08" w:rsidRPr="002B136D" w:rsidRDefault="00143D08" w:rsidP="006D06D7">
            <w:pPr>
              <w:jc w:val="both"/>
              <w:rPr>
                <w:rFonts w:cs="Times New Roman"/>
                <w:sz w:val="24"/>
                <w:szCs w:val="28"/>
              </w:rPr>
            </w:pPr>
            <w:r w:rsidRPr="002B136D">
              <w:rPr>
                <w:rFonts w:cs="Times New Roman"/>
                <w:sz w:val="24"/>
                <w:szCs w:val="28"/>
              </w:rPr>
              <w:t>-</w:t>
            </w:r>
          </w:p>
        </w:tc>
      </w:tr>
      <w:tr w:rsidR="002B136D" w:rsidRPr="002B136D" w14:paraId="04CF22AE" w14:textId="77777777" w:rsidTr="009E575B">
        <w:tc>
          <w:tcPr>
            <w:tcW w:w="2552" w:type="dxa"/>
          </w:tcPr>
          <w:p w14:paraId="0FB9839A" w14:textId="0A1BF299" w:rsidR="00143D08" w:rsidRPr="002B136D" w:rsidRDefault="00743B9C" w:rsidP="006D06D7">
            <w:pPr>
              <w:jc w:val="both"/>
              <w:rPr>
                <w:rFonts w:cs="Times New Roman"/>
                <w:sz w:val="24"/>
                <w:szCs w:val="28"/>
              </w:rPr>
            </w:pPr>
            <w:r w:rsidRPr="002B136D">
              <w:rPr>
                <w:rFonts w:cs="Times New Roman"/>
                <w:sz w:val="24"/>
                <w:szCs w:val="28"/>
              </w:rPr>
              <w:t xml:space="preserve">      </w:t>
            </w:r>
            <w:r w:rsidR="00143D08" w:rsidRPr="002B136D">
              <w:rPr>
                <w:rFonts w:cs="Times New Roman"/>
                <w:sz w:val="24"/>
                <w:szCs w:val="28"/>
              </w:rPr>
              <w:t xml:space="preserve">Мужчины </w:t>
            </w:r>
          </w:p>
        </w:tc>
        <w:tc>
          <w:tcPr>
            <w:tcW w:w="2835" w:type="dxa"/>
          </w:tcPr>
          <w:p w14:paraId="5AFA5820" w14:textId="4F686FB4" w:rsidR="00143D08" w:rsidRPr="002B136D" w:rsidRDefault="00743B9C" w:rsidP="006D06D7">
            <w:pPr>
              <w:jc w:val="both"/>
              <w:rPr>
                <w:rFonts w:cs="Times New Roman"/>
                <w:sz w:val="24"/>
                <w:szCs w:val="28"/>
                <w:lang w:val="en-US"/>
              </w:rPr>
            </w:pPr>
            <w:r w:rsidRPr="002B136D">
              <w:rPr>
                <w:rFonts w:cs="Times New Roman"/>
                <w:sz w:val="24"/>
                <w:szCs w:val="28"/>
                <w:lang w:val="en-US"/>
              </w:rPr>
              <w:t>45 (</w:t>
            </w:r>
            <w:r w:rsidR="00143D08" w:rsidRPr="002B136D">
              <w:rPr>
                <w:rFonts w:cs="Times New Roman"/>
                <w:sz w:val="24"/>
                <w:szCs w:val="28"/>
              </w:rPr>
              <w:t>34%</w:t>
            </w:r>
            <w:r w:rsidRPr="002B136D">
              <w:rPr>
                <w:rFonts w:cs="Times New Roman"/>
                <w:sz w:val="24"/>
                <w:szCs w:val="28"/>
                <w:lang w:val="en-US"/>
              </w:rPr>
              <w:t>)</w:t>
            </w:r>
          </w:p>
        </w:tc>
        <w:tc>
          <w:tcPr>
            <w:tcW w:w="3118" w:type="dxa"/>
          </w:tcPr>
          <w:p w14:paraId="5113B1C5" w14:textId="469F947E" w:rsidR="00143D08" w:rsidRPr="002B136D" w:rsidRDefault="00743B9C" w:rsidP="006D06D7">
            <w:pPr>
              <w:jc w:val="both"/>
              <w:rPr>
                <w:rFonts w:cs="Times New Roman"/>
                <w:sz w:val="24"/>
                <w:szCs w:val="28"/>
                <w:lang w:val="en-US"/>
              </w:rPr>
            </w:pPr>
            <w:r w:rsidRPr="002B136D">
              <w:rPr>
                <w:rFonts w:cs="Times New Roman"/>
                <w:sz w:val="24"/>
                <w:szCs w:val="28"/>
                <w:lang w:val="en-US"/>
              </w:rPr>
              <w:t>37 (</w:t>
            </w:r>
            <w:r w:rsidR="00143D08" w:rsidRPr="002B136D">
              <w:rPr>
                <w:rFonts w:cs="Times New Roman"/>
                <w:sz w:val="24"/>
                <w:szCs w:val="28"/>
                <w:lang w:val="kk-KZ"/>
              </w:rPr>
              <w:t>24%</w:t>
            </w:r>
            <w:r w:rsidRPr="002B136D">
              <w:rPr>
                <w:rFonts w:cs="Times New Roman"/>
                <w:sz w:val="24"/>
                <w:szCs w:val="28"/>
                <w:lang w:val="en-US"/>
              </w:rPr>
              <w:t>)</w:t>
            </w:r>
          </w:p>
        </w:tc>
        <w:tc>
          <w:tcPr>
            <w:tcW w:w="1134" w:type="dxa"/>
          </w:tcPr>
          <w:p w14:paraId="7B97ACDA" w14:textId="77777777" w:rsidR="00143D08" w:rsidRPr="002B136D" w:rsidRDefault="00143D08" w:rsidP="006D06D7">
            <w:pPr>
              <w:jc w:val="both"/>
              <w:rPr>
                <w:rFonts w:cs="Times New Roman"/>
                <w:sz w:val="24"/>
                <w:szCs w:val="28"/>
              </w:rPr>
            </w:pPr>
            <w:r w:rsidRPr="002B136D">
              <w:rPr>
                <w:rFonts w:cs="Times New Roman"/>
                <w:sz w:val="24"/>
                <w:szCs w:val="28"/>
              </w:rPr>
              <w:t>-</w:t>
            </w:r>
          </w:p>
        </w:tc>
      </w:tr>
      <w:tr w:rsidR="002B136D" w:rsidRPr="002B136D" w14:paraId="4E3BDF54" w14:textId="77777777" w:rsidTr="009E575B">
        <w:tc>
          <w:tcPr>
            <w:tcW w:w="2552" w:type="dxa"/>
          </w:tcPr>
          <w:p w14:paraId="19722DE0" w14:textId="77777777" w:rsidR="00143D08" w:rsidRPr="002B136D" w:rsidRDefault="00143D08" w:rsidP="006D06D7">
            <w:pPr>
              <w:jc w:val="both"/>
              <w:rPr>
                <w:rFonts w:cs="Times New Roman"/>
                <w:sz w:val="24"/>
                <w:szCs w:val="28"/>
              </w:rPr>
            </w:pPr>
            <w:r w:rsidRPr="002B136D">
              <w:rPr>
                <w:rFonts w:cs="Times New Roman"/>
                <w:sz w:val="24"/>
                <w:szCs w:val="28"/>
              </w:rPr>
              <w:t xml:space="preserve">Курильщики </w:t>
            </w:r>
          </w:p>
        </w:tc>
        <w:tc>
          <w:tcPr>
            <w:tcW w:w="2835" w:type="dxa"/>
          </w:tcPr>
          <w:p w14:paraId="4C56BAD9" w14:textId="1A537F63" w:rsidR="00143D08" w:rsidRPr="002B136D" w:rsidRDefault="00743B9C" w:rsidP="006D06D7">
            <w:pPr>
              <w:jc w:val="both"/>
              <w:rPr>
                <w:rFonts w:cs="Times New Roman"/>
                <w:sz w:val="24"/>
                <w:szCs w:val="28"/>
                <w:lang w:val="en-US"/>
              </w:rPr>
            </w:pPr>
            <w:r w:rsidRPr="002B136D">
              <w:rPr>
                <w:rFonts w:cs="Times New Roman"/>
                <w:sz w:val="24"/>
                <w:szCs w:val="28"/>
                <w:lang w:val="en-US"/>
              </w:rPr>
              <w:t>74 (</w:t>
            </w:r>
            <w:r w:rsidR="00143D08" w:rsidRPr="002B136D">
              <w:rPr>
                <w:rFonts w:cs="Times New Roman"/>
                <w:sz w:val="24"/>
                <w:szCs w:val="28"/>
              </w:rPr>
              <w:t>56%</w:t>
            </w:r>
            <w:r w:rsidRPr="002B136D">
              <w:rPr>
                <w:rFonts w:cs="Times New Roman"/>
                <w:sz w:val="24"/>
                <w:szCs w:val="28"/>
                <w:lang w:val="en-US"/>
              </w:rPr>
              <w:t>)</w:t>
            </w:r>
          </w:p>
        </w:tc>
        <w:tc>
          <w:tcPr>
            <w:tcW w:w="3118" w:type="dxa"/>
          </w:tcPr>
          <w:p w14:paraId="364AF3D2" w14:textId="3F49FFDE" w:rsidR="00143D08" w:rsidRPr="002B136D" w:rsidRDefault="00743B9C" w:rsidP="006D06D7">
            <w:pPr>
              <w:jc w:val="both"/>
              <w:rPr>
                <w:rFonts w:cs="Times New Roman"/>
                <w:sz w:val="24"/>
                <w:szCs w:val="28"/>
                <w:lang w:val="en-US"/>
              </w:rPr>
            </w:pPr>
            <w:r w:rsidRPr="002B136D">
              <w:rPr>
                <w:rFonts w:cs="Times New Roman"/>
                <w:sz w:val="24"/>
                <w:szCs w:val="28"/>
                <w:lang w:val="en-US"/>
              </w:rPr>
              <w:t>67 (</w:t>
            </w:r>
            <w:r w:rsidR="00143D08" w:rsidRPr="002B136D">
              <w:rPr>
                <w:rFonts w:cs="Times New Roman"/>
                <w:sz w:val="24"/>
                <w:szCs w:val="28"/>
              </w:rPr>
              <w:t>43</w:t>
            </w:r>
            <w:proofErr w:type="gramStart"/>
            <w:r w:rsidR="00143D08" w:rsidRPr="002B136D">
              <w:rPr>
                <w:rFonts w:cs="Times New Roman"/>
                <w:sz w:val="24"/>
                <w:szCs w:val="28"/>
              </w:rPr>
              <w:t>,5</w:t>
            </w:r>
            <w:proofErr w:type="gramEnd"/>
            <w:r w:rsidR="00143D08" w:rsidRPr="002B136D">
              <w:rPr>
                <w:rFonts w:cs="Times New Roman"/>
                <w:sz w:val="24"/>
                <w:szCs w:val="28"/>
              </w:rPr>
              <w:t>%</w:t>
            </w:r>
            <w:r w:rsidRPr="002B136D">
              <w:rPr>
                <w:rFonts w:cs="Times New Roman"/>
                <w:sz w:val="24"/>
                <w:szCs w:val="28"/>
                <w:lang w:val="en-US"/>
              </w:rPr>
              <w:t>)</w:t>
            </w:r>
          </w:p>
        </w:tc>
        <w:tc>
          <w:tcPr>
            <w:tcW w:w="1134" w:type="dxa"/>
          </w:tcPr>
          <w:p w14:paraId="747882B9" w14:textId="77777777" w:rsidR="00143D08" w:rsidRPr="002B136D" w:rsidRDefault="00143D08" w:rsidP="006D06D7">
            <w:pPr>
              <w:jc w:val="both"/>
              <w:rPr>
                <w:rFonts w:cs="Times New Roman"/>
                <w:sz w:val="24"/>
                <w:szCs w:val="28"/>
              </w:rPr>
            </w:pPr>
            <w:r w:rsidRPr="002B136D">
              <w:rPr>
                <w:rFonts w:cs="Times New Roman"/>
                <w:sz w:val="24"/>
                <w:szCs w:val="28"/>
              </w:rPr>
              <w:t>-</w:t>
            </w:r>
          </w:p>
        </w:tc>
      </w:tr>
      <w:tr w:rsidR="002B136D" w:rsidRPr="002B136D" w14:paraId="278E35A8" w14:textId="77777777" w:rsidTr="009E575B">
        <w:tc>
          <w:tcPr>
            <w:tcW w:w="9639" w:type="dxa"/>
            <w:gridSpan w:val="4"/>
          </w:tcPr>
          <w:p w14:paraId="2AC01FBC" w14:textId="3FF976F7" w:rsidR="00743B9C" w:rsidRPr="002B136D" w:rsidRDefault="00743B9C" w:rsidP="006D06D7">
            <w:pPr>
              <w:jc w:val="both"/>
              <w:rPr>
                <w:rFonts w:cs="Times New Roman"/>
                <w:sz w:val="24"/>
                <w:szCs w:val="28"/>
              </w:rPr>
            </w:pPr>
            <w:r w:rsidRPr="002B136D">
              <w:rPr>
                <w:rFonts w:cs="Times New Roman"/>
                <w:sz w:val="24"/>
                <w:szCs w:val="28"/>
              </w:rPr>
              <w:t xml:space="preserve">Уровень гормонов </w:t>
            </w:r>
          </w:p>
        </w:tc>
      </w:tr>
      <w:tr w:rsidR="002B136D" w:rsidRPr="002B136D" w14:paraId="0AB96ABC" w14:textId="77777777" w:rsidTr="009E575B">
        <w:tc>
          <w:tcPr>
            <w:tcW w:w="2552" w:type="dxa"/>
          </w:tcPr>
          <w:p w14:paraId="15AD3704" w14:textId="2B728D9B" w:rsidR="00143D08" w:rsidRPr="002B136D" w:rsidRDefault="00191D04" w:rsidP="006D06D7">
            <w:pPr>
              <w:jc w:val="both"/>
              <w:rPr>
                <w:rFonts w:cs="Times New Roman"/>
                <w:sz w:val="24"/>
                <w:szCs w:val="28"/>
                <w:lang w:val="en-US"/>
              </w:rPr>
            </w:pPr>
            <w:r w:rsidRPr="002B136D">
              <w:rPr>
                <w:rFonts w:cs="Times New Roman"/>
                <w:sz w:val="24"/>
                <w:szCs w:val="28"/>
              </w:rPr>
              <w:t xml:space="preserve">     </w:t>
            </w:r>
            <w:r w:rsidR="00143D08" w:rsidRPr="002B136D">
              <w:rPr>
                <w:rFonts w:cs="Times New Roman"/>
                <w:sz w:val="24"/>
                <w:szCs w:val="28"/>
              </w:rPr>
              <w:t xml:space="preserve">ТТГ (мЕД/л) </w:t>
            </w:r>
          </w:p>
        </w:tc>
        <w:tc>
          <w:tcPr>
            <w:tcW w:w="2835" w:type="dxa"/>
          </w:tcPr>
          <w:p w14:paraId="312444C8" w14:textId="77777777" w:rsidR="00143D08" w:rsidRPr="002B136D" w:rsidRDefault="00143D08" w:rsidP="006D06D7">
            <w:pPr>
              <w:jc w:val="both"/>
              <w:rPr>
                <w:rFonts w:cs="Times New Roman"/>
                <w:sz w:val="24"/>
                <w:szCs w:val="28"/>
              </w:rPr>
            </w:pPr>
            <w:r w:rsidRPr="002B136D">
              <w:rPr>
                <w:rFonts w:cs="Times New Roman"/>
                <w:sz w:val="24"/>
                <w:szCs w:val="28"/>
              </w:rPr>
              <w:t>1,3±0,95</w:t>
            </w:r>
          </w:p>
        </w:tc>
        <w:tc>
          <w:tcPr>
            <w:tcW w:w="3118" w:type="dxa"/>
          </w:tcPr>
          <w:p w14:paraId="576F8C90" w14:textId="77777777" w:rsidR="00143D08" w:rsidRPr="002B136D" w:rsidRDefault="00143D08" w:rsidP="006D06D7">
            <w:pPr>
              <w:jc w:val="both"/>
              <w:rPr>
                <w:rFonts w:cs="Times New Roman"/>
                <w:sz w:val="24"/>
                <w:szCs w:val="28"/>
              </w:rPr>
            </w:pPr>
            <w:r w:rsidRPr="002B136D">
              <w:rPr>
                <w:rFonts w:cs="Times New Roman"/>
                <w:sz w:val="24"/>
                <w:szCs w:val="28"/>
              </w:rPr>
              <w:t>1,6±1,2</w:t>
            </w:r>
          </w:p>
        </w:tc>
        <w:tc>
          <w:tcPr>
            <w:tcW w:w="1134" w:type="dxa"/>
          </w:tcPr>
          <w:p w14:paraId="6D705D55" w14:textId="77777777" w:rsidR="00143D08" w:rsidRPr="002B136D" w:rsidRDefault="00143D08" w:rsidP="006D06D7">
            <w:pPr>
              <w:jc w:val="both"/>
              <w:rPr>
                <w:rFonts w:cs="Times New Roman"/>
                <w:sz w:val="24"/>
                <w:szCs w:val="28"/>
                <w:lang w:val="en-US"/>
              </w:rPr>
            </w:pPr>
            <w:r w:rsidRPr="002B136D">
              <w:rPr>
                <w:rFonts w:cs="Times New Roman"/>
                <w:sz w:val="24"/>
                <w:szCs w:val="28"/>
                <w:lang w:val="en-US"/>
              </w:rPr>
              <w:t>0.8</w:t>
            </w:r>
          </w:p>
        </w:tc>
      </w:tr>
      <w:tr w:rsidR="002B136D" w:rsidRPr="002B136D" w14:paraId="5451AC34" w14:textId="77777777" w:rsidTr="009E575B">
        <w:tc>
          <w:tcPr>
            <w:tcW w:w="2552" w:type="dxa"/>
          </w:tcPr>
          <w:p w14:paraId="064074A9" w14:textId="47EC111F" w:rsidR="00143D08" w:rsidRPr="002B136D" w:rsidRDefault="00191D04" w:rsidP="006D06D7">
            <w:pPr>
              <w:jc w:val="both"/>
              <w:rPr>
                <w:rFonts w:cs="Times New Roman"/>
                <w:sz w:val="24"/>
                <w:szCs w:val="28"/>
              </w:rPr>
            </w:pPr>
            <w:r w:rsidRPr="002B136D">
              <w:rPr>
                <w:rFonts w:cs="Times New Roman"/>
                <w:sz w:val="24"/>
                <w:szCs w:val="28"/>
              </w:rPr>
              <w:t xml:space="preserve">     </w:t>
            </w:r>
            <w:r w:rsidR="00143D08" w:rsidRPr="002B136D">
              <w:rPr>
                <w:rFonts w:cs="Times New Roman"/>
                <w:sz w:val="24"/>
                <w:szCs w:val="28"/>
              </w:rPr>
              <w:t>Т3 (пмоль/л)</w:t>
            </w:r>
          </w:p>
        </w:tc>
        <w:tc>
          <w:tcPr>
            <w:tcW w:w="2835" w:type="dxa"/>
          </w:tcPr>
          <w:p w14:paraId="71C81A02" w14:textId="77777777" w:rsidR="00143D08" w:rsidRPr="002B136D" w:rsidRDefault="00143D08" w:rsidP="006D06D7">
            <w:pPr>
              <w:jc w:val="both"/>
              <w:rPr>
                <w:rFonts w:cs="Times New Roman"/>
                <w:sz w:val="24"/>
                <w:szCs w:val="28"/>
              </w:rPr>
            </w:pPr>
            <w:r w:rsidRPr="002B136D">
              <w:rPr>
                <w:rFonts w:cs="Times New Roman"/>
                <w:sz w:val="24"/>
                <w:szCs w:val="28"/>
              </w:rPr>
              <w:t>6,4±2,01</w:t>
            </w:r>
          </w:p>
        </w:tc>
        <w:tc>
          <w:tcPr>
            <w:tcW w:w="3118" w:type="dxa"/>
          </w:tcPr>
          <w:p w14:paraId="249ABBC9" w14:textId="77777777" w:rsidR="00143D08" w:rsidRPr="002B136D" w:rsidRDefault="00143D08" w:rsidP="006D06D7">
            <w:pPr>
              <w:jc w:val="both"/>
              <w:rPr>
                <w:rFonts w:cs="Times New Roman"/>
                <w:sz w:val="24"/>
                <w:szCs w:val="28"/>
              </w:rPr>
            </w:pPr>
            <w:r w:rsidRPr="002B136D">
              <w:rPr>
                <w:rFonts w:cs="Times New Roman"/>
                <w:sz w:val="24"/>
                <w:szCs w:val="28"/>
              </w:rPr>
              <w:t>5,9±1,3</w:t>
            </w:r>
          </w:p>
        </w:tc>
        <w:tc>
          <w:tcPr>
            <w:tcW w:w="1134" w:type="dxa"/>
          </w:tcPr>
          <w:p w14:paraId="5F22C7A3" w14:textId="77777777" w:rsidR="00143D08" w:rsidRPr="002B136D" w:rsidRDefault="00143D08" w:rsidP="006D06D7">
            <w:pPr>
              <w:jc w:val="both"/>
              <w:rPr>
                <w:rFonts w:cs="Times New Roman"/>
                <w:sz w:val="24"/>
                <w:szCs w:val="28"/>
                <w:lang w:val="en-US"/>
              </w:rPr>
            </w:pPr>
            <w:r w:rsidRPr="002B136D">
              <w:rPr>
                <w:rFonts w:cs="Times New Roman"/>
                <w:sz w:val="24"/>
                <w:szCs w:val="28"/>
                <w:lang w:val="en-US"/>
              </w:rPr>
              <w:t>0.83</w:t>
            </w:r>
          </w:p>
        </w:tc>
      </w:tr>
      <w:tr w:rsidR="002B136D" w:rsidRPr="002B136D" w14:paraId="5B0FAA50" w14:textId="77777777" w:rsidTr="009E575B">
        <w:tc>
          <w:tcPr>
            <w:tcW w:w="2552" w:type="dxa"/>
          </w:tcPr>
          <w:p w14:paraId="5C48279F" w14:textId="7DC69BC2" w:rsidR="00143D08" w:rsidRPr="002B136D" w:rsidRDefault="00191D04" w:rsidP="006D06D7">
            <w:pPr>
              <w:jc w:val="both"/>
              <w:rPr>
                <w:rFonts w:cs="Times New Roman"/>
                <w:sz w:val="24"/>
                <w:szCs w:val="28"/>
              </w:rPr>
            </w:pPr>
            <w:r w:rsidRPr="002B136D">
              <w:rPr>
                <w:rFonts w:cs="Times New Roman"/>
                <w:sz w:val="24"/>
                <w:szCs w:val="28"/>
              </w:rPr>
              <w:t xml:space="preserve">      </w:t>
            </w:r>
            <w:r w:rsidR="00143D08" w:rsidRPr="002B136D">
              <w:rPr>
                <w:rFonts w:cs="Times New Roman"/>
                <w:sz w:val="24"/>
                <w:szCs w:val="28"/>
              </w:rPr>
              <w:t>Т</w:t>
            </w:r>
            <w:proofErr w:type="gramStart"/>
            <w:r w:rsidR="00143D08" w:rsidRPr="002B136D">
              <w:rPr>
                <w:rFonts w:cs="Times New Roman"/>
                <w:sz w:val="24"/>
                <w:szCs w:val="28"/>
              </w:rPr>
              <w:t>4</w:t>
            </w:r>
            <w:proofErr w:type="gramEnd"/>
            <w:r w:rsidR="00143D08" w:rsidRPr="002B136D">
              <w:rPr>
                <w:rFonts w:cs="Times New Roman"/>
                <w:sz w:val="24"/>
                <w:szCs w:val="28"/>
              </w:rPr>
              <w:t xml:space="preserve"> (пмоль/л)</w:t>
            </w:r>
          </w:p>
        </w:tc>
        <w:tc>
          <w:tcPr>
            <w:tcW w:w="2835" w:type="dxa"/>
          </w:tcPr>
          <w:p w14:paraId="5724EBB5" w14:textId="77777777" w:rsidR="00143D08" w:rsidRPr="002B136D" w:rsidRDefault="00143D08" w:rsidP="006D06D7">
            <w:pPr>
              <w:jc w:val="both"/>
              <w:rPr>
                <w:rFonts w:cs="Times New Roman"/>
                <w:sz w:val="24"/>
                <w:szCs w:val="28"/>
              </w:rPr>
            </w:pPr>
            <w:r w:rsidRPr="002B136D">
              <w:rPr>
                <w:rFonts w:cs="Times New Roman"/>
                <w:sz w:val="24"/>
                <w:szCs w:val="28"/>
              </w:rPr>
              <w:t>19±3,7</w:t>
            </w:r>
          </w:p>
        </w:tc>
        <w:tc>
          <w:tcPr>
            <w:tcW w:w="3118" w:type="dxa"/>
          </w:tcPr>
          <w:p w14:paraId="3E735CA4" w14:textId="77777777" w:rsidR="00143D08" w:rsidRPr="002B136D" w:rsidRDefault="00143D08" w:rsidP="006D06D7">
            <w:pPr>
              <w:jc w:val="both"/>
              <w:rPr>
                <w:rFonts w:cs="Times New Roman"/>
                <w:sz w:val="24"/>
                <w:szCs w:val="28"/>
              </w:rPr>
            </w:pPr>
            <w:r w:rsidRPr="002B136D">
              <w:rPr>
                <w:rFonts w:cs="Times New Roman"/>
                <w:sz w:val="24"/>
                <w:szCs w:val="28"/>
              </w:rPr>
              <w:t>22±4,5</w:t>
            </w:r>
          </w:p>
        </w:tc>
        <w:tc>
          <w:tcPr>
            <w:tcW w:w="1134" w:type="dxa"/>
          </w:tcPr>
          <w:p w14:paraId="6AB5C9E8" w14:textId="77777777" w:rsidR="00143D08" w:rsidRPr="002B136D" w:rsidRDefault="00143D08" w:rsidP="006D06D7">
            <w:pPr>
              <w:jc w:val="both"/>
              <w:rPr>
                <w:rFonts w:cs="Times New Roman"/>
                <w:sz w:val="24"/>
                <w:szCs w:val="28"/>
                <w:lang w:val="en-US"/>
              </w:rPr>
            </w:pPr>
            <w:r w:rsidRPr="002B136D">
              <w:rPr>
                <w:rFonts w:cs="Times New Roman"/>
                <w:sz w:val="24"/>
                <w:szCs w:val="28"/>
                <w:lang w:val="en-US"/>
              </w:rPr>
              <w:t>0.6</w:t>
            </w:r>
          </w:p>
        </w:tc>
      </w:tr>
      <w:tr w:rsidR="002B136D" w:rsidRPr="002B136D" w14:paraId="0E7DF029" w14:textId="77777777" w:rsidTr="009E575B">
        <w:tc>
          <w:tcPr>
            <w:tcW w:w="2552" w:type="dxa"/>
          </w:tcPr>
          <w:p w14:paraId="0305A186" w14:textId="77777777" w:rsidR="00143D08" w:rsidRPr="002B136D" w:rsidRDefault="00143D08" w:rsidP="006D06D7">
            <w:pPr>
              <w:jc w:val="both"/>
              <w:rPr>
                <w:rFonts w:cs="Times New Roman"/>
                <w:sz w:val="24"/>
                <w:szCs w:val="28"/>
              </w:rPr>
            </w:pPr>
            <w:r w:rsidRPr="002B136D">
              <w:rPr>
                <w:rFonts w:cs="Times New Roman"/>
                <w:sz w:val="24"/>
                <w:szCs w:val="28"/>
              </w:rPr>
              <w:t>Анти-рТТГ (МЕ/л)</w:t>
            </w:r>
          </w:p>
        </w:tc>
        <w:tc>
          <w:tcPr>
            <w:tcW w:w="2835" w:type="dxa"/>
          </w:tcPr>
          <w:p w14:paraId="0A1238B9" w14:textId="77777777" w:rsidR="00143D08" w:rsidRPr="002B136D" w:rsidRDefault="00143D08" w:rsidP="006D06D7">
            <w:pPr>
              <w:jc w:val="both"/>
              <w:rPr>
                <w:rFonts w:cs="Times New Roman"/>
                <w:sz w:val="24"/>
                <w:szCs w:val="28"/>
              </w:rPr>
            </w:pPr>
            <w:r w:rsidRPr="002B136D">
              <w:rPr>
                <w:rFonts w:cs="Times New Roman"/>
                <w:sz w:val="24"/>
                <w:szCs w:val="28"/>
              </w:rPr>
              <w:t>17±6</w:t>
            </w:r>
          </w:p>
        </w:tc>
        <w:tc>
          <w:tcPr>
            <w:tcW w:w="3118" w:type="dxa"/>
          </w:tcPr>
          <w:p w14:paraId="7816B6AC" w14:textId="77777777" w:rsidR="00143D08" w:rsidRPr="002B136D" w:rsidRDefault="00143D08" w:rsidP="006D06D7">
            <w:pPr>
              <w:jc w:val="both"/>
              <w:rPr>
                <w:rFonts w:cs="Times New Roman"/>
                <w:sz w:val="24"/>
                <w:szCs w:val="28"/>
              </w:rPr>
            </w:pPr>
            <w:r w:rsidRPr="002B136D">
              <w:rPr>
                <w:rFonts w:cs="Times New Roman"/>
                <w:sz w:val="24"/>
                <w:szCs w:val="28"/>
              </w:rPr>
              <w:t>9,3±7</w:t>
            </w:r>
          </w:p>
        </w:tc>
        <w:tc>
          <w:tcPr>
            <w:tcW w:w="1134" w:type="dxa"/>
          </w:tcPr>
          <w:p w14:paraId="1A6ACE6D" w14:textId="77777777" w:rsidR="00143D08" w:rsidRPr="002B136D" w:rsidRDefault="00143D08" w:rsidP="006D06D7">
            <w:pPr>
              <w:jc w:val="both"/>
              <w:rPr>
                <w:rFonts w:cs="Times New Roman"/>
                <w:sz w:val="24"/>
                <w:szCs w:val="28"/>
                <w:lang w:val="en-US"/>
              </w:rPr>
            </w:pPr>
            <w:r w:rsidRPr="002B136D">
              <w:rPr>
                <w:rFonts w:cs="Times New Roman"/>
                <w:sz w:val="24"/>
                <w:szCs w:val="28"/>
                <w:lang w:val="en-US"/>
              </w:rPr>
              <w:t>0.4</w:t>
            </w:r>
          </w:p>
        </w:tc>
      </w:tr>
      <w:tr w:rsidR="002B136D" w:rsidRPr="002B136D" w14:paraId="24B30444" w14:textId="77777777" w:rsidTr="009E575B">
        <w:tc>
          <w:tcPr>
            <w:tcW w:w="2552" w:type="dxa"/>
          </w:tcPr>
          <w:p w14:paraId="10731017" w14:textId="77777777" w:rsidR="00143D08" w:rsidRPr="002B136D" w:rsidRDefault="00143D08" w:rsidP="006D06D7">
            <w:pPr>
              <w:jc w:val="both"/>
              <w:rPr>
                <w:rFonts w:cs="Times New Roman"/>
                <w:sz w:val="24"/>
                <w:szCs w:val="28"/>
              </w:rPr>
            </w:pPr>
            <w:r w:rsidRPr="002B136D">
              <w:rPr>
                <w:rFonts w:cs="Times New Roman"/>
                <w:sz w:val="24"/>
                <w:szCs w:val="28"/>
              </w:rPr>
              <w:t>Анти-ТПО (МЕ/мл)</w:t>
            </w:r>
          </w:p>
        </w:tc>
        <w:tc>
          <w:tcPr>
            <w:tcW w:w="2835" w:type="dxa"/>
          </w:tcPr>
          <w:p w14:paraId="293D08DD" w14:textId="77777777" w:rsidR="00143D08" w:rsidRPr="002B136D" w:rsidRDefault="00143D08" w:rsidP="006D06D7">
            <w:pPr>
              <w:jc w:val="both"/>
              <w:rPr>
                <w:rFonts w:cs="Times New Roman"/>
                <w:sz w:val="24"/>
                <w:szCs w:val="28"/>
              </w:rPr>
            </w:pPr>
            <w:r w:rsidRPr="002B136D">
              <w:rPr>
                <w:rFonts w:cs="Times New Roman"/>
                <w:sz w:val="24"/>
                <w:szCs w:val="28"/>
              </w:rPr>
              <w:t>96±13</w:t>
            </w:r>
          </w:p>
        </w:tc>
        <w:tc>
          <w:tcPr>
            <w:tcW w:w="3118" w:type="dxa"/>
          </w:tcPr>
          <w:p w14:paraId="2589DD34" w14:textId="77777777" w:rsidR="00143D08" w:rsidRPr="002B136D" w:rsidRDefault="00143D08" w:rsidP="006D06D7">
            <w:pPr>
              <w:jc w:val="both"/>
              <w:rPr>
                <w:rFonts w:cs="Times New Roman"/>
                <w:sz w:val="24"/>
                <w:szCs w:val="28"/>
                <w:lang w:val="en-US"/>
              </w:rPr>
            </w:pPr>
            <w:r w:rsidRPr="002B136D">
              <w:rPr>
                <w:rFonts w:cs="Times New Roman"/>
                <w:sz w:val="24"/>
                <w:szCs w:val="28"/>
              </w:rPr>
              <w:t>77±8</w:t>
            </w:r>
          </w:p>
        </w:tc>
        <w:tc>
          <w:tcPr>
            <w:tcW w:w="1134" w:type="dxa"/>
          </w:tcPr>
          <w:p w14:paraId="34F7E257" w14:textId="77777777" w:rsidR="00143D08" w:rsidRPr="002B136D" w:rsidRDefault="00143D08" w:rsidP="006D06D7">
            <w:pPr>
              <w:jc w:val="both"/>
              <w:rPr>
                <w:rFonts w:cs="Times New Roman"/>
                <w:sz w:val="24"/>
                <w:szCs w:val="28"/>
                <w:lang w:val="en-US"/>
              </w:rPr>
            </w:pPr>
            <w:r w:rsidRPr="002B136D">
              <w:rPr>
                <w:rFonts w:cs="Times New Roman"/>
                <w:sz w:val="24"/>
                <w:szCs w:val="28"/>
                <w:lang w:val="en-US"/>
              </w:rPr>
              <w:t>0.2</w:t>
            </w:r>
          </w:p>
        </w:tc>
      </w:tr>
      <w:tr w:rsidR="009E575B" w:rsidRPr="002B136D" w14:paraId="3D91946B" w14:textId="77777777" w:rsidTr="002B5069">
        <w:tc>
          <w:tcPr>
            <w:tcW w:w="9639" w:type="dxa"/>
            <w:gridSpan w:val="4"/>
          </w:tcPr>
          <w:p w14:paraId="772ABC95" w14:textId="118F82B0" w:rsidR="009E575B" w:rsidRPr="009E575B" w:rsidRDefault="009E575B" w:rsidP="009E575B">
            <w:pPr>
              <w:ind w:firstLine="462"/>
              <w:jc w:val="both"/>
              <w:rPr>
                <w:rFonts w:cs="Times New Roman"/>
                <w:sz w:val="24"/>
                <w:szCs w:val="24"/>
              </w:rPr>
            </w:pPr>
            <w:r>
              <w:rPr>
                <w:rFonts w:cs="Times New Roman"/>
                <w:sz w:val="24"/>
                <w:szCs w:val="24"/>
              </w:rPr>
              <w:t xml:space="preserve">Примечание - </w:t>
            </w:r>
            <w:r w:rsidRPr="009E575B">
              <w:rPr>
                <w:rFonts w:cs="Times New Roman"/>
                <w:sz w:val="24"/>
                <w:szCs w:val="24"/>
              </w:rPr>
              <w:t>*ТТГ-тиреотропный гормон, Т3- , Т4, Анти-рТТ</w:t>
            </w:r>
            <w:proofErr w:type="gramStart"/>
            <w:r w:rsidRPr="009E575B">
              <w:rPr>
                <w:rFonts w:cs="Times New Roman"/>
                <w:sz w:val="24"/>
                <w:szCs w:val="24"/>
              </w:rPr>
              <w:t>Г-</w:t>
            </w:r>
            <w:proofErr w:type="gramEnd"/>
            <w:r w:rsidRPr="009E575B">
              <w:rPr>
                <w:rFonts w:cs="Times New Roman"/>
                <w:sz w:val="24"/>
                <w:szCs w:val="24"/>
              </w:rPr>
              <w:t xml:space="preserve"> антитела к рецептору тиреотропного гормона, Анти-ТПО- антитела к тиреотропной периоксидазе</w:t>
            </w:r>
          </w:p>
        </w:tc>
      </w:tr>
    </w:tbl>
    <w:p w14:paraId="0199583C" w14:textId="77777777" w:rsidR="009E575B" w:rsidRPr="009E575B" w:rsidRDefault="009E575B" w:rsidP="006D06D7">
      <w:pPr>
        <w:spacing w:after="0" w:line="240" w:lineRule="auto"/>
        <w:ind w:firstLine="709"/>
        <w:contextualSpacing/>
        <w:jc w:val="both"/>
        <w:rPr>
          <w:rFonts w:cs="Times New Roman"/>
          <w:szCs w:val="28"/>
        </w:rPr>
      </w:pPr>
    </w:p>
    <w:p w14:paraId="4CC3C148" w14:textId="4E387F63" w:rsidR="00143D08" w:rsidRPr="002B136D" w:rsidRDefault="00143D08" w:rsidP="009E575B">
      <w:pPr>
        <w:spacing w:after="0" w:line="240" w:lineRule="auto"/>
        <w:ind w:firstLine="567"/>
        <w:contextualSpacing/>
        <w:jc w:val="both"/>
        <w:rPr>
          <w:rFonts w:cs="Times New Roman"/>
          <w:szCs w:val="28"/>
        </w:rPr>
      </w:pPr>
      <w:r w:rsidRPr="002B136D">
        <w:rPr>
          <w:rFonts w:cs="Times New Roman"/>
          <w:szCs w:val="28"/>
        </w:rPr>
        <w:t>Распространенность</w:t>
      </w:r>
      <w:r w:rsidR="00023075" w:rsidRPr="002B136D">
        <w:rPr>
          <w:rFonts w:cs="Times New Roman"/>
          <w:szCs w:val="28"/>
        </w:rPr>
        <w:t xml:space="preserve"> </w:t>
      </w:r>
      <w:r w:rsidRPr="002B136D">
        <w:rPr>
          <w:rFonts w:cs="Times New Roman"/>
          <w:szCs w:val="28"/>
        </w:rPr>
        <w:t>мутиро</w:t>
      </w:r>
      <w:r w:rsidR="00915E95" w:rsidRPr="002B136D">
        <w:rPr>
          <w:rFonts w:cs="Times New Roman"/>
          <w:szCs w:val="28"/>
        </w:rPr>
        <w:t>ванного генотипа</w:t>
      </w:r>
      <w:proofErr w:type="gramStart"/>
      <w:r w:rsidR="00915E95" w:rsidRPr="002B136D">
        <w:rPr>
          <w:rFonts w:cs="Times New Roman"/>
          <w:szCs w:val="28"/>
        </w:rPr>
        <w:t xml:space="preserve"> Т</w:t>
      </w:r>
      <w:proofErr w:type="gramEnd"/>
      <w:r w:rsidR="00915E95" w:rsidRPr="002B136D">
        <w:rPr>
          <w:rFonts w:cs="Times New Roman"/>
          <w:szCs w:val="28"/>
        </w:rPr>
        <w:t>/Т rs9463772/</w:t>
      </w:r>
      <w:r w:rsidRPr="002B136D">
        <w:rPr>
          <w:rFonts w:cs="Times New Roman"/>
          <w:i/>
          <w:szCs w:val="28"/>
          <w:lang w:val="en-US"/>
        </w:rPr>
        <w:t>IL</w:t>
      </w:r>
      <w:r w:rsidRPr="002B136D">
        <w:rPr>
          <w:rFonts w:cs="Times New Roman"/>
          <w:i/>
          <w:szCs w:val="28"/>
        </w:rPr>
        <w:t>17</w:t>
      </w:r>
      <w:r w:rsidRPr="002B136D">
        <w:rPr>
          <w:rFonts w:cs="Times New Roman"/>
          <w:i/>
          <w:szCs w:val="28"/>
          <w:lang w:val="en-US"/>
        </w:rPr>
        <w:t>F</w:t>
      </w:r>
      <w:r w:rsidR="00915E95" w:rsidRPr="002B136D">
        <w:rPr>
          <w:rFonts w:cs="Times New Roman"/>
          <w:szCs w:val="28"/>
        </w:rPr>
        <w:t xml:space="preserve"> </w:t>
      </w:r>
      <w:r w:rsidRPr="002B136D">
        <w:rPr>
          <w:rFonts w:cs="Times New Roman"/>
          <w:szCs w:val="28"/>
        </w:rPr>
        <w:t>в контрольной группе составила 3,3%, гетереозиготный С/Т = 28,1%, нормальный гомози</w:t>
      </w:r>
      <w:r w:rsidR="00E3778A" w:rsidRPr="002B136D">
        <w:rPr>
          <w:rFonts w:cs="Times New Roman"/>
          <w:szCs w:val="28"/>
        </w:rPr>
        <w:t>готный аллель Т/Т составила 68,7</w:t>
      </w:r>
      <w:r w:rsidRPr="002B136D">
        <w:rPr>
          <w:rFonts w:cs="Times New Roman"/>
          <w:szCs w:val="28"/>
        </w:rPr>
        <w:t xml:space="preserve">%. В исследуемой группе частота данных генотипов показали 2%; 24%; и 74%, соответственно. </w:t>
      </w:r>
      <w:r w:rsidR="00C569BF" w:rsidRPr="002B136D">
        <w:rPr>
          <w:rFonts w:cs="Times New Roman"/>
          <w:szCs w:val="28"/>
        </w:rPr>
        <w:t>По этим</w:t>
      </w:r>
      <w:r w:rsidR="000852FB" w:rsidRPr="002B136D">
        <w:rPr>
          <w:rFonts w:cs="Times New Roman"/>
          <w:szCs w:val="28"/>
        </w:rPr>
        <w:t xml:space="preserve"> данным, статистических различий</w:t>
      </w:r>
      <w:r w:rsidR="003F7D83" w:rsidRPr="002B136D">
        <w:rPr>
          <w:rFonts w:cs="Times New Roman"/>
          <w:szCs w:val="28"/>
        </w:rPr>
        <w:t xml:space="preserve"> между группами не были</w:t>
      </w:r>
      <w:r w:rsidR="00E3778A" w:rsidRPr="002B136D">
        <w:rPr>
          <w:rFonts w:cs="Times New Roman"/>
          <w:szCs w:val="28"/>
        </w:rPr>
        <w:t xml:space="preserve"> выявлены (</w:t>
      </w:r>
      <w:proofErr w:type="gramStart"/>
      <w:r w:rsidR="00E3778A" w:rsidRPr="002B136D">
        <w:rPr>
          <w:rFonts w:cs="Times New Roman"/>
          <w:szCs w:val="28"/>
        </w:rPr>
        <w:t>р</w:t>
      </w:r>
      <w:proofErr w:type="gramEnd"/>
      <w:r w:rsidR="00E3778A" w:rsidRPr="002B136D">
        <w:rPr>
          <w:rFonts w:cs="Times New Roman"/>
          <w:szCs w:val="28"/>
        </w:rPr>
        <w:t>=0,3</w:t>
      </w:r>
      <w:r w:rsidRPr="002B136D">
        <w:rPr>
          <w:rFonts w:cs="Times New Roman"/>
          <w:szCs w:val="28"/>
        </w:rPr>
        <w:t>).</w:t>
      </w:r>
      <w:r w:rsidR="00D77B6D" w:rsidRPr="002B136D">
        <w:rPr>
          <w:rFonts w:cs="Times New Roman"/>
          <w:szCs w:val="28"/>
        </w:rPr>
        <w:t xml:space="preserve">  </w:t>
      </w:r>
    </w:p>
    <w:p w14:paraId="0CDABC5A" w14:textId="7AD82833" w:rsidR="00143D08" w:rsidRPr="002B136D" w:rsidRDefault="00143D08" w:rsidP="009E575B">
      <w:pPr>
        <w:spacing w:after="0" w:line="240" w:lineRule="auto"/>
        <w:ind w:firstLine="567"/>
        <w:contextualSpacing/>
        <w:jc w:val="both"/>
        <w:rPr>
          <w:rFonts w:cs="Times New Roman"/>
          <w:szCs w:val="28"/>
          <w:lang w:val="kk-KZ"/>
        </w:rPr>
      </w:pPr>
      <w:r w:rsidRPr="002B136D">
        <w:rPr>
          <w:rFonts w:cs="Times New Roman"/>
          <w:szCs w:val="28"/>
        </w:rPr>
        <w:t xml:space="preserve">При анализе генетических изменении в гене </w:t>
      </w:r>
      <w:r w:rsidRPr="002B136D">
        <w:rPr>
          <w:rFonts w:cs="Times New Roman"/>
          <w:szCs w:val="28"/>
          <w:lang w:val="en-US"/>
        </w:rPr>
        <w:t>IL</w:t>
      </w:r>
      <w:r w:rsidRPr="002B136D">
        <w:rPr>
          <w:rFonts w:cs="Times New Roman"/>
          <w:szCs w:val="28"/>
        </w:rPr>
        <w:t>-38, было обнаружено что, полиморфизм</w:t>
      </w:r>
      <w:r w:rsidR="00D77B6D" w:rsidRPr="002B136D">
        <w:rPr>
          <w:rFonts w:cs="Times New Roman"/>
          <w:szCs w:val="28"/>
        </w:rPr>
        <w:t xml:space="preserve"> </w:t>
      </w:r>
      <w:r w:rsidRPr="002B136D">
        <w:rPr>
          <w:rFonts w:cs="Times New Roman"/>
          <w:szCs w:val="28"/>
        </w:rPr>
        <w:t>rs3811058</w:t>
      </w:r>
      <w:r w:rsidR="00D77B6D" w:rsidRPr="002B136D">
        <w:rPr>
          <w:rFonts w:cs="Times New Roman"/>
          <w:szCs w:val="28"/>
        </w:rPr>
        <w:t xml:space="preserve"> </w:t>
      </w:r>
      <w:r w:rsidRPr="002B136D">
        <w:rPr>
          <w:rFonts w:cs="Times New Roman"/>
          <w:szCs w:val="28"/>
        </w:rPr>
        <w:t>не влияет на развитие ЭОП, так как различия между группами не б</w:t>
      </w:r>
      <w:r w:rsidR="00E3778A" w:rsidRPr="002B136D">
        <w:rPr>
          <w:rFonts w:cs="Times New Roman"/>
          <w:szCs w:val="28"/>
        </w:rPr>
        <w:t>ыли статистически значимы (</w:t>
      </w:r>
      <w:proofErr w:type="gramStart"/>
      <w:r w:rsidR="00E3778A" w:rsidRPr="002B136D">
        <w:rPr>
          <w:rFonts w:cs="Times New Roman"/>
          <w:szCs w:val="28"/>
        </w:rPr>
        <w:t>р</w:t>
      </w:r>
      <w:proofErr w:type="gramEnd"/>
      <w:r w:rsidR="00E3778A" w:rsidRPr="002B136D">
        <w:rPr>
          <w:rFonts w:cs="Times New Roman"/>
          <w:szCs w:val="28"/>
        </w:rPr>
        <w:t>=0,9</w:t>
      </w:r>
      <w:r w:rsidRPr="002B136D">
        <w:rPr>
          <w:rFonts w:cs="Times New Roman"/>
          <w:szCs w:val="28"/>
        </w:rPr>
        <w:t xml:space="preserve">) </w:t>
      </w:r>
      <w:r w:rsidR="0067708D">
        <w:rPr>
          <w:rFonts w:cs="Times New Roman"/>
          <w:szCs w:val="28"/>
        </w:rPr>
        <w:t xml:space="preserve">(таблица </w:t>
      </w:r>
      <w:r w:rsidR="008D36AF" w:rsidRPr="002B136D">
        <w:rPr>
          <w:rFonts w:cs="Times New Roman"/>
          <w:szCs w:val="28"/>
        </w:rPr>
        <w:t>1</w:t>
      </w:r>
      <w:r w:rsidR="0076161A">
        <w:rPr>
          <w:rFonts w:cs="Times New Roman"/>
          <w:szCs w:val="28"/>
        </w:rPr>
        <w:t>8</w:t>
      </w:r>
      <w:r w:rsidRPr="002B136D">
        <w:rPr>
          <w:rFonts w:cs="Times New Roman"/>
          <w:szCs w:val="28"/>
        </w:rPr>
        <w:t>). Помимо этого, ни в основной, ни в контрольной группах не был обнаружен гетерозиготный аллель</w:t>
      </w:r>
      <w:proofErr w:type="gramStart"/>
      <w:r w:rsidR="00D77B6D" w:rsidRPr="002B136D">
        <w:rPr>
          <w:rFonts w:cs="Times New Roman"/>
          <w:szCs w:val="28"/>
        </w:rPr>
        <w:t xml:space="preserve"> </w:t>
      </w:r>
      <w:r w:rsidRPr="002B136D">
        <w:rPr>
          <w:rFonts w:cs="Times New Roman"/>
          <w:szCs w:val="28"/>
        </w:rPr>
        <w:t>С</w:t>
      </w:r>
      <w:proofErr w:type="gramEnd"/>
      <w:r w:rsidRPr="002B136D">
        <w:rPr>
          <w:rFonts w:cs="Times New Roman"/>
          <w:szCs w:val="28"/>
        </w:rPr>
        <w:t xml:space="preserve">/Т rs3811058 гена </w:t>
      </w:r>
      <w:r w:rsidRPr="002B136D">
        <w:rPr>
          <w:rFonts w:cs="Times New Roman"/>
          <w:szCs w:val="28"/>
          <w:lang w:val="en-US"/>
        </w:rPr>
        <w:t>IL</w:t>
      </w:r>
      <w:r w:rsidRPr="002B136D">
        <w:rPr>
          <w:rFonts w:cs="Times New Roman"/>
          <w:szCs w:val="28"/>
        </w:rPr>
        <w:t>-38.</w:t>
      </w:r>
    </w:p>
    <w:p w14:paraId="3245B2DE" w14:textId="1508A789" w:rsidR="0087684E" w:rsidRPr="002B136D" w:rsidRDefault="00143D08" w:rsidP="009E575B">
      <w:pPr>
        <w:spacing w:after="0" w:line="240" w:lineRule="auto"/>
        <w:ind w:firstLine="567"/>
        <w:contextualSpacing/>
        <w:jc w:val="both"/>
        <w:rPr>
          <w:rFonts w:cs="Times New Roman"/>
          <w:szCs w:val="28"/>
          <w:lang w:val="kk-KZ"/>
        </w:rPr>
      </w:pPr>
      <w:r w:rsidRPr="002B136D">
        <w:rPr>
          <w:rFonts w:cs="Times New Roman"/>
          <w:szCs w:val="28"/>
          <w:lang w:val="kk-KZ"/>
        </w:rPr>
        <w:t xml:space="preserve">В результате анализа </w:t>
      </w:r>
      <w:r w:rsidRPr="002B136D">
        <w:rPr>
          <w:rFonts w:cs="Times New Roman"/>
          <w:szCs w:val="28"/>
        </w:rPr>
        <w:t>rs7570267 (IL38)</w:t>
      </w:r>
      <w:r w:rsidR="00D77B6D" w:rsidRPr="002B136D">
        <w:rPr>
          <w:rFonts w:cs="Times New Roman"/>
          <w:szCs w:val="28"/>
        </w:rPr>
        <w:t xml:space="preserve"> </w:t>
      </w:r>
      <w:r w:rsidRPr="002B136D">
        <w:rPr>
          <w:rFonts w:cs="Times New Roman"/>
          <w:szCs w:val="28"/>
          <w:lang w:val="kk-KZ"/>
        </w:rPr>
        <w:t xml:space="preserve">полиморфизма выявлено, что </w:t>
      </w:r>
      <w:r w:rsidRPr="002B136D">
        <w:rPr>
          <w:rFonts w:cs="Times New Roman"/>
          <w:szCs w:val="28"/>
        </w:rPr>
        <w:t xml:space="preserve">носительство мутированной аллели </w:t>
      </w:r>
      <w:r w:rsidRPr="002B136D">
        <w:rPr>
          <w:rFonts w:cs="Times New Roman"/>
          <w:szCs w:val="28"/>
          <w:lang w:val="kk-KZ"/>
        </w:rPr>
        <w:t>А</w:t>
      </w:r>
      <w:r w:rsidRPr="002B136D">
        <w:rPr>
          <w:rFonts w:cs="Times New Roman"/>
          <w:szCs w:val="28"/>
        </w:rPr>
        <w:t>/</w:t>
      </w:r>
      <w:r w:rsidRPr="002B136D">
        <w:rPr>
          <w:rFonts w:cs="Times New Roman"/>
          <w:szCs w:val="28"/>
          <w:lang w:val="kk-KZ"/>
        </w:rPr>
        <w:t>А</w:t>
      </w:r>
      <w:r w:rsidRPr="002B136D">
        <w:rPr>
          <w:rFonts w:cs="Times New Roman"/>
          <w:szCs w:val="28"/>
        </w:rPr>
        <w:t xml:space="preserve"> в гене</w:t>
      </w:r>
      <w:r w:rsidR="00D77B6D" w:rsidRPr="002B136D">
        <w:rPr>
          <w:rFonts w:cs="Times New Roman"/>
          <w:szCs w:val="28"/>
        </w:rPr>
        <w:t xml:space="preserve"> </w:t>
      </w:r>
      <w:r w:rsidRPr="002B136D">
        <w:rPr>
          <w:rFonts w:cs="Times New Roman"/>
          <w:szCs w:val="28"/>
        </w:rPr>
        <w:t>rs7570267 (IL38)</w:t>
      </w:r>
      <w:r w:rsidR="00D77B6D" w:rsidRPr="002B136D">
        <w:rPr>
          <w:rFonts w:cs="Times New Roman"/>
          <w:szCs w:val="28"/>
        </w:rPr>
        <w:t xml:space="preserve"> </w:t>
      </w:r>
      <w:r w:rsidRPr="002B136D">
        <w:rPr>
          <w:rFonts w:cs="Times New Roman"/>
          <w:szCs w:val="28"/>
        </w:rPr>
        <w:t>в</w:t>
      </w:r>
      <w:r w:rsidR="00D77B6D" w:rsidRPr="002B136D">
        <w:rPr>
          <w:rFonts w:cs="Times New Roman"/>
          <w:szCs w:val="28"/>
        </w:rPr>
        <w:t xml:space="preserve"> </w:t>
      </w:r>
      <w:r w:rsidRPr="002B136D">
        <w:rPr>
          <w:rFonts w:cs="Times New Roman"/>
          <w:szCs w:val="28"/>
        </w:rPr>
        <w:t xml:space="preserve">группе с ЭОП </w:t>
      </w:r>
      <w:r w:rsidRPr="002B136D">
        <w:rPr>
          <w:rFonts w:cs="Times New Roman"/>
          <w:szCs w:val="28"/>
          <w:lang w:val="kk-KZ"/>
        </w:rPr>
        <w:t>составляет 46%, гетерозиготный аллель А/</w:t>
      </w:r>
      <w:r w:rsidRPr="002B136D">
        <w:rPr>
          <w:rFonts w:cs="Times New Roman"/>
          <w:szCs w:val="28"/>
          <w:lang w:val="en-US"/>
        </w:rPr>
        <w:t>G</w:t>
      </w:r>
      <w:r w:rsidRPr="002B136D">
        <w:rPr>
          <w:rFonts w:cs="Times New Roman"/>
          <w:szCs w:val="28"/>
          <w:lang w:val="kk-KZ"/>
        </w:rPr>
        <w:t>-40 %.</w:t>
      </w:r>
      <w:r w:rsidR="00E3778A" w:rsidRPr="002B136D">
        <w:rPr>
          <w:rFonts w:cs="Times New Roman"/>
          <w:szCs w:val="28"/>
          <w:lang w:val="kk-KZ"/>
        </w:rPr>
        <w:t xml:space="preserve"> Статистически значимых различий между группами не выявлено (p=0,7).</w:t>
      </w:r>
    </w:p>
    <w:p w14:paraId="06D79426" w14:textId="77777777" w:rsidR="006D06D7" w:rsidRPr="002B136D" w:rsidRDefault="006D06D7" w:rsidP="006D06D7">
      <w:pPr>
        <w:spacing w:after="0" w:line="240" w:lineRule="auto"/>
        <w:ind w:firstLine="709"/>
        <w:contextualSpacing/>
        <w:jc w:val="both"/>
        <w:rPr>
          <w:rFonts w:cs="Times New Roman"/>
          <w:szCs w:val="28"/>
          <w:lang w:val="kk-KZ"/>
        </w:rPr>
      </w:pPr>
    </w:p>
    <w:p w14:paraId="36EBCC03" w14:textId="17B4061D" w:rsidR="00143D08" w:rsidRPr="009E575B" w:rsidRDefault="00143D08" w:rsidP="009E575B">
      <w:pPr>
        <w:spacing w:after="0" w:line="240" w:lineRule="auto"/>
        <w:contextualSpacing/>
        <w:jc w:val="both"/>
        <w:rPr>
          <w:rFonts w:cs="Times New Roman"/>
          <w:bCs/>
          <w:szCs w:val="28"/>
          <w:lang w:val="kk-KZ"/>
        </w:rPr>
      </w:pPr>
      <w:r w:rsidRPr="009E575B">
        <w:rPr>
          <w:rFonts w:cs="Times New Roman"/>
          <w:bCs/>
          <w:szCs w:val="28"/>
          <w:lang w:val="kk-KZ"/>
        </w:rPr>
        <w:t>Таб</w:t>
      </w:r>
      <w:r w:rsidR="00F77244" w:rsidRPr="009E575B">
        <w:rPr>
          <w:rFonts w:cs="Times New Roman"/>
          <w:bCs/>
          <w:szCs w:val="28"/>
          <w:lang w:val="kk-KZ"/>
        </w:rPr>
        <w:t xml:space="preserve">лица </w:t>
      </w:r>
      <w:r w:rsidR="008D36AF" w:rsidRPr="009E575B">
        <w:rPr>
          <w:rFonts w:cs="Times New Roman"/>
          <w:bCs/>
          <w:szCs w:val="28"/>
          <w:lang w:val="kk-KZ"/>
        </w:rPr>
        <w:t>1</w:t>
      </w:r>
      <w:r w:rsidR="0076161A">
        <w:rPr>
          <w:rFonts w:cs="Times New Roman"/>
          <w:bCs/>
          <w:szCs w:val="28"/>
          <w:lang w:val="kk-KZ"/>
        </w:rPr>
        <w:t>8</w:t>
      </w:r>
      <w:r w:rsidR="009E575B" w:rsidRPr="009E575B">
        <w:rPr>
          <w:rFonts w:cs="Times New Roman"/>
          <w:bCs/>
          <w:szCs w:val="28"/>
          <w:lang w:val="kk-KZ"/>
        </w:rPr>
        <w:t xml:space="preserve"> -</w:t>
      </w:r>
      <w:r w:rsidR="00F77244" w:rsidRPr="009E575B">
        <w:rPr>
          <w:rFonts w:cs="Times New Roman"/>
          <w:bCs/>
          <w:szCs w:val="28"/>
          <w:lang w:val="kk-KZ"/>
        </w:rPr>
        <w:t xml:space="preserve"> </w:t>
      </w:r>
      <w:r w:rsidRPr="009E575B">
        <w:rPr>
          <w:rFonts w:cs="Times New Roman"/>
          <w:bCs/>
          <w:szCs w:val="28"/>
          <w:lang w:val="kk-KZ"/>
        </w:rPr>
        <w:t xml:space="preserve">Частоты генотипов и аллелей полиморфизмов IL-17 и IL-38 у </w:t>
      </w:r>
      <w:r w:rsidR="0038552C" w:rsidRPr="009E575B">
        <w:rPr>
          <w:rFonts w:cs="Times New Roman"/>
          <w:bCs/>
          <w:szCs w:val="28"/>
          <w:lang w:val="kk-KZ"/>
        </w:rPr>
        <w:t>пациентов</w:t>
      </w:r>
      <w:r w:rsidRPr="009E575B">
        <w:rPr>
          <w:rFonts w:cs="Times New Roman"/>
          <w:bCs/>
          <w:szCs w:val="28"/>
          <w:lang w:val="kk-KZ"/>
        </w:rPr>
        <w:t xml:space="preserve"> с патологией ЩЖ</w:t>
      </w:r>
      <w:r w:rsidR="00D77B6D" w:rsidRPr="009E575B">
        <w:rPr>
          <w:rFonts w:cs="Times New Roman"/>
          <w:bCs/>
          <w:szCs w:val="28"/>
          <w:lang w:val="kk-KZ"/>
        </w:rPr>
        <w:t xml:space="preserve"> </w:t>
      </w:r>
      <w:r w:rsidRPr="009E575B">
        <w:rPr>
          <w:rFonts w:cs="Times New Roman"/>
          <w:bCs/>
          <w:szCs w:val="28"/>
          <w:lang w:val="kk-KZ"/>
        </w:rPr>
        <w:t>с и без ЭОП</w:t>
      </w:r>
    </w:p>
    <w:p w14:paraId="13CE0FCC" w14:textId="77777777" w:rsidR="009E575B" w:rsidRPr="009E575B" w:rsidRDefault="009E575B" w:rsidP="009E575B">
      <w:pPr>
        <w:spacing w:after="0" w:line="240" w:lineRule="auto"/>
        <w:contextualSpacing/>
        <w:rPr>
          <w:rFonts w:cs="Times New Roman"/>
          <w:b/>
          <w:szCs w:val="28"/>
          <w:lang w:val="kk-KZ"/>
        </w:rPr>
      </w:pPr>
    </w:p>
    <w:tbl>
      <w:tblPr>
        <w:tblStyle w:val="1"/>
        <w:tblW w:w="9668" w:type="dxa"/>
        <w:tblInd w:w="108" w:type="dxa"/>
        <w:tblLook w:val="04A0" w:firstRow="1" w:lastRow="0" w:firstColumn="1" w:lastColumn="0" w:noHBand="0" w:noVBand="1"/>
      </w:tblPr>
      <w:tblGrid>
        <w:gridCol w:w="1704"/>
        <w:gridCol w:w="1045"/>
        <w:gridCol w:w="1296"/>
        <w:gridCol w:w="539"/>
        <w:gridCol w:w="1538"/>
        <w:gridCol w:w="1403"/>
        <w:gridCol w:w="736"/>
        <w:gridCol w:w="1407"/>
      </w:tblGrid>
      <w:tr w:rsidR="002B136D" w:rsidRPr="009E575B" w14:paraId="1DD4B00F" w14:textId="77777777" w:rsidTr="009E575B">
        <w:trPr>
          <w:trHeight w:val="712"/>
        </w:trPr>
        <w:tc>
          <w:tcPr>
            <w:tcW w:w="2749" w:type="dxa"/>
            <w:gridSpan w:val="2"/>
            <w:noWrap/>
            <w:hideMark/>
          </w:tcPr>
          <w:p w14:paraId="0A725489" w14:textId="094D0218" w:rsidR="00960AE8" w:rsidRPr="009E575B" w:rsidRDefault="004F6FAF" w:rsidP="009E575B">
            <w:pPr>
              <w:ind w:firstLine="26"/>
              <w:jc w:val="both"/>
              <w:rPr>
                <w:rFonts w:cs="Times New Roman"/>
                <w:sz w:val="24"/>
                <w:szCs w:val="24"/>
                <w:lang w:val="en-US"/>
              </w:rPr>
            </w:pPr>
            <w:r w:rsidRPr="009E575B">
              <w:rPr>
                <w:rFonts w:cs="Times New Roman"/>
                <w:sz w:val="24"/>
                <w:szCs w:val="24"/>
              </w:rPr>
              <w:t>Полиморфизм/</w:t>
            </w:r>
            <w:r w:rsidR="00960AE8" w:rsidRPr="009E575B">
              <w:rPr>
                <w:rFonts w:cs="Times New Roman"/>
                <w:sz w:val="24"/>
                <w:szCs w:val="24"/>
              </w:rPr>
              <w:t>ген</w:t>
            </w:r>
          </w:p>
        </w:tc>
        <w:tc>
          <w:tcPr>
            <w:tcW w:w="1296" w:type="dxa"/>
            <w:noWrap/>
            <w:hideMark/>
          </w:tcPr>
          <w:p w14:paraId="5F21C46A" w14:textId="76A84068" w:rsidR="00960AE8" w:rsidRPr="009E575B" w:rsidRDefault="00960AE8" w:rsidP="009E575B">
            <w:pPr>
              <w:ind w:firstLine="26"/>
              <w:jc w:val="both"/>
              <w:rPr>
                <w:rFonts w:cs="Times New Roman"/>
                <w:sz w:val="24"/>
                <w:szCs w:val="24"/>
                <w:lang w:val="en-US"/>
              </w:rPr>
            </w:pPr>
            <w:r w:rsidRPr="009E575B">
              <w:rPr>
                <w:rFonts w:cs="Times New Roman"/>
                <w:sz w:val="24"/>
                <w:szCs w:val="24"/>
              </w:rPr>
              <w:t>Позиция</w:t>
            </w:r>
          </w:p>
        </w:tc>
        <w:tc>
          <w:tcPr>
            <w:tcW w:w="539" w:type="dxa"/>
            <w:noWrap/>
            <w:hideMark/>
          </w:tcPr>
          <w:p w14:paraId="2D78FCA3" w14:textId="710AB417" w:rsidR="00960AE8" w:rsidRPr="009E575B" w:rsidRDefault="00960AE8" w:rsidP="009E575B">
            <w:pPr>
              <w:ind w:firstLine="26"/>
              <w:jc w:val="both"/>
              <w:rPr>
                <w:rFonts w:cs="Times New Roman"/>
                <w:sz w:val="24"/>
                <w:szCs w:val="24"/>
                <w:lang w:val="en-US"/>
              </w:rPr>
            </w:pPr>
            <w:proofErr w:type="gramStart"/>
            <w:r w:rsidRPr="009E575B">
              <w:rPr>
                <w:rFonts w:cs="Times New Roman"/>
                <w:sz w:val="24"/>
                <w:szCs w:val="24"/>
              </w:rPr>
              <w:t>Хр</w:t>
            </w:r>
            <w:proofErr w:type="gramEnd"/>
          </w:p>
        </w:tc>
        <w:tc>
          <w:tcPr>
            <w:tcW w:w="1538" w:type="dxa"/>
            <w:noWrap/>
            <w:hideMark/>
          </w:tcPr>
          <w:p w14:paraId="1580C2CC" w14:textId="697114AA" w:rsidR="00960AE8" w:rsidRPr="009E575B" w:rsidRDefault="00960AE8" w:rsidP="009E575B">
            <w:pPr>
              <w:ind w:firstLine="26"/>
              <w:rPr>
                <w:rFonts w:cs="Times New Roman"/>
                <w:sz w:val="24"/>
                <w:szCs w:val="24"/>
                <w:lang w:val="en-US"/>
              </w:rPr>
            </w:pPr>
            <w:r w:rsidRPr="009E575B">
              <w:rPr>
                <w:rFonts w:cs="Times New Roman"/>
                <w:sz w:val="24"/>
                <w:szCs w:val="24"/>
              </w:rPr>
              <w:t xml:space="preserve">Пациенты с ЭОП </w:t>
            </w:r>
            <w:r w:rsidRPr="009E575B">
              <w:rPr>
                <w:rFonts w:cs="Times New Roman"/>
                <w:sz w:val="24"/>
                <w:szCs w:val="24"/>
                <w:lang w:val="en-US"/>
              </w:rPr>
              <w:t>(n=132)</w:t>
            </w:r>
          </w:p>
        </w:tc>
        <w:tc>
          <w:tcPr>
            <w:tcW w:w="1403" w:type="dxa"/>
            <w:noWrap/>
            <w:hideMark/>
          </w:tcPr>
          <w:p w14:paraId="07BDCDD3" w14:textId="60108963" w:rsidR="00960AE8" w:rsidRPr="009E575B" w:rsidRDefault="00960AE8" w:rsidP="009E575B">
            <w:pPr>
              <w:ind w:firstLine="26"/>
              <w:rPr>
                <w:rFonts w:cs="Times New Roman"/>
                <w:sz w:val="24"/>
                <w:szCs w:val="24"/>
                <w:lang w:val="en-US"/>
              </w:rPr>
            </w:pPr>
            <w:r w:rsidRPr="009E575B">
              <w:rPr>
                <w:rFonts w:cs="Times New Roman"/>
                <w:sz w:val="24"/>
                <w:szCs w:val="24"/>
              </w:rPr>
              <w:t>Пациенты без ЭОП</w:t>
            </w:r>
            <w:r w:rsidRPr="009E575B">
              <w:rPr>
                <w:rFonts w:cs="Times New Roman"/>
                <w:sz w:val="24"/>
                <w:szCs w:val="24"/>
                <w:lang w:val="en-US"/>
              </w:rPr>
              <w:t xml:space="preserve"> (n=153)</w:t>
            </w:r>
          </w:p>
        </w:tc>
        <w:tc>
          <w:tcPr>
            <w:tcW w:w="736" w:type="dxa"/>
          </w:tcPr>
          <w:p w14:paraId="178DD698" w14:textId="77777777" w:rsidR="00960AE8" w:rsidRPr="009E575B" w:rsidRDefault="00960AE8" w:rsidP="009E575B">
            <w:pPr>
              <w:ind w:firstLine="26"/>
              <w:jc w:val="both"/>
              <w:rPr>
                <w:rFonts w:cs="Times New Roman"/>
                <w:sz w:val="24"/>
                <w:szCs w:val="24"/>
                <w:lang w:val="en-US"/>
              </w:rPr>
            </w:pPr>
            <w:r w:rsidRPr="009E575B">
              <w:rPr>
                <w:rFonts w:cs="Times New Roman"/>
                <w:sz w:val="24"/>
                <w:szCs w:val="24"/>
                <w:lang w:val="en-US"/>
              </w:rPr>
              <w:t>p-value</w:t>
            </w:r>
          </w:p>
        </w:tc>
        <w:tc>
          <w:tcPr>
            <w:tcW w:w="1407" w:type="dxa"/>
            <w:noWrap/>
            <w:hideMark/>
          </w:tcPr>
          <w:p w14:paraId="376E4EE0" w14:textId="77777777" w:rsidR="00960AE8" w:rsidRPr="009E575B" w:rsidRDefault="00960AE8" w:rsidP="009E575B">
            <w:pPr>
              <w:ind w:firstLine="26"/>
              <w:jc w:val="both"/>
              <w:rPr>
                <w:rFonts w:cs="Times New Roman"/>
                <w:sz w:val="24"/>
                <w:szCs w:val="24"/>
                <w:lang w:val="en-US"/>
              </w:rPr>
            </w:pPr>
            <w:r w:rsidRPr="009E575B">
              <w:rPr>
                <w:rFonts w:cs="Times New Roman"/>
                <w:sz w:val="24"/>
                <w:szCs w:val="24"/>
                <w:lang w:val="en-US"/>
              </w:rPr>
              <w:t>OR (95% CI)</w:t>
            </w:r>
          </w:p>
        </w:tc>
      </w:tr>
      <w:tr w:rsidR="009E575B" w:rsidRPr="009E575B" w14:paraId="249A796E" w14:textId="77777777" w:rsidTr="009E575B">
        <w:trPr>
          <w:trHeight w:val="288"/>
        </w:trPr>
        <w:tc>
          <w:tcPr>
            <w:tcW w:w="1704" w:type="dxa"/>
            <w:noWrap/>
          </w:tcPr>
          <w:p w14:paraId="71A1EFCD" w14:textId="55312722" w:rsidR="009E575B" w:rsidRPr="009E575B" w:rsidRDefault="009E575B" w:rsidP="009E575B">
            <w:pPr>
              <w:ind w:firstLine="26"/>
              <w:jc w:val="center"/>
              <w:rPr>
                <w:rFonts w:cs="Times New Roman"/>
                <w:sz w:val="24"/>
                <w:szCs w:val="24"/>
              </w:rPr>
            </w:pPr>
            <w:r>
              <w:rPr>
                <w:rFonts w:cs="Times New Roman"/>
                <w:sz w:val="24"/>
                <w:szCs w:val="24"/>
              </w:rPr>
              <w:t>1</w:t>
            </w:r>
          </w:p>
        </w:tc>
        <w:tc>
          <w:tcPr>
            <w:tcW w:w="1045" w:type="dxa"/>
            <w:noWrap/>
          </w:tcPr>
          <w:p w14:paraId="6C798634" w14:textId="59B729B4" w:rsidR="009E575B" w:rsidRPr="009E575B" w:rsidRDefault="009E575B" w:rsidP="009E575B">
            <w:pPr>
              <w:ind w:firstLine="26"/>
              <w:jc w:val="center"/>
              <w:rPr>
                <w:rFonts w:cs="Times New Roman"/>
                <w:sz w:val="24"/>
                <w:szCs w:val="24"/>
              </w:rPr>
            </w:pPr>
            <w:r>
              <w:rPr>
                <w:rFonts w:cs="Times New Roman"/>
                <w:sz w:val="24"/>
                <w:szCs w:val="24"/>
              </w:rPr>
              <w:t>2</w:t>
            </w:r>
          </w:p>
        </w:tc>
        <w:tc>
          <w:tcPr>
            <w:tcW w:w="1296" w:type="dxa"/>
            <w:noWrap/>
          </w:tcPr>
          <w:p w14:paraId="0D1E671D" w14:textId="62C7BCE0" w:rsidR="009E575B" w:rsidRPr="009E575B" w:rsidRDefault="009E575B" w:rsidP="009E575B">
            <w:pPr>
              <w:ind w:firstLine="26"/>
              <w:jc w:val="center"/>
              <w:rPr>
                <w:rFonts w:cs="Times New Roman"/>
                <w:sz w:val="24"/>
                <w:szCs w:val="24"/>
              </w:rPr>
            </w:pPr>
            <w:r>
              <w:rPr>
                <w:rFonts w:cs="Times New Roman"/>
                <w:sz w:val="24"/>
                <w:szCs w:val="24"/>
              </w:rPr>
              <w:t>3</w:t>
            </w:r>
          </w:p>
        </w:tc>
        <w:tc>
          <w:tcPr>
            <w:tcW w:w="539" w:type="dxa"/>
            <w:noWrap/>
          </w:tcPr>
          <w:p w14:paraId="62667E80" w14:textId="23A5B917" w:rsidR="009E575B" w:rsidRPr="009E575B" w:rsidRDefault="009E575B" w:rsidP="009E575B">
            <w:pPr>
              <w:ind w:firstLine="26"/>
              <w:jc w:val="center"/>
              <w:rPr>
                <w:rFonts w:cs="Times New Roman"/>
                <w:sz w:val="24"/>
                <w:szCs w:val="24"/>
              </w:rPr>
            </w:pPr>
            <w:r>
              <w:rPr>
                <w:rFonts w:cs="Times New Roman"/>
                <w:sz w:val="24"/>
                <w:szCs w:val="24"/>
              </w:rPr>
              <w:t>4</w:t>
            </w:r>
          </w:p>
        </w:tc>
        <w:tc>
          <w:tcPr>
            <w:tcW w:w="1538" w:type="dxa"/>
            <w:noWrap/>
          </w:tcPr>
          <w:p w14:paraId="110FF2D5" w14:textId="27BA676C" w:rsidR="009E575B" w:rsidRPr="009E575B" w:rsidRDefault="009E575B" w:rsidP="009E575B">
            <w:pPr>
              <w:ind w:firstLine="26"/>
              <w:jc w:val="center"/>
              <w:rPr>
                <w:rFonts w:cs="Times New Roman"/>
                <w:sz w:val="24"/>
                <w:szCs w:val="24"/>
              </w:rPr>
            </w:pPr>
            <w:r>
              <w:rPr>
                <w:rFonts w:cs="Times New Roman"/>
                <w:sz w:val="24"/>
                <w:szCs w:val="24"/>
              </w:rPr>
              <w:t>5</w:t>
            </w:r>
          </w:p>
        </w:tc>
        <w:tc>
          <w:tcPr>
            <w:tcW w:w="1403" w:type="dxa"/>
            <w:noWrap/>
          </w:tcPr>
          <w:p w14:paraId="2BE3924C" w14:textId="351E5953" w:rsidR="009E575B" w:rsidRPr="009E575B" w:rsidRDefault="009E575B" w:rsidP="009E575B">
            <w:pPr>
              <w:ind w:firstLine="26"/>
              <w:jc w:val="center"/>
              <w:rPr>
                <w:rFonts w:cs="Times New Roman"/>
                <w:sz w:val="24"/>
                <w:szCs w:val="24"/>
              </w:rPr>
            </w:pPr>
            <w:r>
              <w:rPr>
                <w:rFonts w:cs="Times New Roman"/>
                <w:sz w:val="24"/>
                <w:szCs w:val="24"/>
              </w:rPr>
              <w:t>6</w:t>
            </w:r>
          </w:p>
        </w:tc>
        <w:tc>
          <w:tcPr>
            <w:tcW w:w="736" w:type="dxa"/>
          </w:tcPr>
          <w:p w14:paraId="54703AEF" w14:textId="68559CBE" w:rsidR="009E575B" w:rsidRPr="009E575B" w:rsidRDefault="009E575B" w:rsidP="009E575B">
            <w:pPr>
              <w:ind w:firstLine="26"/>
              <w:jc w:val="center"/>
              <w:rPr>
                <w:rFonts w:cs="Times New Roman"/>
                <w:sz w:val="24"/>
                <w:szCs w:val="24"/>
              </w:rPr>
            </w:pPr>
            <w:r>
              <w:rPr>
                <w:rFonts w:cs="Times New Roman"/>
                <w:sz w:val="24"/>
                <w:szCs w:val="24"/>
              </w:rPr>
              <w:t>7</w:t>
            </w:r>
          </w:p>
        </w:tc>
        <w:tc>
          <w:tcPr>
            <w:tcW w:w="1407" w:type="dxa"/>
            <w:noWrap/>
          </w:tcPr>
          <w:p w14:paraId="7091CE0B" w14:textId="376B0BD3" w:rsidR="009E575B" w:rsidRPr="009E575B" w:rsidRDefault="009E575B" w:rsidP="009E575B">
            <w:pPr>
              <w:ind w:firstLine="26"/>
              <w:jc w:val="center"/>
              <w:rPr>
                <w:rFonts w:cs="Times New Roman"/>
                <w:sz w:val="24"/>
                <w:szCs w:val="24"/>
              </w:rPr>
            </w:pPr>
            <w:r>
              <w:rPr>
                <w:rFonts w:cs="Times New Roman"/>
                <w:sz w:val="24"/>
                <w:szCs w:val="24"/>
              </w:rPr>
              <w:t>8</w:t>
            </w:r>
          </w:p>
        </w:tc>
      </w:tr>
      <w:tr w:rsidR="002B136D" w:rsidRPr="009E575B" w14:paraId="73B86BA9" w14:textId="77777777" w:rsidTr="009E575B">
        <w:trPr>
          <w:trHeight w:val="288"/>
        </w:trPr>
        <w:tc>
          <w:tcPr>
            <w:tcW w:w="1704" w:type="dxa"/>
            <w:tcBorders>
              <w:bottom w:val="single" w:sz="4" w:space="0" w:color="auto"/>
            </w:tcBorders>
            <w:noWrap/>
            <w:hideMark/>
          </w:tcPr>
          <w:p w14:paraId="0372EA46" w14:textId="77777777" w:rsidR="00960AE8" w:rsidRPr="009E575B" w:rsidRDefault="00960AE8" w:rsidP="009E575B">
            <w:pPr>
              <w:ind w:firstLine="26"/>
              <w:jc w:val="both"/>
              <w:rPr>
                <w:rFonts w:cs="Times New Roman"/>
                <w:sz w:val="24"/>
                <w:szCs w:val="24"/>
                <w:lang w:val="en-US"/>
              </w:rPr>
            </w:pPr>
            <w:r w:rsidRPr="009E575B">
              <w:rPr>
                <w:rFonts w:cs="Times New Roman"/>
                <w:sz w:val="24"/>
                <w:szCs w:val="24"/>
                <w:lang w:val="en-US"/>
              </w:rPr>
              <w:t>rs9463772 / IL17F</w:t>
            </w:r>
          </w:p>
        </w:tc>
        <w:tc>
          <w:tcPr>
            <w:tcW w:w="1045" w:type="dxa"/>
            <w:tcBorders>
              <w:bottom w:val="single" w:sz="4" w:space="0" w:color="auto"/>
            </w:tcBorders>
            <w:noWrap/>
          </w:tcPr>
          <w:p w14:paraId="6A922318" w14:textId="77777777" w:rsidR="00960AE8" w:rsidRPr="009E575B" w:rsidRDefault="00960AE8" w:rsidP="009E575B">
            <w:pPr>
              <w:ind w:firstLine="26"/>
              <w:jc w:val="both"/>
              <w:rPr>
                <w:rFonts w:cs="Times New Roman"/>
                <w:sz w:val="24"/>
                <w:szCs w:val="24"/>
                <w:lang w:val="en-US"/>
              </w:rPr>
            </w:pPr>
          </w:p>
        </w:tc>
        <w:tc>
          <w:tcPr>
            <w:tcW w:w="1296" w:type="dxa"/>
            <w:tcBorders>
              <w:bottom w:val="single" w:sz="4" w:space="0" w:color="auto"/>
            </w:tcBorders>
            <w:noWrap/>
            <w:hideMark/>
          </w:tcPr>
          <w:p w14:paraId="03593B3F" w14:textId="77777777" w:rsidR="00960AE8" w:rsidRPr="009E575B" w:rsidRDefault="00960AE8" w:rsidP="009E575B">
            <w:pPr>
              <w:ind w:firstLine="26"/>
              <w:jc w:val="both"/>
              <w:rPr>
                <w:rFonts w:cs="Times New Roman"/>
                <w:sz w:val="24"/>
                <w:szCs w:val="24"/>
                <w:lang w:val="en-US"/>
              </w:rPr>
            </w:pPr>
            <w:r w:rsidRPr="009E575B">
              <w:rPr>
                <w:rFonts w:cs="Times New Roman"/>
                <w:sz w:val="24"/>
                <w:szCs w:val="24"/>
                <w:lang w:val="en-US"/>
              </w:rPr>
              <w:t>52111791</w:t>
            </w:r>
          </w:p>
        </w:tc>
        <w:tc>
          <w:tcPr>
            <w:tcW w:w="539" w:type="dxa"/>
            <w:tcBorders>
              <w:bottom w:val="single" w:sz="4" w:space="0" w:color="auto"/>
            </w:tcBorders>
            <w:noWrap/>
            <w:hideMark/>
          </w:tcPr>
          <w:p w14:paraId="1142861A" w14:textId="77777777" w:rsidR="00960AE8" w:rsidRPr="009E575B" w:rsidRDefault="00960AE8" w:rsidP="009E575B">
            <w:pPr>
              <w:ind w:firstLine="26"/>
              <w:jc w:val="both"/>
              <w:rPr>
                <w:rFonts w:cs="Times New Roman"/>
                <w:sz w:val="24"/>
                <w:szCs w:val="24"/>
                <w:lang w:val="en-US"/>
              </w:rPr>
            </w:pPr>
            <w:r w:rsidRPr="009E575B">
              <w:rPr>
                <w:rFonts w:cs="Times New Roman"/>
                <w:sz w:val="24"/>
                <w:szCs w:val="24"/>
                <w:lang w:val="en-US"/>
              </w:rPr>
              <w:t>6</w:t>
            </w:r>
          </w:p>
        </w:tc>
        <w:tc>
          <w:tcPr>
            <w:tcW w:w="1538" w:type="dxa"/>
            <w:tcBorders>
              <w:bottom w:val="single" w:sz="4" w:space="0" w:color="auto"/>
            </w:tcBorders>
            <w:noWrap/>
            <w:hideMark/>
          </w:tcPr>
          <w:p w14:paraId="401F5F59" w14:textId="77777777" w:rsidR="00960AE8" w:rsidRPr="009E575B" w:rsidRDefault="00960AE8" w:rsidP="009E575B">
            <w:pPr>
              <w:ind w:firstLine="26"/>
              <w:jc w:val="both"/>
              <w:rPr>
                <w:rFonts w:cs="Times New Roman"/>
                <w:sz w:val="24"/>
                <w:szCs w:val="24"/>
                <w:lang w:val="en-US"/>
              </w:rPr>
            </w:pPr>
          </w:p>
        </w:tc>
        <w:tc>
          <w:tcPr>
            <w:tcW w:w="1403" w:type="dxa"/>
            <w:tcBorders>
              <w:bottom w:val="single" w:sz="4" w:space="0" w:color="auto"/>
            </w:tcBorders>
            <w:noWrap/>
            <w:hideMark/>
          </w:tcPr>
          <w:p w14:paraId="0E99B340" w14:textId="77777777" w:rsidR="00960AE8" w:rsidRPr="009E575B" w:rsidRDefault="00960AE8" w:rsidP="009E575B">
            <w:pPr>
              <w:ind w:firstLine="26"/>
              <w:jc w:val="both"/>
              <w:rPr>
                <w:rFonts w:cs="Times New Roman"/>
                <w:sz w:val="24"/>
                <w:szCs w:val="24"/>
                <w:lang w:val="en-US"/>
              </w:rPr>
            </w:pPr>
          </w:p>
        </w:tc>
        <w:tc>
          <w:tcPr>
            <w:tcW w:w="736" w:type="dxa"/>
            <w:tcBorders>
              <w:bottom w:val="single" w:sz="4" w:space="0" w:color="auto"/>
            </w:tcBorders>
          </w:tcPr>
          <w:p w14:paraId="397E5087" w14:textId="77777777" w:rsidR="00960AE8" w:rsidRPr="009E575B" w:rsidRDefault="00960AE8" w:rsidP="009E575B">
            <w:pPr>
              <w:ind w:firstLine="26"/>
              <w:jc w:val="both"/>
              <w:rPr>
                <w:rFonts w:cs="Times New Roman"/>
                <w:sz w:val="24"/>
                <w:szCs w:val="24"/>
                <w:lang w:val="en-US"/>
              </w:rPr>
            </w:pPr>
          </w:p>
        </w:tc>
        <w:tc>
          <w:tcPr>
            <w:tcW w:w="1407" w:type="dxa"/>
            <w:tcBorders>
              <w:bottom w:val="single" w:sz="4" w:space="0" w:color="auto"/>
            </w:tcBorders>
            <w:noWrap/>
            <w:hideMark/>
          </w:tcPr>
          <w:p w14:paraId="3DE42050" w14:textId="77777777" w:rsidR="00960AE8" w:rsidRPr="009E575B" w:rsidRDefault="00960AE8" w:rsidP="009E575B">
            <w:pPr>
              <w:ind w:firstLine="26"/>
              <w:jc w:val="both"/>
              <w:rPr>
                <w:rFonts w:cs="Times New Roman"/>
                <w:sz w:val="24"/>
                <w:szCs w:val="24"/>
                <w:lang w:val="en-US"/>
              </w:rPr>
            </w:pPr>
          </w:p>
        </w:tc>
      </w:tr>
      <w:tr w:rsidR="002B136D" w:rsidRPr="009E575B" w14:paraId="6E9F3474" w14:textId="77777777" w:rsidTr="009E575B">
        <w:trPr>
          <w:trHeight w:val="288"/>
        </w:trPr>
        <w:tc>
          <w:tcPr>
            <w:tcW w:w="1704" w:type="dxa"/>
            <w:vMerge w:val="restart"/>
            <w:noWrap/>
          </w:tcPr>
          <w:p w14:paraId="050720FE" w14:textId="4DE494CB" w:rsidR="00960AE8" w:rsidRPr="009E575B" w:rsidRDefault="00960AE8" w:rsidP="009E575B">
            <w:pPr>
              <w:jc w:val="both"/>
              <w:rPr>
                <w:rFonts w:cs="Times New Roman"/>
                <w:sz w:val="24"/>
                <w:szCs w:val="24"/>
                <w:lang w:val="en-US"/>
              </w:rPr>
            </w:pPr>
            <w:r w:rsidRPr="009E575B">
              <w:rPr>
                <w:rFonts w:cs="Times New Roman"/>
                <w:sz w:val="24"/>
                <w:szCs w:val="24"/>
              </w:rPr>
              <w:t>Генотип</w:t>
            </w:r>
          </w:p>
        </w:tc>
        <w:tc>
          <w:tcPr>
            <w:tcW w:w="1045" w:type="dxa"/>
            <w:noWrap/>
          </w:tcPr>
          <w:p w14:paraId="7D8967A4" w14:textId="77777777" w:rsidR="00960AE8" w:rsidRPr="009E575B" w:rsidRDefault="00960AE8" w:rsidP="009E575B">
            <w:pPr>
              <w:jc w:val="both"/>
              <w:rPr>
                <w:rFonts w:cs="Times New Roman"/>
                <w:sz w:val="24"/>
                <w:szCs w:val="24"/>
                <w:lang w:val="en-US"/>
              </w:rPr>
            </w:pPr>
            <w:r w:rsidRPr="009E575B">
              <w:rPr>
                <w:rFonts w:cs="Times New Roman"/>
                <w:sz w:val="24"/>
                <w:szCs w:val="24"/>
              </w:rPr>
              <w:t>CC</w:t>
            </w:r>
          </w:p>
        </w:tc>
        <w:tc>
          <w:tcPr>
            <w:tcW w:w="1296" w:type="dxa"/>
            <w:noWrap/>
          </w:tcPr>
          <w:p w14:paraId="1B5A07B3" w14:textId="77777777" w:rsidR="00960AE8" w:rsidRPr="009E575B" w:rsidRDefault="00960AE8" w:rsidP="009E575B">
            <w:pPr>
              <w:jc w:val="both"/>
              <w:rPr>
                <w:rFonts w:cs="Times New Roman"/>
                <w:sz w:val="24"/>
                <w:szCs w:val="24"/>
                <w:lang w:val="en-US"/>
              </w:rPr>
            </w:pPr>
          </w:p>
        </w:tc>
        <w:tc>
          <w:tcPr>
            <w:tcW w:w="539" w:type="dxa"/>
            <w:noWrap/>
          </w:tcPr>
          <w:p w14:paraId="67E620F0" w14:textId="77777777" w:rsidR="00960AE8" w:rsidRPr="009E575B" w:rsidRDefault="00960AE8" w:rsidP="009E575B">
            <w:pPr>
              <w:jc w:val="both"/>
              <w:rPr>
                <w:rFonts w:cs="Times New Roman"/>
                <w:sz w:val="24"/>
                <w:szCs w:val="24"/>
                <w:lang w:val="en-US"/>
              </w:rPr>
            </w:pPr>
          </w:p>
        </w:tc>
        <w:tc>
          <w:tcPr>
            <w:tcW w:w="1538" w:type="dxa"/>
            <w:noWrap/>
          </w:tcPr>
          <w:p w14:paraId="028A78E6" w14:textId="77777777" w:rsidR="00960AE8" w:rsidRPr="009E575B" w:rsidRDefault="00960AE8" w:rsidP="009E575B">
            <w:pPr>
              <w:jc w:val="both"/>
              <w:rPr>
                <w:rFonts w:cs="Times New Roman"/>
                <w:sz w:val="24"/>
                <w:szCs w:val="24"/>
                <w:lang w:val="en-US"/>
              </w:rPr>
            </w:pPr>
            <w:r w:rsidRPr="009E575B">
              <w:rPr>
                <w:rFonts w:cs="Times New Roman"/>
                <w:sz w:val="24"/>
                <w:szCs w:val="24"/>
              </w:rPr>
              <w:t>98 (74.24%)</w:t>
            </w:r>
          </w:p>
        </w:tc>
        <w:tc>
          <w:tcPr>
            <w:tcW w:w="1403" w:type="dxa"/>
            <w:tcBorders>
              <w:bottom w:val="single" w:sz="4" w:space="0" w:color="auto"/>
            </w:tcBorders>
            <w:noWrap/>
          </w:tcPr>
          <w:p w14:paraId="154CBDA3" w14:textId="77777777" w:rsidR="00960AE8" w:rsidRPr="009E575B" w:rsidRDefault="00960AE8" w:rsidP="009E575B">
            <w:pPr>
              <w:jc w:val="both"/>
              <w:rPr>
                <w:rFonts w:cs="Times New Roman"/>
                <w:sz w:val="24"/>
                <w:szCs w:val="24"/>
                <w:lang w:val="en-US"/>
              </w:rPr>
            </w:pPr>
            <w:r w:rsidRPr="009E575B">
              <w:rPr>
                <w:rFonts w:cs="Times New Roman"/>
                <w:sz w:val="24"/>
                <w:szCs w:val="24"/>
              </w:rPr>
              <w:t>105 (68.63%)</w:t>
            </w:r>
          </w:p>
        </w:tc>
        <w:tc>
          <w:tcPr>
            <w:tcW w:w="736" w:type="dxa"/>
            <w:vMerge w:val="restart"/>
            <w:tcBorders>
              <w:bottom w:val="nil"/>
            </w:tcBorders>
          </w:tcPr>
          <w:p w14:paraId="3C13E4E4" w14:textId="77777777" w:rsidR="00960AE8" w:rsidRPr="009E575B" w:rsidRDefault="00960AE8" w:rsidP="009E575B">
            <w:pPr>
              <w:jc w:val="both"/>
              <w:rPr>
                <w:rFonts w:cs="Times New Roman"/>
                <w:sz w:val="24"/>
                <w:szCs w:val="24"/>
                <w:lang w:val="en-US"/>
              </w:rPr>
            </w:pPr>
            <w:r w:rsidRPr="009E575B">
              <w:rPr>
                <w:rFonts w:cs="Times New Roman"/>
                <w:sz w:val="24"/>
                <w:szCs w:val="24"/>
                <w:lang w:val="en-US"/>
              </w:rPr>
              <w:t>0.3</w:t>
            </w:r>
          </w:p>
        </w:tc>
        <w:tc>
          <w:tcPr>
            <w:tcW w:w="1407" w:type="dxa"/>
            <w:vMerge w:val="restart"/>
            <w:tcBorders>
              <w:bottom w:val="nil"/>
            </w:tcBorders>
            <w:noWrap/>
          </w:tcPr>
          <w:p w14:paraId="6240E507" w14:textId="77777777" w:rsidR="00960AE8" w:rsidRPr="009E575B" w:rsidRDefault="00960AE8" w:rsidP="009E575B">
            <w:pPr>
              <w:jc w:val="both"/>
              <w:rPr>
                <w:rFonts w:cs="Times New Roman"/>
                <w:sz w:val="24"/>
                <w:szCs w:val="24"/>
                <w:lang w:val="en-US"/>
              </w:rPr>
            </w:pPr>
            <w:r w:rsidRPr="009E575B">
              <w:rPr>
                <w:rFonts w:cs="Times New Roman"/>
                <w:sz w:val="24"/>
                <w:szCs w:val="24"/>
                <w:lang w:val="en-US"/>
              </w:rPr>
              <w:t>1.1 (0.8;1,5)</w:t>
            </w:r>
          </w:p>
        </w:tc>
      </w:tr>
      <w:tr w:rsidR="002B136D" w:rsidRPr="009E575B" w14:paraId="589B9824" w14:textId="77777777" w:rsidTr="009E575B">
        <w:trPr>
          <w:trHeight w:val="288"/>
        </w:trPr>
        <w:tc>
          <w:tcPr>
            <w:tcW w:w="1704" w:type="dxa"/>
            <w:vMerge/>
            <w:noWrap/>
          </w:tcPr>
          <w:p w14:paraId="6CAC2A18" w14:textId="77777777" w:rsidR="00960AE8" w:rsidRPr="009E575B" w:rsidRDefault="00960AE8" w:rsidP="009E575B">
            <w:pPr>
              <w:jc w:val="both"/>
              <w:rPr>
                <w:rFonts w:cs="Times New Roman"/>
                <w:sz w:val="24"/>
                <w:szCs w:val="24"/>
                <w:lang w:val="en-US"/>
              </w:rPr>
            </w:pPr>
          </w:p>
        </w:tc>
        <w:tc>
          <w:tcPr>
            <w:tcW w:w="1045" w:type="dxa"/>
            <w:noWrap/>
          </w:tcPr>
          <w:p w14:paraId="23D7C066" w14:textId="77777777" w:rsidR="00960AE8" w:rsidRPr="009E575B" w:rsidRDefault="00960AE8" w:rsidP="009E575B">
            <w:pPr>
              <w:jc w:val="both"/>
              <w:rPr>
                <w:rFonts w:cs="Times New Roman"/>
                <w:sz w:val="24"/>
                <w:szCs w:val="24"/>
                <w:lang w:val="en-US"/>
              </w:rPr>
            </w:pPr>
            <w:r w:rsidRPr="009E575B">
              <w:rPr>
                <w:rFonts w:cs="Times New Roman"/>
                <w:sz w:val="24"/>
                <w:szCs w:val="24"/>
              </w:rPr>
              <w:t>CT</w:t>
            </w:r>
          </w:p>
        </w:tc>
        <w:tc>
          <w:tcPr>
            <w:tcW w:w="1296" w:type="dxa"/>
            <w:noWrap/>
          </w:tcPr>
          <w:p w14:paraId="26FCCF44" w14:textId="77777777" w:rsidR="00960AE8" w:rsidRPr="009E575B" w:rsidRDefault="00960AE8" w:rsidP="009E575B">
            <w:pPr>
              <w:jc w:val="both"/>
              <w:rPr>
                <w:rFonts w:cs="Times New Roman"/>
                <w:sz w:val="24"/>
                <w:szCs w:val="24"/>
                <w:lang w:val="en-US"/>
              </w:rPr>
            </w:pPr>
          </w:p>
        </w:tc>
        <w:tc>
          <w:tcPr>
            <w:tcW w:w="539" w:type="dxa"/>
            <w:noWrap/>
          </w:tcPr>
          <w:p w14:paraId="4BA81EBF" w14:textId="77777777" w:rsidR="00960AE8" w:rsidRPr="009E575B" w:rsidRDefault="00960AE8" w:rsidP="009E575B">
            <w:pPr>
              <w:jc w:val="both"/>
              <w:rPr>
                <w:rFonts w:cs="Times New Roman"/>
                <w:sz w:val="24"/>
                <w:szCs w:val="24"/>
                <w:lang w:val="en-US"/>
              </w:rPr>
            </w:pPr>
          </w:p>
        </w:tc>
        <w:tc>
          <w:tcPr>
            <w:tcW w:w="1538" w:type="dxa"/>
            <w:noWrap/>
          </w:tcPr>
          <w:p w14:paraId="0BB06453" w14:textId="77777777" w:rsidR="00960AE8" w:rsidRPr="009E575B" w:rsidRDefault="00960AE8" w:rsidP="009E575B">
            <w:pPr>
              <w:jc w:val="both"/>
              <w:rPr>
                <w:rFonts w:cs="Times New Roman"/>
                <w:sz w:val="24"/>
                <w:szCs w:val="24"/>
                <w:lang w:val="en-US"/>
              </w:rPr>
            </w:pPr>
            <w:r w:rsidRPr="009E575B">
              <w:rPr>
                <w:rFonts w:cs="Times New Roman"/>
                <w:sz w:val="24"/>
                <w:szCs w:val="24"/>
              </w:rPr>
              <w:t>32 (24.24%)</w:t>
            </w:r>
          </w:p>
        </w:tc>
        <w:tc>
          <w:tcPr>
            <w:tcW w:w="1403" w:type="dxa"/>
            <w:tcBorders>
              <w:top w:val="single" w:sz="4" w:space="0" w:color="auto"/>
            </w:tcBorders>
            <w:noWrap/>
          </w:tcPr>
          <w:p w14:paraId="09057CF4" w14:textId="77777777" w:rsidR="00960AE8" w:rsidRPr="009E575B" w:rsidRDefault="00960AE8" w:rsidP="009E575B">
            <w:pPr>
              <w:jc w:val="both"/>
              <w:rPr>
                <w:rFonts w:cs="Times New Roman"/>
                <w:sz w:val="24"/>
                <w:szCs w:val="24"/>
                <w:lang w:val="en-US"/>
              </w:rPr>
            </w:pPr>
            <w:r w:rsidRPr="009E575B">
              <w:rPr>
                <w:rFonts w:cs="Times New Roman"/>
                <w:sz w:val="24"/>
                <w:szCs w:val="24"/>
              </w:rPr>
              <w:t>43 (28.1%)</w:t>
            </w:r>
          </w:p>
        </w:tc>
        <w:tc>
          <w:tcPr>
            <w:tcW w:w="736" w:type="dxa"/>
            <w:vMerge/>
            <w:tcBorders>
              <w:top w:val="single" w:sz="4" w:space="0" w:color="auto"/>
              <w:bottom w:val="nil"/>
            </w:tcBorders>
          </w:tcPr>
          <w:p w14:paraId="329743FB" w14:textId="77777777" w:rsidR="00960AE8" w:rsidRPr="009E575B" w:rsidRDefault="00960AE8" w:rsidP="009E575B">
            <w:pPr>
              <w:jc w:val="both"/>
              <w:rPr>
                <w:rFonts w:cs="Times New Roman"/>
                <w:sz w:val="24"/>
                <w:szCs w:val="24"/>
                <w:lang w:val="en-US"/>
              </w:rPr>
            </w:pPr>
          </w:p>
        </w:tc>
        <w:tc>
          <w:tcPr>
            <w:tcW w:w="1407" w:type="dxa"/>
            <w:vMerge/>
            <w:tcBorders>
              <w:top w:val="single" w:sz="4" w:space="0" w:color="auto"/>
              <w:bottom w:val="nil"/>
            </w:tcBorders>
            <w:noWrap/>
          </w:tcPr>
          <w:p w14:paraId="7017B585" w14:textId="77777777" w:rsidR="00960AE8" w:rsidRPr="009E575B" w:rsidRDefault="00960AE8" w:rsidP="009E575B">
            <w:pPr>
              <w:jc w:val="both"/>
              <w:rPr>
                <w:rFonts w:cs="Times New Roman"/>
                <w:sz w:val="24"/>
                <w:szCs w:val="24"/>
                <w:lang w:val="en-US"/>
              </w:rPr>
            </w:pPr>
          </w:p>
        </w:tc>
      </w:tr>
      <w:tr w:rsidR="002B136D" w:rsidRPr="009E575B" w14:paraId="697AF109" w14:textId="77777777" w:rsidTr="009E575B">
        <w:trPr>
          <w:trHeight w:val="288"/>
        </w:trPr>
        <w:tc>
          <w:tcPr>
            <w:tcW w:w="1704" w:type="dxa"/>
            <w:vMerge/>
            <w:tcBorders>
              <w:bottom w:val="nil"/>
            </w:tcBorders>
            <w:noWrap/>
          </w:tcPr>
          <w:p w14:paraId="64287B69" w14:textId="77777777" w:rsidR="00960AE8" w:rsidRPr="009E575B" w:rsidRDefault="00960AE8" w:rsidP="009E575B">
            <w:pPr>
              <w:jc w:val="both"/>
              <w:rPr>
                <w:rFonts w:cs="Times New Roman"/>
                <w:sz w:val="24"/>
                <w:szCs w:val="24"/>
                <w:lang w:val="en-US"/>
              </w:rPr>
            </w:pPr>
          </w:p>
        </w:tc>
        <w:tc>
          <w:tcPr>
            <w:tcW w:w="1045" w:type="dxa"/>
            <w:tcBorders>
              <w:bottom w:val="nil"/>
            </w:tcBorders>
            <w:noWrap/>
          </w:tcPr>
          <w:p w14:paraId="00135F4A" w14:textId="77777777" w:rsidR="00960AE8" w:rsidRPr="009E575B" w:rsidRDefault="00960AE8" w:rsidP="009E575B">
            <w:pPr>
              <w:jc w:val="both"/>
              <w:rPr>
                <w:rFonts w:cs="Times New Roman"/>
                <w:sz w:val="24"/>
                <w:szCs w:val="24"/>
                <w:lang w:val="en-US"/>
              </w:rPr>
            </w:pPr>
            <w:r w:rsidRPr="009E575B">
              <w:rPr>
                <w:rFonts w:cs="Times New Roman"/>
                <w:sz w:val="24"/>
                <w:szCs w:val="24"/>
              </w:rPr>
              <w:t>TT</w:t>
            </w:r>
          </w:p>
        </w:tc>
        <w:tc>
          <w:tcPr>
            <w:tcW w:w="1296" w:type="dxa"/>
            <w:tcBorders>
              <w:bottom w:val="nil"/>
            </w:tcBorders>
            <w:noWrap/>
          </w:tcPr>
          <w:p w14:paraId="023B3BD4" w14:textId="77777777" w:rsidR="00960AE8" w:rsidRPr="009E575B" w:rsidRDefault="00960AE8" w:rsidP="009E575B">
            <w:pPr>
              <w:jc w:val="both"/>
              <w:rPr>
                <w:rFonts w:cs="Times New Roman"/>
                <w:sz w:val="24"/>
                <w:szCs w:val="24"/>
                <w:lang w:val="en-US"/>
              </w:rPr>
            </w:pPr>
          </w:p>
        </w:tc>
        <w:tc>
          <w:tcPr>
            <w:tcW w:w="539" w:type="dxa"/>
            <w:tcBorders>
              <w:bottom w:val="nil"/>
            </w:tcBorders>
            <w:noWrap/>
          </w:tcPr>
          <w:p w14:paraId="3572F25C" w14:textId="77777777" w:rsidR="00960AE8" w:rsidRPr="009E575B" w:rsidRDefault="00960AE8" w:rsidP="009E575B">
            <w:pPr>
              <w:jc w:val="both"/>
              <w:rPr>
                <w:rFonts w:cs="Times New Roman"/>
                <w:sz w:val="24"/>
                <w:szCs w:val="24"/>
                <w:lang w:val="en-US"/>
              </w:rPr>
            </w:pPr>
          </w:p>
        </w:tc>
        <w:tc>
          <w:tcPr>
            <w:tcW w:w="1538" w:type="dxa"/>
            <w:tcBorders>
              <w:bottom w:val="nil"/>
            </w:tcBorders>
            <w:noWrap/>
          </w:tcPr>
          <w:p w14:paraId="15C8795A" w14:textId="77777777" w:rsidR="00960AE8" w:rsidRPr="009E575B" w:rsidRDefault="00960AE8" w:rsidP="009E575B">
            <w:pPr>
              <w:jc w:val="both"/>
              <w:rPr>
                <w:rFonts w:cs="Times New Roman"/>
                <w:sz w:val="24"/>
                <w:szCs w:val="24"/>
                <w:lang w:val="en-US"/>
              </w:rPr>
            </w:pPr>
            <w:r w:rsidRPr="009E575B">
              <w:rPr>
                <w:rFonts w:cs="Times New Roman"/>
                <w:sz w:val="24"/>
                <w:szCs w:val="24"/>
              </w:rPr>
              <w:t>2 (1.52%)</w:t>
            </w:r>
          </w:p>
        </w:tc>
        <w:tc>
          <w:tcPr>
            <w:tcW w:w="1403" w:type="dxa"/>
            <w:tcBorders>
              <w:bottom w:val="nil"/>
            </w:tcBorders>
            <w:noWrap/>
          </w:tcPr>
          <w:p w14:paraId="46E42F5C" w14:textId="77777777" w:rsidR="00960AE8" w:rsidRPr="009E575B" w:rsidRDefault="00960AE8" w:rsidP="009E575B">
            <w:pPr>
              <w:jc w:val="both"/>
              <w:rPr>
                <w:rFonts w:cs="Times New Roman"/>
                <w:sz w:val="24"/>
                <w:szCs w:val="24"/>
                <w:lang w:val="en-US"/>
              </w:rPr>
            </w:pPr>
            <w:r w:rsidRPr="009E575B">
              <w:rPr>
                <w:rFonts w:cs="Times New Roman"/>
                <w:sz w:val="24"/>
                <w:szCs w:val="24"/>
              </w:rPr>
              <w:t>5 (3.27%)</w:t>
            </w:r>
          </w:p>
        </w:tc>
        <w:tc>
          <w:tcPr>
            <w:tcW w:w="736" w:type="dxa"/>
            <w:vMerge/>
            <w:tcBorders>
              <w:bottom w:val="nil"/>
            </w:tcBorders>
          </w:tcPr>
          <w:p w14:paraId="3AF9C912" w14:textId="77777777" w:rsidR="00960AE8" w:rsidRPr="009E575B" w:rsidRDefault="00960AE8" w:rsidP="009E575B">
            <w:pPr>
              <w:jc w:val="both"/>
              <w:rPr>
                <w:rFonts w:cs="Times New Roman"/>
                <w:sz w:val="24"/>
                <w:szCs w:val="24"/>
                <w:lang w:val="en-US"/>
              </w:rPr>
            </w:pPr>
          </w:p>
        </w:tc>
        <w:tc>
          <w:tcPr>
            <w:tcW w:w="1407" w:type="dxa"/>
            <w:vMerge/>
            <w:tcBorders>
              <w:bottom w:val="nil"/>
            </w:tcBorders>
            <w:noWrap/>
          </w:tcPr>
          <w:p w14:paraId="1BA3798E" w14:textId="77777777" w:rsidR="00960AE8" w:rsidRPr="009E575B" w:rsidRDefault="00960AE8" w:rsidP="009E575B">
            <w:pPr>
              <w:jc w:val="both"/>
              <w:rPr>
                <w:rFonts w:cs="Times New Roman"/>
                <w:sz w:val="24"/>
                <w:szCs w:val="24"/>
                <w:lang w:val="en-US"/>
              </w:rPr>
            </w:pPr>
          </w:p>
        </w:tc>
      </w:tr>
    </w:tbl>
    <w:p w14:paraId="3ACB7750" w14:textId="641827AB" w:rsidR="009E575B" w:rsidRDefault="00F35C00" w:rsidP="009E575B">
      <w:pPr>
        <w:spacing w:after="0" w:line="240" w:lineRule="auto"/>
      </w:pPr>
      <w:r>
        <w:lastRenderedPageBreak/>
        <w:t xml:space="preserve">Продолжение таблицы </w:t>
      </w:r>
      <w:r w:rsidR="009E575B">
        <w:t>1</w:t>
      </w:r>
      <w:r w:rsidR="0076161A">
        <w:t>8</w:t>
      </w:r>
    </w:p>
    <w:p w14:paraId="6F01874F" w14:textId="77777777" w:rsidR="009E575B" w:rsidRPr="009E575B" w:rsidRDefault="009E575B" w:rsidP="009E575B">
      <w:pPr>
        <w:spacing w:after="0" w:line="240" w:lineRule="auto"/>
        <w:rPr>
          <w:szCs w:val="28"/>
        </w:rPr>
      </w:pPr>
    </w:p>
    <w:tbl>
      <w:tblPr>
        <w:tblStyle w:val="1"/>
        <w:tblW w:w="9668" w:type="dxa"/>
        <w:tblInd w:w="108" w:type="dxa"/>
        <w:tblLook w:val="04A0" w:firstRow="1" w:lastRow="0" w:firstColumn="1" w:lastColumn="0" w:noHBand="0" w:noVBand="1"/>
      </w:tblPr>
      <w:tblGrid>
        <w:gridCol w:w="1704"/>
        <w:gridCol w:w="1045"/>
        <w:gridCol w:w="1296"/>
        <w:gridCol w:w="539"/>
        <w:gridCol w:w="1538"/>
        <w:gridCol w:w="1403"/>
        <w:gridCol w:w="736"/>
        <w:gridCol w:w="1407"/>
      </w:tblGrid>
      <w:tr w:rsidR="009E575B" w:rsidRPr="009E575B" w14:paraId="62F3AD70" w14:textId="77777777" w:rsidTr="009E575B">
        <w:trPr>
          <w:trHeight w:val="288"/>
        </w:trPr>
        <w:tc>
          <w:tcPr>
            <w:tcW w:w="1704" w:type="dxa"/>
            <w:noWrap/>
          </w:tcPr>
          <w:p w14:paraId="3E26401E" w14:textId="63A8CEBD" w:rsidR="009E575B" w:rsidRPr="009E575B" w:rsidRDefault="009E575B" w:rsidP="009E575B">
            <w:pPr>
              <w:jc w:val="center"/>
              <w:rPr>
                <w:rFonts w:cs="Times New Roman"/>
                <w:sz w:val="24"/>
                <w:szCs w:val="24"/>
              </w:rPr>
            </w:pPr>
            <w:r>
              <w:rPr>
                <w:rFonts w:cs="Times New Roman"/>
                <w:sz w:val="24"/>
                <w:szCs w:val="24"/>
              </w:rPr>
              <w:t>1</w:t>
            </w:r>
          </w:p>
        </w:tc>
        <w:tc>
          <w:tcPr>
            <w:tcW w:w="1045" w:type="dxa"/>
            <w:noWrap/>
          </w:tcPr>
          <w:p w14:paraId="5C7684BB" w14:textId="5E10118F" w:rsidR="009E575B" w:rsidRPr="009E575B" w:rsidRDefault="009E575B" w:rsidP="009E575B">
            <w:pPr>
              <w:jc w:val="center"/>
              <w:rPr>
                <w:rFonts w:cs="Times New Roman"/>
                <w:sz w:val="24"/>
                <w:szCs w:val="24"/>
                <w:lang w:val="en-US"/>
              </w:rPr>
            </w:pPr>
            <w:r>
              <w:rPr>
                <w:rFonts w:cs="Times New Roman"/>
                <w:sz w:val="24"/>
                <w:szCs w:val="24"/>
              </w:rPr>
              <w:t>2</w:t>
            </w:r>
          </w:p>
        </w:tc>
        <w:tc>
          <w:tcPr>
            <w:tcW w:w="1296" w:type="dxa"/>
            <w:noWrap/>
          </w:tcPr>
          <w:p w14:paraId="49CEDEDD" w14:textId="297E802E" w:rsidR="009E575B" w:rsidRPr="009E575B" w:rsidRDefault="009E575B" w:rsidP="009E575B">
            <w:pPr>
              <w:jc w:val="center"/>
              <w:rPr>
                <w:rFonts w:cs="Times New Roman"/>
                <w:sz w:val="24"/>
                <w:szCs w:val="24"/>
                <w:lang w:val="en-US"/>
              </w:rPr>
            </w:pPr>
            <w:r>
              <w:rPr>
                <w:rFonts w:cs="Times New Roman"/>
                <w:sz w:val="24"/>
                <w:szCs w:val="24"/>
              </w:rPr>
              <w:t>3</w:t>
            </w:r>
          </w:p>
        </w:tc>
        <w:tc>
          <w:tcPr>
            <w:tcW w:w="539" w:type="dxa"/>
            <w:noWrap/>
          </w:tcPr>
          <w:p w14:paraId="20489177" w14:textId="75082765" w:rsidR="009E575B" w:rsidRPr="009E575B" w:rsidRDefault="009E575B" w:rsidP="009E575B">
            <w:pPr>
              <w:jc w:val="center"/>
              <w:rPr>
                <w:rFonts w:cs="Times New Roman"/>
                <w:sz w:val="24"/>
                <w:szCs w:val="24"/>
                <w:lang w:val="en-US"/>
              </w:rPr>
            </w:pPr>
            <w:r>
              <w:rPr>
                <w:rFonts w:cs="Times New Roman"/>
                <w:sz w:val="24"/>
                <w:szCs w:val="24"/>
              </w:rPr>
              <w:t>4</w:t>
            </w:r>
          </w:p>
        </w:tc>
        <w:tc>
          <w:tcPr>
            <w:tcW w:w="1538" w:type="dxa"/>
            <w:noWrap/>
          </w:tcPr>
          <w:p w14:paraId="1B013928" w14:textId="54DC40DB" w:rsidR="009E575B" w:rsidRPr="009E575B" w:rsidRDefault="009E575B" w:rsidP="009E575B">
            <w:pPr>
              <w:jc w:val="center"/>
              <w:rPr>
                <w:rFonts w:cs="Times New Roman"/>
                <w:sz w:val="24"/>
                <w:szCs w:val="24"/>
              </w:rPr>
            </w:pPr>
            <w:r>
              <w:rPr>
                <w:rFonts w:cs="Times New Roman"/>
                <w:sz w:val="24"/>
                <w:szCs w:val="24"/>
              </w:rPr>
              <w:t>5</w:t>
            </w:r>
          </w:p>
        </w:tc>
        <w:tc>
          <w:tcPr>
            <w:tcW w:w="1403" w:type="dxa"/>
            <w:noWrap/>
          </w:tcPr>
          <w:p w14:paraId="18FA6C7B" w14:textId="20B0F271" w:rsidR="009E575B" w:rsidRPr="009E575B" w:rsidRDefault="009E575B" w:rsidP="009E575B">
            <w:pPr>
              <w:jc w:val="center"/>
              <w:rPr>
                <w:rFonts w:cs="Times New Roman"/>
                <w:sz w:val="24"/>
                <w:szCs w:val="24"/>
                <w:lang w:val="en-US"/>
              </w:rPr>
            </w:pPr>
            <w:r>
              <w:rPr>
                <w:rFonts w:cs="Times New Roman"/>
                <w:sz w:val="24"/>
                <w:szCs w:val="24"/>
              </w:rPr>
              <w:t>6</w:t>
            </w:r>
          </w:p>
        </w:tc>
        <w:tc>
          <w:tcPr>
            <w:tcW w:w="736" w:type="dxa"/>
          </w:tcPr>
          <w:p w14:paraId="5A205FF5" w14:textId="3F51AD92" w:rsidR="009E575B" w:rsidRPr="009E575B" w:rsidRDefault="009E575B" w:rsidP="009E575B">
            <w:pPr>
              <w:jc w:val="center"/>
              <w:rPr>
                <w:rFonts w:cs="Times New Roman"/>
                <w:sz w:val="24"/>
                <w:szCs w:val="24"/>
              </w:rPr>
            </w:pPr>
            <w:r>
              <w:rPr>
                <w:rFonts w:cs="Times New Roman"/>
                <w:sz w:val="24"/>
                <w:szCs w:val="24"/>
              </w:rPr>
              <w:t>7</w:t>
            </w:r>
          </w:p>
        </w:tc>
        <w:tc>
          <w:tcPr>
            <w:tcW w:w="1407" w:type="dxa"/>
            <w:noWrap/>
          </w:tcPr>
          <w:p w14:paraId="270E1977" w14:textId="3B7C8FAF" w:rsidR="009E575B" w:rsidRPr="009E575B" w:rsidRDefault="009E575B" w:rsidP="009E575B">
            <w:pPr>
              <w:jc w:val="center"/>
              <w:rPr>
                <w:rFonts w:cs="Times New Roman"/>
                <w:sz w:val="24"/>
                <w:szCs w:val="24"/>
                <w:lang w:val="en-US"/>
              </w:rPr>
            </w:pPr>
            <w:r>
              <w:rPr>
                <w:rFonts w:cs="Times New Roman"/>
                <w:sz w:val="24"/>
                <w:szCs w:val="24"/>
              </w:rPr>
              <w:t>8</w:t>
            </w:r>
          </w:p>
        </w:tc>
      </w:tr>
      <w:tr w:rsidR="009E575B" w:rsidRPr="009E575B" w14:paraId="34EEC894" w14:textId="77777777" w:rsidTr="009E575B">
        <w:trPr>
          <w:trHeight w:val="288"/>
        </w:trPr>
        <w:tc>
          <w:tcPr>
            <w:tcW w:w="1704" w:type="dxa"/>
            <w:vMerge w:val="restart"/>
            <w:noWrap/>
            <w:hideMark/>
          </w:tcPr>
          <w:p w14:paraId="2C7DC5CE" w14:textId="2B1E0C52" w:rsidR="009E575B" w:rsidRPr="009E575B" w:rsidRDefault="009E575B" w:rsidP="009E575B">
            <w:pPr>
              <w:jc w:val="both"/>
              <w:rPr>
                <w:rFonts w:cs="Times New Roman"/>
                <w:sz w:val="24"/>
                <w:szCs w:val="24"/>
                <w:lang w:val="en-US"/>
              </w:rPr>
            </w:pPr>
            <w:r w:rsidRPr="009E575B">
              <w:rPr>
                <w:rFonts w:cs="Times New Roman"/>
                <w:sz w:val="24"/>
                <w:szCs w:val="24"/>
              </w:rPr>
              <w:t>Рецессивная модель</w:t>
            </w:r>
          </w:p>
        </w:tc>
        <w:tc>
          <w:tcPr>
            <w:tcW w:w="1045" w:type="dxa"/>
            <w:noWrap/>
            <w:hideMark/>
          </w:tcPr>
          <w:p w14:paraId="701A3A03"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CC</w:t>
            </w:r>
            <w:r w:rsidRPr="009E575B">
              <w:rPr>
                <w:rFonts w:cs="Times New Roman"/>
                <w:sz w:val="24"/>
                <w:szCs w:val="24"/>
              </w:rPr>
              <w:t>+СТ</w:t>
            </w:r>
          </w:p>
        </w:tc>
        <w:tc>
          <w:tcPr>
            <w:tcW w:w="1296" w:type="dxa"/>
            <w:noWrap/>
            <w:hideMark/>
          </w:tcPr>
          <w:p w14:paraId="39307E8D" w14:textId="77777777" w:rsidR="009E575B" w:rsidRPr="009E575B" w:rsidRDefault="009E575B" w:rsidP="009E575B">
            <w:pPr>
              <w:jc w:val="both"/>
              <w:rPr>
                <w:rFonts w:cs="Times New Roman"/>
                <w:sz w:val="24"/>
                <w:szCs w:val="24"/>
                <w:lang w:val="en-US"/>
              </w:rPr>
            </w:pPr>
          </w:p>
        </w:tc>
        <w:tc>
          <w:tcPr>
            <w:tcW w:w="539" w:type="dxa"/>
            <w:noWrap/>
            <w:hideMark/>
          </w:tcPr>
          <w:p w14:paraId="1473ABA3" w14:textId="77777777" w:rsidR="009E575B" w:rsidRPr="009E575B" w:rsidRDefault="009E575B" w:rsidP="009E575B">
            <w:pPr>
              <w:jc w:val="both"/>
              <w:rPr>
                <w:rFonts w:cs="Times New Roman"/>
                <w:sz w:val="24"/>
                <w:szCs w:val="24"/>
                <w:lang w:val="en-US"/>
              </w:rPr>
            </w:pPr>
          </w:p>
        </w:tc>
        <w:tc>
          <w:tcPr>
            <w:tcW w:w="1538" w:type="dxa"/>
            <w:noWrap/>
            <w:hideMark/>
          </w:tcPr>
          <w:p w14:paraId="348C3979" w14:textId="77777777" w:rsidR="009E575B" w:rsidRPr="009E575B" w:rsidRDefault="009E575B" w:rsidP="009E575B">
            <w:pPr>
              <w:jc w:val="both"/>
              <w:rPr>
                <w:rFonts w:cs="Times New Roman"/>
                <w:sz w:val="24"/>
                <w:szCs w:val="24"/>
                <w:lang w:val="en-US"/>
              </w:rPr>
            </w:pPr>
            <w:r w:rsidRPr="009E575B">
              <w:rPr>
                <w:rFonts w:cs="Times New Roman"/>
                <w:sz w:val="24"/>
                <w:szCs w:val="24"/>
              </w:rPr>
              <w:t>130</w:t>
            </w:r>
            <w:r w:rsidRPr="009E575B">
              <w:rPr>
                <w:rFonts w:cs="Times New Roman"/>
                <w:sz w:val="24"/>
                <w:szCs w:val="24"/>
                <w:lang w:val="en-US"/>
              </w:rPr>
              <w:t>(</w:t>
            </w:r>
            <w:r w:rsidRPr="009E575B">
              <w:rPr>
                <w:rFonts w:cs="Times New Roman"/>
                <w:sz w:val="24"/>
                <w:szCs w:val="24"/>
              </w:rPr>
              <w:t xml:space="preserve">98.5 </w:t>
            </w:r>
            <w:r w:rsidRPr="009E575B">
              <w:rPr>
                <w:rFonts w:cs="Times New Roman"/>
                <w:sz w:val="24"/>
                <w:szCs w:val="24"/>
                <w:lang w:val="en-US"/>
              </w:rPr>
              <w:t>%)</w:t>
            </w:r>
          </w:p>
        </w:tc>
        <w:tc>
          <w:tcPr>
            <w:tcW w:w="1403" w:type="dxa"/>
            <w:noWrap/>
            <w:hideMark/>
          </w:tcPr>
          <w:p w14:paraId="0285A5B6"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w:t>
            </w:r>
            <w:r w:rsidRPr="009E575B">
              <w:rPr>
                <w:rFonts w:cs="Times New Roman"/>
                <w:sz w:val="24"/>
                <w:szCs w:val="24"/>
              </w:rPr>
              <w:t>48</w:t>
            </w:r>
            <w:r w:rsidRPr="009E575B">
              <w:rPr>
                <w:rFonts w:cs="Times New Roman"/>
                <w:sz w:val="24"/>
                <w:szCs w:val="24"/>
                <w:lang w:val="en-US"/>
              </w:rPr>
              <w:t xml:space="preserve"> (</w:t>
            </w:r>
            <w:r w:rsidRPr="009E575B">
              <w:rPr>
                <w:rFonts w:cs="Times New Roman"/>
                <w:sz w:val="24"/>
                <w:szCs w:val="24"/>
              </w:rPr>
              <w:t>96.73</w:t>
            </w:r>
            <w:r w:rsidRPr="009E575B">
              <w:rPr>
                <w:rFonts w:cs="Times New Roman"/>
                <w:sz w:val="24"/>
                <w:szCs w:val="24"/>
                <w:lang w:val="en-US"/>
              </w:rPr>
              <w:t>%)</w:t>
            </w:r>
          </w:p>
        </w:tc>
        <w:tc>
          <w:tcPr>
            <w:tcW w:w="736" w:type="dxa"/>
            <w:vMerge w:val="restart"/>
          </w:tcPr>
          <w:p w14:paraId="5C32E6EC" w14:textId="77777777" w:rsidR="009E575B" w:rsidRPr="009E575B" w:rsidRDefault="009E575B" w:rsidP="009E575B">
            <w:pPr>
              <w:rPr>
                <w:rFonts w:cs="Times New Roman"/>
                <w:sz w:val="24"/>
                <w:szCs w:val="24"/>
                <w:lang w:val="en-US"/>
              </w:rPr>
            </w:pPr>
            <w:r w:rsidRPr="009E575B">
              <w:rPr>
                <w:rFonts w:cs="Times New Roman"/>
                <w:sz w:val="24"/>
                <w:szCs w:val="24"/>
              </w:rPr>
              <w:t>0.3</w:t>
            </w:r>
          </w:p>
        </w:tc>
        <w:tc>
          <w:tcPr>
            <w:tcW w:w="1407" w:type="dxa"/>
            <w:vMerge w:val="restart"/>
            <w:noWrap/>
            <w:hideMark/>
          </w:tcPr>
          <w:p w14:paraId="27D1C13B" w14:textId="77777777" w:rsidR="009E575B" w:rsidRPr="009E575B" w:rsidRDefault="009E575B" w:rsidP="009E575B">
            <w:pPr>
              <w:rPr>
                <w:rFonts w:cs="Times New Roman"/>
                <w:sz w:val="24"/>
                <w:szCs w:val="24"/>
                <w:lang w:val="en-US"/>
              </w:rPr>
            </w:pPr>
            <w:r w:rsidRPr="009E575B">
              <w:rPr>
                <w:rFonts w:cs="Times New Roman"/>
                <w:sz w:val="24"/>
                <w:szCs w:val="24"/>
                <w:lang w:val="en-US"/>
              </w:rPr>
              <w:t>0.5 (0.08; 2.4)</w:t>
            </w:r>
          </w:p>
        </w:tc>
      </w:tr>
      <w:tr w:rsidR="009E575B" w:rsidRPr="009E575B" w14:paraId="5373E8CC" w14:textId="77777777" w:rsidTr="009E575B">
        <w:trPr>
          <w:trHeight w:val="288"/>
        </w:trPr>
        <w:tc>
          <w:tcPr>
            <w:tcW w:w="1704" w:type="dxa"/>
            <w:vMerge/>
            <w:noWrap/>
            <w:hideMark/>
          </w:tcPr>
          <w:p w14:paraId="4791AEEE" w14:textId="77777777" w:rsidR="009E575B" w:rsidRPr="009E575B" w:rsidRDefault="009E575B" w:rsidP="009E575B">
            <w:pPr>
              <w:jc w:val="both"/>
              <w:rPr>
                <w:rFonts w:cs="Times New Roman"/>
                <w:sz w:val="24"/>
                <w:szCs w:val="24"/>
                <w:lang w:val="en-US"/>
              </w:rPr>
            </w:pPr>
          </w:p>
        </w:tc>
        <w:tc>
          <w:tcPr>
            <w:tcW w:w="1045" w:type="dxa"/>
            <w:noWrap/>
            <w:hideMark/>
          </w:tcPr>
          <w:p w14:paraId="3AF0C025"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TT</w:t>
            </w:r>
          </w:p>
        </w:tc>
        <w:tc>
          <w:tcPr>
            <w:tcW w:w="1296" w:type="dxa"/>
            <w:noWrap/>
            <w:hideMark/>
          </w:tcPr>
          <w:p w14:paraId="4108238F" w14:textId="77777777" w:rsidR="009E575B" w:rsidRPr="009E575B" w:rsidRDefault="009E575B" w:rsidP="009E575B">
            <w:pPr>
              <w:jc w:val="both"/>
              <w:rPr>
                <w:rFonts w:cs="Times New Roman"/>
                <w:sz w:val="24"/>
                <w:szCs w:val="24"/>
                <w:lang w:val="en-US"/>
              </w:rPr>
            </w:pPr>
          </w:p>
        </w:tc>
        <w:tc>
          <w:tcPr>
            <w:tcW w:w="539" w:type="dxa"/>
            <w:noWrap/>
            <w:hideMark/>
          </w:tcPr>
          <w:p w14:paraId="7048EFCD" w14:textId="77777777" w:rsidR="009E575B" w:rsidRPr="009E575B" w:rsidRDefault="009E575B" w:rsidP="009E575B">
            <w:pPr>
              <w:jc w:val="both"/>
              <w:rPr>
                <w:rFonts w:cs="Times New Roman"/>
                <w:sz w:val="24"/>
                <w:szCs w:val="24"/>
                <w:lang w:val="en-US"/>
              </w:rPr>
            </w:pPr>
          </w:p>
        </w:tc>
        <w:tc>
          <w:tcPr>
            <w:tcW w:w="1538" w:type="dxa"/>
            <w:noWrap/>
            <w:hideMark/>
          </w:tcPr>
          <w:p w14:paraId="392476EC" w14:textId="77777777" w:rsidR="009E575B" w:rsidRPr="009E575B" w:rsidRDefault="009E575B" w:rsidP="009E575B">
            <w:pPr>
              <w:jc w:val="both"/>
              <w:rPr>
                <w:rFonts w:cs="Times New Roman"/>
                <w:sz w:val="24"/>
                <w:szCs w:val="24"/>
                <w:lang w:val="en-US"/>
              </w:rPr>
            </w:pPr>
            <w:r w:rsidRPr="009E575B">
              <w:rPr>
                <w:rFonts w:cs="Times New Roman"/>
                <w:sz w:val="24"/>
                <w:szCs w:val="24"/>
              </w:rPr>
              <w:t xml:space="preserve">2 </w:t>
            </w:r>
            <w:r w:rsidRPr="009E575B">
              <w:rPr>
                <w:rFonts w:cs="Times New Roman"/>
                <w:sz w:val="24"/>
                <w:szCs w:val="24"/>
                <w:lang w:val="en-US"/>
              </w:rPr>
              <w:t>(</w:t>
            </w:r>
            <w:r w:rsidRPr="009E575B">
              <w:rPr>
                <w:rFonts w:cs="Times New Roman"/>
                <w:sz w:val="24"/>
                <w:szCs w:val="24"/>
              </w:rPr>
              <w:t>1.</w:t>
            </w:r>
            <w:r w:rsidRPr="009E575B">
              <w:rPr>
                <w:rFonts w:cs="Times New Roman"/>
                <w:sz w:val="24"/>
                <w:szCs w:val="24"/>
                <w:lang w:val="en-US"/>
              </w:rPr>
              <w:t>5</w:t>
            </w:r>
            <w:r w:rsidRPr="009E575B">
              <w:rPr>
                <w:rFonts w:cs="Times New Roman"/>
                <w:sz w:val="24"/>
                <w:szCs w:val="24"/>
              </w:rPr>
              <w:t>2</w:t>
            </w:r>
            <w:r w:rsidRPr="009E575B">
              <w:rPr>
                <w:rFonts w:cs="Times New Roman"/>
                <w:sz w:val="24"/>
                <w:szCs w:val="24"/>
                <w:lang w:val="en-US"/>
              </w:rPr>
              <w:t>%)</w:t>
            </w:r>
          </w:p>
        </w:tc>
        <w:tc>
          <w:tcPr>
            <w:tcW w:w="1403" w:type="dxa"/>
            <w:noWrap/>
            <w:hideMark/>
          </w:tcPr>
          <w:p w14:paraId="46F30158" w14:textId="5CB4CD05" w:rsidR="009E575B" w:rsidRPr="009E575B" w:rsidRDefault="00F35C00" w:rsidP="009E575B">
            <w:pPr>
              <w:jc w:val="both"/>
              <w:rPr>
                <w:rFonts w:cs="Times New Roman"/>
                <w:sz w:val="24"/>
                <w:szCs w:val="24"/>
                <w:lang w:val="en-US"/>
              </w:rPr>
            </w:pPr>
            <w:r>
              <w:rPr>
                <w:rFonts w:cs="Times New Roman"/>
                <w:sz w:val="24"/>
                <w:szCs w:val="24"/>
              </w:rPr>
              <w:t>5</w:t>
            </w:r>
            <w:r w:rsidR="009E575B" w:rsidRPr="009E575B">
              <w:rPr>
                <w:rFonts w:cs="Times New Roman"/>
                <w:sz w:val="24"/>
                <w:szCs w:val="24"/>
                <w:lang w:val="en-US"/>
              </w:rPr>
              <w:t xml:space="preserve"> (3</w:t>
            </w:r>
            <w:r w:rsidR="009E575B" w:rsidRPr="009E575B">
              <w:rPr>
                <w:rFonts w:cs="Times New Roman"/>
                <w:sz w:val="24"/>
                <w:szCs w:val="24"/>
              </w:rPr>
              <w:t>.27</w:t>
            </w:r>
            <w:r w:rsidR="009E575B" w:rsidRPr="009E575B">
              <w:rPr>
                <w:rFonts w:cs="Times New Roman"/>
                <w:sz w:val="24"/>
                <w:szCs w:val="24"/>
                <w:lang w:val="en-US"/>
              </w:rPr>
              <w:t>%)</w:t>
            </w:r>
          </w:p>
        </w:tc>
        <w:tc>
          <w:tcPr>
            <w:tcW w:w="736" w:type="dxa"/>
            <w:vMerge/>
          </w:tcPr>
          <w:p w14:paraId="73875CFD" w14:textId="77777777" w:rsidR="009E575B" w:rsidRPr="009E575B" w:rsidRDefault="009E575B" w:rsidP="009E575B">
            <w:pPr>
              <w:jc w:val="both"/>
              <w:rPr>
                <w:rFonts w:cs="Times New Roman"/>
                <w:sz w:val="24"/>
                <w:szCs w:val="24"/>
                <w:lang w:val="en-US"/>
              </w:rPr>
            </w:pPr>
          </w:p>
        </w:tc>
        <w:tc>
          <w:tcPr>
            <w:tcW w:w="1407" w:type="dxa"/>
            <w:vMerge/>
            <w:noWrap/>
            <w:hideMark/>
          </w:tcPr>
          <w:p w14:paraId="2B0755D0" w14:textId="77777777" w:rsidR="009E575B" w:rsidRPr="009E575B" w:rsidRDefault="009E575B" w:rsidP="009E575B">
            <w:pPr>
              <w:jc w:val="both"/>
              <w:rPr>
                <w:rFonts w:cs="Times New Roman"/>
                <w:sz w:val="24"/>
                <w:szCs w:val="24"/>
                <w:lang w:val="en-US"/>
              </w:rPr>
            </w:pPr>
          </w:p>
        </w:tc>
      </w:tr>
      <w:tr w:rsidR="009E575B" w:rsidRPr="009E575B" w14:paraId="5CA98C2E" w14:textId="77777777" w:rsidTr="009E575B">
        <w:trPr>
          <w:trHeight w:val="288"/>
        </w:trPr>
        <w:tc>
          <w:tcPr>
            <w:tcW w:w="1704" w:type="dxa"/>
            <w:vMerge w:val="restart"/>
            <w:noWrap/>
          </w:tcPr>
          <w:p w14:paraId="20B6CAF4" w14:textId="02B5733F" w:rsidR="009E575B" w:rsidRPr="009E575B" w:rsidRDefault="009E575B" w:rsidP="009E575B">
            <w:pPr>
              <w:jc w:val="both"/>
              <w:rPr>
                <w:rFonts w:cs="Times New Roman"/>
                <w:sz w:val="24"/>
                <w:szCs w:val="24"/>
                <w:lang w:val="en-US"/>
              </w:rPr>
            </w:pPr>
            <w:r w:rsidRPr="009E575B">
              <w:rPr>
                <w:rFonts w:cs="Times New Roman"/>
                <w:sz w:val="24"/>
                <w:szCs w:val="24"/>
                <w:lang w:val="kk-KZ"/>
              </w:rPr>
              <w:t>А</w:t>
            </w:r>
            <w:r w:rsidRPr="009E575B">
              <w:rPr>
                <w:rFonts w:cs="Times New Roman"/>
                <w:sz w:val="24"/>
                <w:szCs w:val="24"/>
              </w:rPr>
              <w:t>ллель</w:t>
            </w:r>
          </w:p>
        </w:tc>
        <w:tc>
          <w:tcPr>
            <w:tcW w:w="1045" w:type="dxa"/>
            <w:noWrap/>
          </w:tcPr>
          <w:p w14:paraId="1F94BB40"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С</w:t>
            </w:r>
            <w:r w:rsidRPr="009E575B">
              <w:rPr>
                <w:rFonts w:cs="Times New Roman"/>
                <w:sz w:val="24"/>
                <w:szCs w:val="24"/>
                <w:vertAlign w:val="superscript"/>
              </w:rPr>
              <w:t>*</w:t>
            </w:r>
          </w:p>
        </w:tc>
        <w:tc>
          <w:tcPr>
            <w:tcW w:w="1296" w:type="dxa"/>
            <w:noWrap/>
          </w:tcPr>
          <w:p w14:paraId="27E03A1A" w14:textId="77777777" w:rsidR="009E575B" w:rsidRPr="009E575B" w:rsidRDefault="009E575B" w:rsidP="009E575B">
            <w:pPr>
              <w:jc w:val="both"/>
              <w:rPr>
                <w:rFonts w:cs="Times New Roman"/>
                <w:sz w:val="24"/>
                <w:szCs w:val="24"/>
                <w:lang w:val="en-US"/>
              </w:rPr>
            </w:pPr>
          </w:p>
        </w:tc>
        <w:tc>
          <w:tcPr>
            <w:tcW w:w="539" w:type="dxa"/>
            <w:noWrap/>
          </w:tcPr>
          <w:p w14:paraId="6021C598" w14:textId="77777777" w:rsidR="009E575B" w:rsidRPr="009E575B" w:rsidRDefault="009E575B" w:rsidP="009E575B">
            <w:pPr>
              <w:jc w:val="both"/>
              <w:rPr>
                <w:rFonts w:cs="Times New Roman"/>
                <w:sz w:val="24"/>
                <w:szCs w:val="24"/>
                <w:lang w:val="en-US"/>
              </w:rPr>
            </w:pPr>
          </w:p>
        </w:tc>
        <w:tc>
          <w:tcPr>
            <w:tcW w:w="1538" w:type="dxa"/>
            <w:noWrap/>
          </w:tcPr>
          <w:p w14:paraId="0AA6435F" w14:textId="77777777" w:rsidR="009E575B" w:rsidRPr="009E575B" w:rsidRDefault="009E575B" w:rsidP="009E575B">
            <w:pPr>
              <w:jc w:val="both"/>
              <w:rPr>
                <w:rFonts w:cs="Times New Roman"/>
                <w:sz w:val="24"/>
                <w:szCs w:val="24"/>
                <w:lang w:val="en-US"/>
              </w:rPr>
            </w:pPr>
            <w:proofErr w:type="gramStart"/>
            <w:r w:rsidRPr="009E575B">
              <w:rPr>
                <w:rFonts w:cs="Times New Roman"/>
                <w:sz w:val="24"/>
                <w:szCs w:val="24"/>
                <w:lang w:val="en-US"/>
              </w:rPr>
              <w:t>228  (</w:t>
            </w:r>
            <w:proofErr w:type="gramEnd"/>
            <w:r w:rsidRPr="009E575B">
              <w:rPr>
                <w:rFonts w:cs="Times New Roman"/>
                <w:sz w:val="24"/>
                <w:szCs w:val="24"/>
                <w:lang w:val="en-US"/>
              </w:rPr>
              <w:t>86.36%)</w:t>
            </w:r>
          </w:p>
        </w:tc>
        <w:tc>
          <w:tcPr>
            <w:tcW w:w="1403" w:type="dxa"/>
            <w:noWrap/>
          </w:tcPr>
          <w:p w14:paraId="27733D40" w14:textId="77777777" w:rsidR="009E575B" w:rsidRPr="009E575B" w:rsidRDefault="009E575B" w:rsidP="009E575B">
            <w:pPr>
              <w:jc w:val="both"/>
              <w:rPr>
                <w:rFonts w:cs="Times New Roman"/>
                <w:sz w:val="24"/>
                <w:szCs w:val="24"/>
                <w:lang w:val="en-US"/>
              </w:rPr>
            </w:pPr>
            <w:proofErr w:type="gramStart"/>
            <w:r w:rsidRPr="009E575B">
              <w:rPr>
                <w:rFonts w:cs="Times New Roman"/>
                <w:sz w:val="24"/>
                <w:szCs w:val="24"/>
                <w:lang w:val="en-US"/>
              </w:rPr>
              <w:t>253  (</w:t>
            </w:r>
            <w:proofErr w:type="gramEnd"/>
            <w:r w:rsidRPr="009E575B">
              <w:rPr>
                <w:rFonts w:cs="Times New Roman"/>
                <w:sz w:val="24"/>
                <w:szCs w:val="24"/>
                <w:lang w:val="en-US"/>
              </w:rPr>
              <w:t>82.68%)</w:t>
            </w:r>
          </w:p>
        </w:tc>
        <w:tc>
          <w:tcPr>
            <w:tcW w:w="736" w:type="dxa"/>
            <w:vMerge w:val="restart"/>
          </w:tcPr>
          <w:p w14:paraId="0B017A66"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0.2</w:t>
            </w:r>
          </w:p>
        </w:tc>
        <w:tc>
          <w:tcPr>
            <w:tcW w:w="1407" w:type="dxa"/>
            <w:vMerge w:val="restart"/>
            <w:noWrap/>
          </w:tcPr>
          <w:p w14:paraId="52C14CBB"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0.7 (0.4; 1.2)</w:t>
            </w:r>
          </w:p>
        </w:tc>
      </w:tr>
      <w:tr w:rsidR="009E575B" w:rsidRPr="009E575B" w14:paraId="77674078" w14:textId="77777777" w:rsidTr="009E575B">
        <w:trPr>
          <w:trHeight w:val="288"/>
        </w:trPr>
        <w:tc>
          <w:tcPr>
            <w:tcW w:w="1704" w:type="dxa"/>
            <w:vMerge/>
            <w:noWrap/>
          </w:tcPr>
          <w:p w14:paraId="6F73B047" w14:textId="77777777" w:rsidR="009E575B" w:rsidRPr="009E575B" w:rsidRDefault="009E575B" w:rsidP="009E575B">
            <w:pPr>
              <w:jc w:val="both"/>
              <w:rPr>
                <w:rFonts w:cs="Times New Roman"/>
                <w:sz w:val="24"/>
                <w:szCs w:val="24"/>
                <w:lang w:val="en-US"/>
              </w:rPr>
            </w:pPr>
          </w:p>
        </w:tc>
        <w:tc>
          <w:tcPr>
            <w:tcW w:w="1045" w:type="dxa"/>
            <w:noWrap/>
          </w:tcPr>
          <w:p w14:paraId="443E7F64"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Т</w:t>
            </w:r>
          </w:p>
        </w:tc>
        <w:tc>
          <w:tcPr>
            <w:tcW w:w="1296" w:type="dxa"/>
            <w:noWrap/>
          </w:tcPr>
          <w:p w14:paraId="2CA9F2E0" w14:textId="77777777" w:rsidR="009E575B" w:rsidRPr="009E575B" w:rsidRDefault="009E575B" w:rsidP="009E575B">
            <w:pPr>
              <w:jc w:val="both"/>
              <w:rPr>
                <w:rFonts w:cs="Times New Roman"/>
                <w:sz w:val="24"/>
                <w:szCs w:val="24"/>
                <w:lang w:val="en-US"/>
              </w:rPr>
            </w:pPr>
          </w:p>
        </w:tc>
        <w:tc>
          <w:tcPr>
            <w:tcW w:w="539" w:type="dxa"/>
            <w:noWrap/>
          </w:tcPr>
          <w:p w14:paraId="0ED74329" w14:textId="77777777" w:rsidR="009E575B" w:rsidRPr="009E575B" w:rsidRDefault="009E575B" w:rsidP="009E575B">
            <w:pPr>
              <w:jc w:val="both"/>
              <w:rPr>
                <w:rFonts w:cs="Times New Roman"/>
                <w:sz w:val="24"/>
                <w:szCs w:val="24"/>
                <w:lang w:val="en-US"/>
              </w:rPr>
            </w:pPr>
          </w:p>
        </w:tc>
        <w:tc>
          <w:tcPr>
            <w:tcW w:w="1538" w:type="dxa"/>
            <w:noWrap/>
          </w:tcPr>
          <w:p w14:paraId="73382FD1" w14:textId="0DB6C110" w:rsidR="009E575B" w:rsidRPr="009E575B" w:rsidRDefault="009E575B" w:rsidP="00F35C00">
            <w:pPr>
              <w:jc w:val="both"/>
              <w:rPr>
                <w:rFonts w:cs="Times New Roman"/>
                <w:sz w:val="24"/>
                <w:szCs w:val="24"/>
                <w:lang w:val="en-US"/>
              </w:rPr>
            </w:pPr>
            <w:r w:rsidRPr="009E575B">
              <w:rPr>
                <w:rFonts w:cs="Times New Roman"/>
                <w:sz w:val="24"/>
                <w:szCs w:val="24"/>
                <w:lang w:val="en-US"/>
              </w:rPr>
              <w:t>36 (13.64%)</w:t>
            </w:r>
          </w:p>
        </w:tc>
        <w:tc>
          <w:tcPr>
            <w:tcW w:w="1403" w:type="dxa"/>
            <w:noWrap/>
          </w:tcPr>
          <w:p w14:paraId="4D8F6068" w14:textId="77777777" w:rsidR="009E575B" w:rsidRPr="009E575B" w:rsidRDefault="009E575B" w:rsidP="009E575B">
            <w:pPr>
              <w:jc w:val="both"/>
              <w:rPr>
                <w:rFonts w:cs="Times New Roman"/>
                <w:sz w:val="24"/>
                <w:szCs w:val="24"/>
                <w:lang w:val="en-US"/>
              </w:rPr>
            </w:pPr>
            <w:proofErr w:type="gramStart"/>
            <w:r w:rsidRPr="009E575B">
              <w:rPr>
                <w:rFonts w:cs="Times New Roman"/>
                <w:sz w:val="24"/>
                <w:szCs w:val="24"/>
                <w:lang w:val="en-US"/>
              </w:rPr>
              <w:t>53  (</w:t>
            </w:r>
            <w:proofErr w:type="gramEnd"/>
            <w:r w:rsidRPr="009E575B">
              <w:rPr>
                <w:rFonts w:cs="Times New Roman"/>
                <w:sz w:val="24"/>
                <w:szCs w:val="24"/>
                <w:lang w:val="en-US"/>
              </w:rPr>
              <w:t>17.32%)</w:t>
            </w:r>
          </w:p>
        </w:tc>
        <w:tc>
          <w:tcPr>
            <w:tcW w:w="736" w:type="dxa"/>
            <w:vMerge/>
          </w:tcPr>
          <w:p w14:paraId="10725CD0" w14:textId="77777777" w:rsidR="009E575B" w:rsidRPr="009E575B" w:rsidRDefault="009E575B" w:rsidP="009E575B">
            <w:pPr>
              <w:jc w:val="both"/>
              <w:rPr>
                <w:rFonts w:cs="Times New Roman"/>
                <w:sz w:val="24"/>
                <w:szCs w:val="24"/>
                <w:lang w:val="en-US"/>
              </w:rPr>
            </w:pPr>
          </w:p>
        </w:tc>
        <w:tc>
          <w:tcPr>
            <w:tcW w:w="1407" w:type="dxa"/>
            <w:vMerge/>
            <w:noWrap/>
          </w:tcPr>
          <w:p w14:paraId="0E5F41AD" w14:textId="77777777" w:rsidR="009E575B" w:rsidRPr="009E575B" w:rsidRDefault="009E575B" w:rsidP="009E575B">
            <w:pPr>
              <w:jc w:val="both"/>
              <w:rPr>
                <w:rFonts w:cs="Times New Roman"/>
                <w:sz w:val="24"/>
                <w:szCs w:val="24"/>
                <w:lang w:val="en-US"/>
              </w:rPr>
            </w:pPr>
          </w:p>
        </w:tc>
      </w:tr>
      <w:tr w:rsidR="009E575B" w:rsidRPr="009E575B" w14:paraId="45D11A2C" w14:textId="77777777" w:rsidTr="009E575B">
        <w:trPr>
          <w:trHeight w:val="288"/>
        </w:trPr>
        <w:tc>
          <w:tcPr>
            <w:tcW w:w="1704" w:type="dxa"/>
            <w:noWrap/>
            <w:hideMark/>
          </w:tcPr>
          <w:p w14:paraId="4F212564"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rs3811058 / IL1F10</w:t>
            </w:r>
          </w:p>
        </w:tc>
        <w:tc>
          <w:tcPr>
            <w:tcW w:w="1045" w:type="dxa"/>
            <w:noWrap/>
            <w:hideMark/>
          </w:tcPr>
          <w:p w14:paraId="45A45973" w14:textId="77777777" w:rsidR="009E575B" w:rsidRPr="009E575B" w:rsidRDefault="009E575B" w:rsidP="009E575B">
            <w:pPr>
              <w:jc w:val="both"/>
              <w:rPr>
                <w:rFonts w:cs="Times New Roman"/>
                <w:sz w:val="24"/>
                <w:szCs w:val="24"/>
                <w:lang w:val="en-US"/>
              </w:rPr>
            </w:pPr>
          </w:p>
        </w:tc>
        <w:tc>
          <w:tcPr>
            <w:tcW w:w="1296" w:type="dxa"/>
            <w:noWrap/>
            <w:hideMark/>
          </w:tcPr>
          <w:p w14:paraId="4D086EBD"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113831945</w:t>
            </w:r>
          </w:p>
        </w:tc>
        <w:tc>
          <w:tcPr>
            <w:tcW w:w="539" w:type="dxa"/>
            <w:noWrap/>
            <w:hideMark/>
          </w:tcPr>
          <w:p w14:paraId="578D19F5"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2</w:t>
            </w:r>
          </w:p>
        </w:tc>
        <w:tc>
          <w:tcPr>
            <w:tcW w:w="1538" w:type="dxa"/>
            <w:noWrap/>
            <w:hideMark/>
          </w:tcPr>
          <w:p w14:paraId="5B29A8EA" w14:textId="77777777" w:rsidR="009E575B" w:rsidRPr="009E575B" w:rsidRDefault="009E575B" w:rsidP="009E575B">
            <w:pPr>
              <w:jc w:val="both"/>
              <w:rPr>
                <w:rFonts w:cs="Times New Roman"/>
                <w:sz w:val="24"/>
                <w:szCs w:val="24"/>
                <w:lang w:val="en-US"/>
              </w:rPr>
            </w:pPr>
          </w:p>
        </w:tc>
        <w:tc>
          <w:tcPr>
            <w:tcW w:w="1403" w:type="dxa"/>
            <w:noWrap/>
            <w:hideMark/>
          </w:tcPr>
          <w:p w14:paraId="6841FBD6" w14:textId="77777777" w:rsidR="009E575B" w:rsidRPr="009E575B" w:rsidRDefault="009E575B" w:rsidP="009E575B">
            <w:pPr>
              <w:jc w:val="both"/>
              <w:rPr>
                <w:rFonts w:cs="Times New Roman"/>
                <w:sz w:val="24"/>
                <w:szCs w:val="24"/>
                <w:lang w:val="en-US"/>
              </w:rPr>
            </w:pPr>
          </w:p>
        </w:tc>
        <w:tc>
          <w:tcPr>
            <w:tcW w:w="736" w:type="dxa"/>
          </w:tcPr>
          <w:p w14:paraId="466730FC" w14:textId="77777777" w:rsidR="009E575B" w:rsidRPr="009E575B" w:rsidRDefault="009E575B" w:rsidP="009E575B">
            <w:pPr>
              <w:jc w:val="both"/>
              <w:rPr>
                <w:rFonts w:cs="Times New Roman"/>
                <w:sz w:val="24"/>
                <w:szCs w:val="24"/>
                <w:lang w:val="en-US"/>
              </w:rPr>
            </w:pPr>
          </w:p>
        </w:tc>
        <w:tc>
          <w:tcPr>
            <w:tcW w:w="1407" w:type="dxa"/>
            <w:noWrap/>
            <w:hideMark/>
          </w:tcPr>
          <w:p w14:paraId="7FCF1121" w14:textId="77777777" w:rsidR="009E575B" w:rsidRPr="009E575B" w:rsidRDefault="009E575B" w:rsidP="009E575B">
            <w:pPr>
              <w:jc w:val="both"/>
              <w:rPr>
                <w:rFonts w:cs="Times New Roman"/>
                <w:sz w:val="24"/>
                <w:szCs w:val="24"/>
                <w:lang w:val="en-US"/>
              </w:rPr>
            </w:pPr>
          </w:p>
        </w:tc>
      </w:tr>
      <w:tr w:rsidR="009E575B" w:rsidRPr="009E575B" w14:paraId="04B66008" w14:textId="77777777" w:rsidTr="009E575B">
        <w:trPr>
          <w:trHeight w:val="288"/>
        </w:trPr>
        <w:tc>
          <w:tcPr>
            <w:tcW w:w="1704" w:type="dxa"/>
            <w:vMerge w:val="restart"/>
            <w:noWrap/>
            <w:hideMark/>
          </w:tcPr>
          <w:p w14:paraId="01E5D524" w14:textId="23EF0A14" w:rsidR="009E575B" w:rsidRPr="009E575B" w:rsidRDefault="009E575B" w:rsidP="009E575B">
            <w:pPr>
              <w:jc w:val="both"/>
              <w:rPr>
                <w:rFonts w:cs="Times New Roman"/>
                <w:sz w:val="24"/>
                <w:szCs w:val="24"/>
                <w:lang w:val="en-US"/>
              </w:rPr>
            </w:pPr>
            <w:r w:rsidRPr="009E575B">
              <w:rPr>
                <w:rFonts w:cs="Times New Roman"/>
                <w:sz w:val="24"/>
                <w:szCs w:val="24"/>
              </w:rPr>
              <w:t>Генотип</w:t>
            </w:r>
          </w:p>
        </w:tc>
        <w:tc>
          <w:tcPr>
            <w:tcW w:w="1045" w:type="dxa"/>
            <w:noWrap/>
            <w:hideMark/>
          </w:tcPr>
          <w:p w14:paraId="692E80AB"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CC</w:t>
            </w:r>
          </w:p>
        </w:tc>
        <w:tc>
          <w:tcPr>
            <w:tcW w:w="1296" w:type="dxa"/>
            <w:noWrap/>
            <w:hideMark/>
          </w:tcPr>
          <w:p w14:paraId="380B21FA" w14:textId="77777777" w:rsidR="009E575B" w:rsidRPr="009E575B" w:rsidRDefault="009E575B" w:rsidP="009E575B">
            <w:pPr>
              <w:jc w:val="both"/>
              <w:rPr>
                <w:rFonts w:cs="Times New Roman"/>
                <w:sz w:val="24"/>
                <w:szCs w:val="24"/>
                <w:lang w:val="en-US"/>
              </w:rPr>
            </w:pPr>
          </w:p>
        </w:tc>
        <w:tc>
          <w:tcPr>
            <w:tcW w:w="539" w:type="dxa"/>
            <w:noWrap/>
            <w:hideMark/>
          </w:tcPr>
          <w:p w14:paraId="1E2335FC" w14:textId="77777777" w:rsidR="009E575B" w:rsidRPr="009E575B" w:rsidRDefault="009E575B" w:rsidP="009E575B">
            <w:pPr>
              <w:jc w:val="both"/>
              <w:rPr>
                <w:rFonts w:cs="Times New Roman"/>
                <w:sz w:val="24"/>
                <w:szCs w:val="24"/>
                <w:lang w:val="en-US"/>
              </w:rPr>
            </w:pPr>
          </w:p>
        </w:tc>
        <w:tc>
          <w:tcPr>
            <w:tcW w:w="1538" w:type="dxa"/>
            <w:noWrap/>
            <w:hideMark/>
          </w:tcPr>
          <w:p w14:paraId="47DAC6EF"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61 (46.21%)</w:t>
            </w:r>
          </w:p>
        </w:tc>
        <w:tc>
          <w:tcPr>
            <w:tcW w:w="1403" w:type="dxa"/>
            <w:noWrap/>
            <w:hideMark/>
          </w:tcPr>
          <w:p w14:paraId="2F0E961E"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71 (46.41%)</w:t>
            </w:r>
          </w:p>
        </w:tc>
        <w:tc>
          <w:tcPr>
            <w:tcW w:w="736" w:type="dxa"/>
            <w:vMerge w:val="restart"/>
          </w:tcPr>
          <w:p w14:paraId="5DA1C7D3" w14:textId="77777777" w:rsidR="009E575B" w:rsidRPr="009E575B" w:rsidRDefault="009E575B" w:rsidP="009E575B">
            <w:pPr>
              <w:jc w:val="both"/>
              <w:rPr>
                <w:rFonts w:cs="Times New Roman"/>
                <w:sz w:val="24"/>
                <w:szCs w:val="24"/>
                <w:lang w:val="en-US"/>
              </w:rPr>
            </w:pPr>
            <w:r w:rsidRPr="009E575B">
              <w:rPr>
                <w:rFonts w:cs="Times New Roman"/>
                <w:sz w:val="24"/>
                <w:szCs w:val="24"/>
              </w:rPr>
              <w:t>0.9</w:t>
            </w:r>
          </w:p>
        </w:tc>
        <w:tc>
          <w:tcPr>
            <w:tcW w:w="1407" w:type="dxa"/>
            <w:vMerge w:val="restart"/>
            <w:noWrap/>
            <w:hideMark/>
          </w:tcPr>
          <w:p w14:paraId="227BDC12"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0.99 (0.6; 1,5)</w:t>
            </w:r>
          </w:p>
        </w:tc>
      </w:tr>
      <w:tr w:rsidR="009E575B" w:rsidRPr="009E575B" w14:paraId="22F76084" w14:textId="77777777" w:rsidTr="009E575B">
        <w:trPr>
          <w:trHeight w:val="288"/>
        </w:trPr>
        <w:tc>
          <w:tcPr>
            <w:tcW w:w="1704" w:type="dxa"/>
            <w:vMerge/>
            <w:noWrap/>
            <w:hideMark/>
          </w:tcPr>
          <w:p w14:paraId="638EBCF0" w14:textId="77777777" w:rsidR="009E575B" w:rsidRPr="009E575B" w:rsidRDefault="009E575B" w:rsidP="009E575B">
            <w:pPr>
              <w:jc w:val="both"/>
              <w:rPr>
                <w:rFonts w:cs="Times New Roman"/>
                <w:sz w:val="24"/>
                <w:szCs w:val="24"/>
                <w:lang w:val="en-US"/>
              </w:rPr>
            </w:pPr>
          </w:p>
        </w:tc>
        <w:tc>
          <w:tcPr>
            <w:tcW w:w="1045" w:type="dxa"/>
            <w:noWrap/>
            <w:hideMark/>
          </w:tcPr>
          <w:p w14:paraId="75F33F91"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TT</w:t>
            </w:r>
          </w:p>
        </w:tc>
        <w:tc>
          <w:tcPr>
            <w:tcW w:w="1296" w:type="dxa"/>
            <w:noWrap/>
            <w:hideMark/>
          </w:tcPr>
          <w:p w14:paraId="0FDA8B99" w14:textId="77777777" w:rsidR="009E575B" w:rsidRPr="009E575B" w:rsidRDefault="009E575B" w:rsidP="009E575B">
            <w:pPr>
              <w:jc w:val="both"/>
              <w:rPr>
                <w:rFonts w:cs="Times New Roman"/>
                <w:sz w:val="24"/>
                <w:szCs w:val="24"/>
                <w:lang w:val="en-US"/>
              </w:rPr>
            </w:pPr>
          </w:p>
        </w:tc>
        <w:tc>
          <w:tcPr>
            <w:tcW w:w="539" w:type="dxa"/>
            <w:noWrap/>
            <w:hideMark/>
          </w:tcPr>
          <w:p w14:paraId="4E2A320A" w14:textId="77777777" w:rsidR="009E575B" w:rsidRPr="009E575B" w:rsidRDefault="009E575B" w:rsidP="009E575B">
            <w:pPr>
              <w:jc w:val="both"/>
              <w:rPr>
                <w:rFonts w:cs="Times New Roman"/>
                <w:sz w:val="24"/>
                <w:szCs w:val="24"/>
                <w:lang w:val="en-US"/>
              </w:rPr>
            </w:pPr>
          </w:p>
        </w:tc>
        <w:tc>
          <w:tcPr>
            <w:tcW w:w="1538" w:type="dxa"/>
            <w:noWrap/>
            <w:hideMark/>
          </w:tcPr>
          <w:p w14:paraId="43CE9215"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71 (53.79%)</w:t>
            </w:r>
          </w:p>
        </w:tc>
        <w:tc>
          <w:tcPr>
            <w:tcW w:w="1403" w:type="dxa"/>
            <w:noWrap/>
            <w:hideMark/>
          </w:tcPr>
          <w:p w14:paraId="66C71169"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82 (53.59%)</w:t>
            </w:r>
          </w:p>
        </w:tc>
        <w:tc>
          <w:tcPr>
            <w:tcW w:w="736" w:type="dxa"/>
            <w:vMerge/>
          </w:tcPr>
          <w:p w14:paraId="7DF3C48E" w14:textId="77777777" w:rsidR="009E575B" w:rsidRPr="009E575B" w:rsidRDefault="009E575B" w:rsidP="009E575B">
            <w:pPr>
              <w:jc w:val="both"/>
              <w:rPr>
                <w:rFonts w:cs="Times New Roman"/>
                <w:sz w:val="24"/>
                <w:szCs w:val="24"/>
                <w:lang w:val="en-US"/>
              </w:rPr>
            </w:pPr>
          </w:p>
        </w:tc>
        <w:tc>
          <w:tcPr>
            <w:tcW w:w="1407" w:type="dxa"/>
            <w:vMerge/>
            <w:noWrap/>
            <w:hideMark/>
          </w:tcPr>
          <w:p w14:paraId="0BC86C82" w14:textId="77777777" w:rsidR="009E575B" w:rsidRPr="009E575B" w:rsidRDefault="009E575B" w:rsidP="009E575B">
            <w:pPr>
              <w:jc w:val="both"/>
              <w:rPr>
                <w:rFonts w:cs="Times New Roman"/>
                <w:sz w:val="24"/>
                <w:szCs w:val="24"/>
                <w:lang w:val="en-US"/>
              </w:rPr>
            </w:pPr>
          </w:p>
        </w:tc>
      </w:tr>
      <w:tr w:rsidR="009E575B" w:rsidRPr="009E575B" w14:paraId="52E08547" w14:textId="77777777" w:rsidTr="009E575B">
        <w:trPr>
          <w:trHeight w:val="288"/>
        </w:trPr>
        <w:tc>
          <w:tcPr>
            <w:tcW w:w="1704" w:type="dxa"/>
            <w:vMerge w:val="restart"/>
            <w:noWrap/>
          </w:tcPr>
          <w:p w14:paraId="073E5EA8" w14:textId="78725C3C" w:rsidR="009E575B" w:rsidRPr="009E575B" w:rsidRDefault="009E575B" w:rsidP="009E575B">
            <w:pPr>
              <w:jc w:val="both"/>
              <w:rPr>
                <w:rFonts w:cs="Times New Roman"/>
                <w:sz w:val="24"/>
                <w:szCs w:val="24"/>
                <w:lang w:val="en-US"/>
              </w:rPr>
            </w:pPr>
            <w:r w:rsidRPr="009E575B">
              <w:rPr>
                <w:rFonts w:cs="Times New Roman"/>
                <w:sz w:val="24"/>
                <w:szCs w:val="24"/>
                <w:lang w:val="kk-KZ"/>
              </w:rPr>
              <w:t>А</w:t>
            </w:r>
            <w:r w:rsidRPr="009E575B">
              <w:rPr>
                <w:rFonts w:cs="Times New Roman"/>
                <w:sz w:val="24"/>
                <w:szCs w:val="24"/>
              </w:rPr>
              <w:t>ллель</w:t>
            </w:r>
          </w:p>
        </w:tc>
        <w:tc>
          <w:tcPr>
            <w:tcW w:w="1045" w:type="dxa"/>
            <w:noWrap/>
          </w:tcPr>
          <w:p w14:paraId="7EC1F711"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С</w:t>
            </w:r>
          </w:p>
        </w:tc>
        <w:tc>
          <w:tcPr>
            <w:tcW w:w="1296" w:type="dxa"/>
            <w:noWrap/>
          </w:tcPr>
          <w:p w14:paraId="72305589" w14:textId="77777777" w:rsidR="009E575B" w:rsidRPr="009E575B" w:rsidRDefault="009E575B" w:rsidP="009E575B">
            <w:pPr>
              <w:jc w:val="both"/>
              <w:rPr>
                <w:rFonts w:cs="Times New Roman"/>
                <w:sz w:val="24"/>
                <w:szCs w:val="24"/>
                <w:lang w:val="en-US"/>
              </w:rPr>
            </w:pPr>
          </w:p>
        </w:tc>
        <w:tc>
          <w:tcPr>
            <w:tcW w:w="539" w:type="dxa"/>
            <w:noWrap/>
          </w:tcPr>
          <w:p w14:paraId="434E6D78" w14:textId="77777777" w:rsidR="009E575B" w:rsidRPr="009E575B" w:rsidRDefault="009E575B" w:rsidP="009E575B">
            <w:pPr>
              <w:jc w:val="both"/>
              <w:rPr>
                <w:rFonts w:cs="Times New Roman"/>
                <w:sz w:val="24"/>
                <w:szCs w:val="24"/>
                <w:lang w:val="en-US"/>
              </w:rPr>
            </w:pPr>
          </w:p>
        </w:tc>
        <w:tc>
          <w:tcPr>
            <w:tcW w:w="1538" w:type="dxa"/>
            <w:noWrap/>
          </w:tcPr>
          <w:p w14:paraId="32CA6272"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122 (46.21%)</w:t>
            </w:r>
          </w:p>
        </w:tc>
        <w:tc>
          <w:tcPr>
            <w:tcW w:w="1403" w:type="dxa"/>
            <w:noWrap/>
          </w:tcPr>
          <w:p w14:paraId="192F7EB1"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142 (46.41%)</w:t>
            </w:r>
          </w:p>
        </w:tc>
        <w:tc>
          <w:tcPr>
            <w:tcW w:w="736" w:type="dxa"/>
            <w:vMerge w:val="restart"/>
          </w:tcPr>
          <w:p w14:paraId="4E1C0685"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0.9</w:t>
            </w:r>
          </w:p>
        </w:tc>
        <w:tc>
          <w:tcPr>
            <w:tcW w:w="1407" w:type="dxa"/>
            <w:vMerge w:val="restart"/>
            <w:noWrap/>
          </w:tcPr>
          <w:p w14:paraId="2432FB54"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 (0.7; 1.4)</w:t>
            </w:r>
          </w:p>
        </w:tc>
      </w:tr>
      <w:tr w:rsidR="009E575B" w:rsidRPr="009E575B" w14:paraId="58AB7CF2" w14:textId="77777777" w:rsidTr="009E575B">
        <w:trPr>
          <w:trHeight w:val="288"/>
        </w:trPr>
        <w:tc>
          <w:tcPr>
            <w:tcW w:w="1704" w:type="dxa"/>
            <w:vMerge/>
            <w:noWrap/>
          </w:tcPr>
          <w:p w14:paraId="0A65E4BD" w14:textId="77777777" w:rsidR="009E575B" w:rsidRPr="009E575B" w:rsidRDefault="009E575B" w:rsidP="009E575B">
            <w:pPr>
              <w:jc w:val="both"/>
              <w:rPr>
                <w:rFonts w:cs="Times New Roman"/>
                <w:sz w:val="24"/>
                <w:szCs w:val="24"/>
                <w:lang w:val="en-US"/>
              </w:rPr>
            </w:pPr>
          </w:p>
        </w:tc>
        <w:tc>
          <w:tcPr>
            <w:tcW w:w="1045" w:type="dxa"/>
            <w:noWrap/>
          </w:tcPr>
          <w:p w14:paraId="0204E860"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Т</w:t>
            </w:r>
            <w:r w:rsidRPr="009E575B">
              <w:rPr>
                <w:rFonts w:cs="Times New Roman"/>
                <w:sz w:val="24"/>
                <w:szCs w:val="24"/>
                <w:vertAlign w:val="superscript"/>
              </w:rPr>
              <w:t>*</w:t>
            </w:r>
          </w:p>
        </w:tc>
        <w:tc>
          <w:tcPr>
            <w:tcW w:w="1296" w:type="dxa"/>
            <w:noWrap/>
          </w:tcPr>
          <w:p w14:paraId="115369D1" w14:textId="77777777" w:rsidR="009E575B" w:rsidRPr="009E575B" w:rsidRDefault="009E575B" w:rsidP="009E575B">
            <w:pPr>
              <w:jc w:val="both"/>
              <w:rPr>
                <w:rFonts w:cs="Times New Roman"/>
                <w:sz w:val="24"/>
                <w:szCs w:val="24"/>
                <w:lang w:val="en-US"/>
              </w:rPr>
            </w:pPr>
          </w:p>
        </w:tc>
        <w:tc>
          <w:tcPr>
            <w:tcW w:w="539" w:type="dxa"/>
            <w:noWrap/>
          </w:tcPr>
          <w:p w14:paraId="480F4095" w14:textId="77777777" w:rsidR="009E575B" w:rsidRPr="009E575B" w:rsidRDefault="009E575B" w:rsidP="009E575B">
            <w:pPr>
              <w:jc w:val="both"/>
              <w:rPr>
                <w:rFonts w:cs="Times New Roman"/>
                <w:sz w:val="24"/>
                <w:szCs w:val="24"/>
                <w:lang w:val="en-US"/>
              </w:rPr>
            </w:pPr>
          </w:p>
        </w:tc>
        <w:tc>
          <w:tcPr>
            <w:tcW w:w="1538" w:type="dxa"/>
            <w:noWrap/>
          </w:tcPr>
          <w:p w14:paraId="0C2D73D1"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142 (53.79%)</w:t>
            </w:r>
          </w:p>
        </w:tc>
        <w:tc>
          <w:tcPr>
            <w:tcW w:w="1403" w:type="dxa"/>
            <w:noWrap/>
          </w:tcPr>
          <w:p w14:paraId="46C0CAAE"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164 (53.59%)</w:t>
            </w:r>
          </w:p>
        </w:tc>
        <w:tc>
          <w:tcPr>
            <w:tcW w:w="736" w:type="dxa"/>
            <w:vMerge/>
          </w:tcPr>
          <w:p w14:paraId="6D2C4010" w14:textId="77777777" w:rsidR="009E575B" w:rsidRPr="009E575B" w:rsidRDefault="009E575B" w:rsidP="009E575B">
            <w:pPr>
              <w:jc w:val="both"/>
              <w:rPr>
                <w:rFonts w:cs="Times New Roman"/>
                <w:sz w:val="24"/>
                <w:szCs w:val="24"/>
                <w:lang w:val="en-US"/>
              </w:rPr>
            </w:pPr>
          </w:p>
        </w:tc>
        <w:tc>
          <w:tcPr>
            <w:tcW w:w="1407" w:type="dxa"/>
            <w:vMerge/>
            <w:noWrap/>
          </w:tcPr>
          <w:p w14:paraId="55A29142" w14:textId="77777777" w:rsidR="009E575B" w:rsidRPr="009E575B" w:rsidRDefault="009E575B" w:rsidP="009E575B">
            <w:pPr>
              <w:jc w:val="both"/>
              <w:rPr>
                <w:rFonts w:cs="Times New Roman"/>
                <w:sz w:val="24"/>
                <w:szCs w:val="24"/>
                <w:lang w:val="en-US"/>
              </w:rPr>
            </w:pPr>
          </w:p>
        </w:tc>
      </w:tr>
      <w:tr w:rsidR="009E575B" w:rsidRPr="009E575B" w14:paraId="6A639703" w14:textId="77777777" w:rsidTr="009E575B">
        <w:trPr>
          <w:trHeight w:val="288"/>
        </w:trPr>
        <w:tc>
          <w:tcPr>
            <w:tcW w:w="1704" w:type="dxa"/>
            <w:noWrap/>
            <w:hideMark/>
          </w:tcPr>
          <w:p w14:paraId="45E5464D"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rs7570267 / IL1F10</w:t>
            </w:r>
          </w:p>
        </w:tc>
        <w:tc>
          <w:tcPr>
            <w:tcW w:w="1045" w:type="dxa"/>
            <w:noWrap/>
            <w:hideMark/>
          </w:tcPr>
          <w:p w14:paraId="07C6D184" w14:textId="77777777" w:rsidR="009E575B" w:rsidRPr="009E575B" w:rsidRDefault="009E575B" w:rsidP="009E575B">
            <w:pPr>
              <w:jc w:val="both"/>
              <w:rPr>
                <w:rFonts w:cs="Times New Roman"/>
                <w:sz w:val="24"/>
                <w:szCs w:val="24"/>
                <w:lang w:val="en-US"/>
              </w:rPr>
            </w:pPr>
          </w:p>
        </w:tc>
        <w:tc>
          <w:tcPr>
            <w:tcW w:w="1296" w:type="dxa"/>
            <w:noWrap/>
            <w:hideMark/>
          </w:tcPr>
          <w:p w14:paraId="71606AC0"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113828578</w:t>
            </w:r>
          </w:p>
        </w:tc>
        <w:tc>
          <w:tcPr>
            <w:tcW w:w="539" w:type="dxa"/>
            <w:noWrap/>
            <w:hideMark/>
          </w:tcPr>
          <w:p w14:paraId="1AEC31A0"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2</w:t>
            </w:r>
          </w:p>
        </w:tc>
        <w:tc>
          <w:tcPr>
            <w:tcW w:w="1538" w:type="dxa"/>
            <w:noWrap/>
            <w:hideMark/>
          </w:tcPr>
          <w:p w14:paraId="723893EC" w14:textId="77777777" w:rsidR="009E575B" w:rsidRPr="009E575B" w:rsidRDefault="009E575B" w:rsidP="009E575B">
            <w:pPr>
              <w:jc w:val="both"/>
              <w:rPr>
                <w:rFonts w:cs="Times New Roman"/>
                <w:sz w:val="24"/>
                <w:szCs w:val="24"/>
                <w:lang w:val="en-US"/>
              </w:rPr>
            </w:pPr>
          </w:p>
        </w:tc>
        <w:tc>
          <w:tcPr>
            <w:tcW w:w="1403" w:type="dxa"/>
            <w:noWrap/>
            <w:hideMark/>
          </w:tcPr>
          <w:p w14:paraId="7F8FCBE7" w14:textId="77777777" w:rsidR="009E575B" w:rsidRPr="009E575B" w:rsidRDefault="009E575B" w:rsidP="009E575B">
            <w:pPr>
              <w:jc w:val="both"/>
              <w:rPr>
                <w:rFonts w:cs="Times New Roman"/>
                <w:sz w:val="24"/>
                <w:szCs w:val="24"/>
                <w:lang w:val="en-US"/>
              </w:rPr>
            </w:pPr>
          </w:p>
        </w:tc>
        <w:tc>
          <w:tcPr>
            <w:tcW w:w="736" w:type="dxa"/>
          </w:tcPr>
          <w:p w14:paraId="4A8E50D5" w14:textId="77777777" w:rsidR="009E575B" w:rsidRPr="009E575B" w:rsidRDefault="009E575B" w:rsidP="009E575B">
            <w:pPr>
              <w:jc w:val="both"/>
              <w:rPr>
                <w:rFonts w:cs="Times New Roman"/>
                <w:sz w:val="24"/>
                <w:szCs w:val="24"/>
                <w:lang w:val="en-US"/>
              </w:rPr>
            </w:pPr>
          </w:p>
        </w:tc>
        <w:tc>
          <w:tcPr>
            <w:tcW w:w="1407" w:type="dxa"/>
            <w:noWrap/>
            <w:hideMark/>
          </w:tcPr>
          <w:p w14:paraId="50BFD538" w14:textId="77777777" w:rsidR="009E575B" w:rsidRPr="009E575B" w:rsidRDefault="009E575B" w:rsidP="009E575B">
            <w:pPr>
              <w:jc w:val="both"/>
              <w:rPr>
                <w:rFonts w:cs="Times New Roman"/>
                <w:sz w:val="24"/>
                <w:szCs w:val="24"/>
                <w:lang w:val="en-US"/>
              </w:rPr>
            </w:pPr>
          </w:p>
        </w:tc>
      </w:tr>
      <w:tr w:rsidR="009E575B" w:rsidRPr="009E575B" w14:paraId="33F5E6CE" w14:textId="77777777" w:rsidTr="009E575B">
        <w:trPr>
          <w:trHeight w:val="288"/>
        </w:trPr>
        <w:tc>
          <w:tcPr>
            <w:tcW w:w="1704" w:type="dxa"/>
            <w:vMerge w:val="restart"/>
            <w:noWrap/>
          </w:tcPr>
          <w:p w14:paraId="09A54DD9" w14:textId="1FFC8A8A" w:rsidR="009E575B" w:rsidRPr="009E575B" w:rsidRDefault="009E575B" w:rsidP="009E575B">
            <w:pPr>
              <w:jc w:val="both"/>
              <w:rPr>
                <w:rFonts w:cs="Times New Roman"/>
                <w:sz w:val="24"/>
                <w:szCs w:val="24"/>
                <w:lang w:val="en-US"/>
              </w:rPr>
            </w:pPr>
            <w:r w:rsidRPr="009E575B">
              <w:rPr>
                <w:rFonts w:cs="Times New Roman"/>
                <w:sz w:val="24"/>
                <w:szCs w:val="24"/>
              </w:rPr>
              <w:t>Генотип</w:t>
            </w:r>
          </w:p>
        </w:tc>
        <w:tc>
          <w:tcPr>
            <w:tcW w:w="1045" w:type="dxa"/>
            <w:noWrap/>
          </w:tcPr>
          <w:p w14:paraId="25A825B2" w14:textId="77777777" w:rsidR="009E575B" w:rsidRPr="009E575B" w:rsidRDefault="009E575B" w:rsidP="009E575B">
            <w:pPr>
              <w:jc w:val="both"/>
              <w:rPr>
                <w:rFonts w:cs="Times New Roman"/>
                <w:sz w:val="24"/>
                <w:szCs w:val="24"/>
                <w:lang w:val="en-US"/>
              </w:rPr>
            </w:pPr>
            <w:r w:rsidRPr="009E575B">
              <w:rPr>
                <w:rFonts w:cs="Times New Roman"/>
                <w:sz w:val="24"/>
                <w:szCs w:val="24"/>
              </w:rPr>
              <w:t>AA</w:t>
            </w:r>
          </w:p>
        </w:tc>
        <w:tc>
          <w:tcPr>
            <w:tcW w:w="1296" w:type="dxa"/>
            <w:noWrap/>
          </w:tcPr>
          <w:p w14:paraId="3EBAE96B" w14:textId="77777777" w:rsidR="009E575B" w:rsidRPr="009E575B" w:rsidRDefault="009E575B" w:rsidP="009E575B">
            <w:pPr>
              <w:jc w:val="both"/>
              <w:rPr>
                <w:rFonts w:cs="Times New Roman"/>
                <w:sz w:val="24"/>
                <w:szCs w:val="24"/>
                <w:lang w:val="en-US"/>
              </w:rPr>
            </w:pPr>
          </w:p>
        </w:tc>
        <w:tc>
          <w:tcPr>
            <w:tcW w:w="539" w:type="dxa"/>
            <w:noWrap/>
          </w:tcPr>
          <w:p w14:paraId="239979DA" w14:textId="77777777" w:rsidR="009E575B" w:rsidRPr="009E575B" w:rsidRDefault="009E575B" w:rsidP="009E575B">
            <w:pPr>
              <w:jc w:val="both"/>
              <w:rPr>
                <w:rFonts w:cs="Times New Roman"/>
                <w:sz w:val="24"/>
                <w:szCs w:val="24"/>
                <w:lang w:val="en-US"/>
              </w:rPr>
            </w:pPr>
          </w:p>
        </w:tc>
        <w:tc>
          <w:tcPr>
            <w:tcW w:w="1538" w:type="dxa"/>
            <w:noWrap/>
          </w:tcPr>
          <w:p w14:paraId="51E45AB7" w14:textId="77777777" w:rsidR="009E575B" w:rsidRPr="009E575B" w:rsidRDefault="009E575B" w:rsidP="009E575B">
            <w:pPr>
              <w:jc w:val="both"/>
              <w:rPr>
                <w:rFonts w:cs="Times New Roman"/>
                <w:sz w:val="24"/>
                <w:szCs w:val="24"/>
                <w:lang w:val="en-US"/>
              </w:rPr>
            </w:pPr>
            <w:r w:rsidRPr="009E575B">
              <w:rPr>
                <w:rFonts w:cs="Times New Roman"/>
                <w:sz w:val="24"/>
                <w:szCs w:val="24"/>
              </w:rPr>
              <w:t>61 (46.21%)</w:t>
            </w:r>
          </w:p>
        </w:tc>
        <w:tc>
          <w:tcPr>
            <w:tcW w:w="1403" w:type="dxa"/>
            <w:noWrap/>
          </w:tcPr>
          <w:p w14:paraId="4078F300" w14:textId="77777777" w:rsidR="009E575B" w:rsidRPr="009E575B" w:rsidRDefault="009E575B" w:rsidP="009E575B">
            <w:pPr>
              <w:jc w:val="both"/>
              <w:rPr>
                <w:rFonts w:cs="Times New Roman"/>
                <w:sz w:val="24"/>
                <w:szCs w:val="24"/>
                <w:lang w:val="en-US"/>
              </w:rPr>
            </w:pPr>
            <w:r w:rsidRPr="009E575B">
              <w:rPr>
                <w:rFonts w:cs="Times New Roman"/>
                <w:sz w:val="24"/>
                <w:szCs w:val="24"/>
              </w:rPr>
              <w:t>74 (48.37%)</w:t>
            </w:r>
          </w:p>
        </w:tc>
        <w:tc>
          <w:tcPr>
            <w:tcW w:w="736" w:type="dxa"/>
            <w:vMerge w:val="restart"/>
          </w:tcPr>
          <w:p w14:paraId="7B0F1CA4" w14:textId="77777777" w:rsidR="009E575B" w:rsidRPr="009E575B" w:rsidRDefault="009E575B" w:rsidP="009E575B">
            <w:pPr>
              <w:jc w:val="both"/>
              <w:rPr>
                <w:rFonts w:cs="Times New Roman"/>
                <w:sz w:val="24"/>
                <w:szCs w:val="24"/>
                <w:lang w:val="en-US"/>
              </w:rPr>
            </w:pPr>
            <w:r w:rsidRPr="009E575B">
              <w:rPr>
                <w:rFonts w:cs="Times New Roman"/>
                <w:sz w:val="24"/>
                <w:szCs w:val="24"/>
              </w:rPr>
              <w:t>0</w:t>
            </w:r>
            <w:r w:rsidRPr="009E575B">
              <w:rPr>
                <w:rFonts w:cs="Times New Roman"/>
                <w:sz w:val="24"/>
                <w:szCs w:val="24"/>
                <w:lang w:val="en-GB"/>
              </w:rPr>
              <w:t>.</w:t>
            </w:r>
            <w:r w:rsidRPr="009E575B">
              <w:rPr>
                <w:rFonts w:cs="Times New Roman"/>
                <w:sz w:val="24"/>
                <w:szCs w:val="24"/>
              </w:rPr>
              <w:t>7</w:t>
            </w:r>
          </w:p>
        </w:tc>
        <w:tc>
          <w:tcPr>
            <w:tcW w:w="1407" w:type="dxa"/>
            <w:vMerge w:val="restart"/>
            <w:noWrap/>
          </w:tcPr>
          <w:p w14:paraId="0DCAB106"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0,9 (0.7; 1,2)</w:t>
            </w:r>
          </w:p>
        </w:tc>
      </w:tr>
      <w:tr w:rsidR="009E575B" w:rsidRPr="009E575B" w14:paraId="11BAC7E9" w14:textId="77777777" w:rsidTr="009E575B">
        <w:trPr>
          <w:trHeight w:val="288"/>
        </w:trPr>
        <w:tc>
          <w:tcPr>
            <w:tcW w:w="1704" w:type="dxa"/>
            <w:vMerge/>
            <w:noWrap/>
          </w:tcPr>
          <w:p w14:paraId="7BA44C71" w14:textId="77777777" w:rsidR="009E575B" w:rsidRPr="009E575B" w:rsidRDefault="009E575B" w:rsidP="009E575B">
            <w:pPr>
              <w:jc w:val="both"/>
              <w:rPr>
                <w:rFonts w:cs="Times New Roman"/>
                <w:sz w:val="24"/>
                <w:szCs w:val="24"/>
                <w:lang w:val="en-US"/>
              </w:rPr>
            </w:pPr>
          </w:p>
        </w:tc>
        <w:tc>
          <w:tcPr>
            <w:tcW w:w="1045" w:type="dxa"/>
            <w:noWrap/>
          </w:tcPr>
          <w:p w14:paraId="6915828F" w14:textId="77777777" w:rsidR="009E575B" w:rsidRPr="009E575B" w:rsidRDefault="009E575B" w:rsidP="009E575B">
            <w:pPr>
              <w:jc w:val="both"/>
              <w:rPr>
                <w:rFonts w:cs="Times New Roman"/>
                <w:sz w:val="24"/>
                <w:szCs w:val="24"/>
                <w:lang w:val="en-US"/>
              </w:rPr>
            </w:pPr>
            <w:r w:rsidRPr="009E575B">
              <w:rPr>
                <w:rFonts w:cs="Times New Roman"/>
                <w:sz w:val="24"/>
                <w:szCs w:val="24"/>
              </w:rPr>
              <w:t>AG</w:t>
            </w:r>
          </w:p>
        </w:tc>
        <w:tc>
          <w:tcPr>
            <w:tcW w:w="1296" w:type="dxa"/>
            <w:noWrap/>
          </w:tcPr>
          <w:p w14:paraId="793E9D5C" w14:textId="77777777" w:rsidR="009E575B" w:rsidRPr="009E575B" w:rsidRDefault="009E575B" w:rsidP="009E575B">
            <w:pPr>
              <w:jc w:val="both"/>
              <w:rPr>
                <w:rFonts w:cs="Times New Roman"/>
                <w:sz w:val="24"/>
                <w:szCs w:val="24"/>
                <w:lang w:val="en-US"/>
              </w:rPr>
            </w:pPr>
          </w:p>
        </w:tc>
        <w:tc>
          <w:tcPr>
            <w:tcW w:w="539" w:type="dxa"/>
            <w:noWrap/>
          </w:tcPr>
          <w:p w14:paraId="7227C476" w14:textId="77777777" w:rsidR="009E575B" w:rsidRPr="009E575B" w:rsidRDefault="009E575B" w:rsidP="009E575B">
            <w:pPr>
              <w:jc w:val="both"/>
              <w:rPr>
                <w:rFonts w:cs="Times New Roman"/>
                <w:sz w:val="24"/>
                <w:szCs w:val="24"/>
                <w:lang w:val="en-US"/>
              </w:rPr>
            </w:pPr>
          </w:p>
        </w:tc>
        <w:tc>
          <w:tcPr>
            <w:tcW w:w="1538" w:type="dxa"/>
            <w:noWrap/>
          </w:tcPr>
          <w:p w14:paraId="7AA8CE3C" w14:textId="77777777" w:rsidR="009E575B" w:rsidRPr="009E575B" w:rsidRDefault="009E575B" w:rsidP="009E575B">
            <w:pPr>
              <w:jc w:val="both"/>
              <w:rPr>
                <w:rFonts w:cs="Times New Roman"/>
                <w:sz w:val="24"/>
                <w:szCs w:val="24"/>
                <w:lang w:val="en-US"/>
              </w:rPr>
            </w:pPr>
            <w:r w:rsidRPr="009E575B">
              <w:rPr>
                <w:rFonts w:cs="Times New Roman"/>
                <w:sz w:val="24"/>
                <w:szCs w:val="24"/>
              </w:rPr>
              <w:t>53 (40.15%)</w:t>
            </w:r>
          </w:p>
        </w:tc>
        <w:tc>
          <w:tcPr>
            <w:tcW w:w="1403" w:type="dxa"/>
            <w:noWrap/>
          </w:tcPr>
          <w:p w14:paraId="38FCDF3D" w14:textId="77777777" w:rsidR="009E575B" w:rsidRPr="009E575B" w:rsidRDefault="009E575B" w:rsidP="009E575B">
            <w:pPr>
              <w:jc w:val="both"/>
              <w:rPr>
                <w:rFonts w:cs="Times New Roman"/>
                <w:sz w:val="24"/>
                <w:szCs w:val="24"/>
                <w:lang w:val="en-US"/>
              </w:rPr>
            </w:pPr>
            <w:r w:rsidRPr="009E575B">
              <w:rPr>
                <w:rFonts w:cs="Times New Roman"/>
                <w:sz w:val="24"/>
                <w:szCs w:val="24"/>
              </w:rPr>
              <w:t>61 (39.87%)</w:t>
            </w:r>
          </w:p>
        </w:tc>
        <w:tc>
          <w:tcPr>
            <w:tcW w:w="736" w:type="dxa"/>
            <w:vMerge/>
          </w:tcPr>
          <w:p w14:paraId="580D0259" w14:textId="77777777" w:rsidR="009E575B" w:rsidRPr="009E575B" w:rsidRDefault="009E575B" w:rsidP="009E575B">
            <w:pPr>
              <w:jc w:val="both"/>
              <w:rPr>
                <w:rFonts w:cs="Times New Roman"/>
                <w:sz w:val="24"/>
                <w:szCs w:val="24"/>
                <w:lang w:val="en-US"/>
              </w:rPr>
            </w:pPr>
          </w:p>
        </w:tc>
        <w:tc>
          <w:tcPr>
            <w:tcW w:w="1407" w:type="dxa"/>
            <w:vMerge/>
            <w:noWrap/>
          </w:tcPr>
          <w:p w14:paraId="061FEC59" w14:textId="77777777" w:rsidR="009E575B" w:rsidRPr="009E575B" w:rsidRDefault="009E575B" w:rsidP="009E575B">
            <w:pPr>
              <w:jc w:val="both"/>
              <w:rPr>
                <w:rFonts w:cs="Times New Roman"/>
                <w:sz w:val="24"/>
                <w:szCs w:val="24"/>
                <w:lang w:val="en-US"/>
              </w:rPr>
            </w:pPr>
          </w:p>
        </w:tc>
      </w:tr>
      <w:tr w:rsidR="009E575B" w:rsidRPr="009E575B" w14:paraId="58642C7E" w14:textId="77777777" w:rsidTr="009E575B">
        <w:trPr>
          <w:trHeight w:val="288"/>
        </w:trPr>
        <w:tc>
          <w:tcPr>
            <w:tcW w:w="1704" w:type="dxa"/>
            <w:vMerge/>
            <w:noWrap/>
          </w:tcPr>
          <w:p w14:paraId="4593E440" w14:textId="77777777" w:rsidR="009E575B" w:rsidRPr="009E575B" w:rsidRDefault="009E575B" w:rsidP="009E575B">
            <w:pPr>
              <w:jc w:val="both"/>
              <w:rPr>
                <w:rFonts w:cs="Times New Roman"/>
                <w:sz w:val="24"/>
                <w:szCs w:val="24"/>
                <w:lang w:val="en-US"/>
              </w:rPr>
            </w:pPr>
          </w:p>
        </w:tc>
        <w:tc>
          <w:tcPr>
            <w:tcW w:w="1045" w:type="dxa"/>
            <w:noWrap/>
          </w:tcPr>
          <w:p w14:paraId="55A84457" w14:textId="77777777" w:rsidR="009E575B" w:rsidRPr="009E575B" w:rsidRDefault="009E575B" w:rsidP="009E575B">
            <w:pPr>
              <w:jc w:val="both"/>
              <w:rPr>
                <w:rFonts w:cs="Times New Roman"/>
                <w:sz w:val="24"/>
                <w:szCs w:val="24"/>
                <w:lang w:val="en-US"/>
              </w:rPr>
            </w:pPr>
            <w:r w:rsidRPr="009E575B">
              <w:rPr>
                <w:rFonts w:cs="Times New Roman"/>
                <w:sz w:val="24"/>
                <w:szCs w:val="24"/>
              </w:rPr>
              <w:t>GG</w:t>
            </w:r>
          </w:p>
        </w:tc>
        <w:tc>
          <w:tcPr>
            <w:tcW w:w="1296" w:type="dxa"/>
            <w:noWrap/>
          </w:tcPr>
          <w:p w14:paraId="33529652" w14:textId="77777777" w:rsidR="009E575B" w:rsidRPr="009E575B" w:rsidRDefault="009E575B" w:rsidP="009E575B">
            <w:pPr>
              <w:jc w:val="both"/>
              <w:rPr>
                <w:rFonts w:cs="Times New Roman"/>
                <w:sz w:val="24"/>
                <w:szCs w:val="24"/>
                <w:lang w:val="en-US"/>
              </w:rPr>
            </w:pPr>
          </w:p>
        </w:tc>
        <w:tc>
          <w:tcPr>
            <w:tcW w:w="539" w:type="dxa"/>
            <w:noWrap/>
          </w:tcPr>
          <w:p w14:paraId="025DA408" w14:textId="77777777" w:rsidR="009E575B" w:rsidRPr="009E575B" w:rsidRDefault="009E575B" w:rsidP="009E575B">
            <w:pPr>
              <w:jc w:val="both"/>
              <w:rPr>
                <w:rFonts w:cs="Times New Roman"/>
                <w:sz w:val="24"/>
                <w:szCs w:val="24"/>
                <w:lang w:val="en-US"/>
              </w:rPr>
            </w:pPr>
          </w:p>
        </w:tc>
        <w:tc>
          <w:tcPr>
            <w:tcW w:w="1538" w:type="dxa"/>
            <w:noWrap/>
          </w:tcPr>
          <w:p w14:paraId="5D6A6B05" w14:textId="77777777" w:rsidR="009E575B" w:rsidRPr="009E575B" w:rsidRDefault="009E575B" w:rsidP="009E575B">
            <w:pPr>
              <w:jc w:val="both"/>
              <w:rPr>
                <w:rFonts w:cs="Times New Roman"/>
                <w:sz w:val="24"/>
                <w:szCs w:val="24"/>
                <w:lang w:val="en-US"/>
              </w:rPr>
            </w:pPr>
            <w:r w:rsidRPr="009E575B">
              <w:rPr>
                <w:rFonts w:cs="Times New Roman"/>
                <w:sz w:val="24"/>
                <w:szCs w:val="24"/>
              </w:rPr>
              <w:t>18 (13.64%)</w:t>
            </w:r>
          </w:p>
        </w:tc>
        <w:tc>
          <w:tcPr>
            <w:tcW w:w="1403" w:type="dxa"/>
            <w:noWrap/>
          </w:tcPr>
          <w:p w14:paraId="56988DC9" w14:textId="77777777" w:rsidR="009E575B" w:rsidRPr="009E575B" w:rsidRDefault="009E575B" w:rsidP="009E575B">
            <w:pPr>
              <w:jc w:val="both"/>
              <w:rPr>
                <w:rFonts w:cs="Times New Roman"/>
                <w:sz w:val="24"/>
                <w:szCs w:val="24"/>
                <w:lang w:val="en-US"/>
              </w:rPr>
            </w:pPr>
            <w:r w:rsidRPr="009E575B">
              <w:rPr>
                <w:rFonts w:cs="Times New Roman"/>
                <w:sz w:val="24"/>
                <w:szCs w:val="24"/>
              </w:rPr>
              <w:t>18 (11.76%)</w:t>
            </w:r>
          </w:p>
        </w:tc>
        <w:tc>
          <w:tcPr>
            <w:tcW w:w="736" w:type="dxa"/>
            <w:vMerge/>
          </w:tcPr>
          <w:p w14:paraId="3584493D" w14:textId="77777777" w:rsidR="009E575B" w:rsidRPr="009E575B" w:rsidRDefault="009E575B" w:rsidP="009E575B">
            <w:pPr>
              <w:jc w:val="both"/>
              <w:rPr>
                <w:rFonts w:cs="Times New Roman"/>
                <w:sz w:val="24"/>
                <w:szCs w:val="24"/>
                <w:lang w:val="en-US"/>
              </w:rPr>
            </w:pPr>
          </w:p>
        </w:tc>
        <w:tc>
          <w:tcPr>
            <w:tcW w:w="1407" w:type="dxa"/>
            <w:vMerge/>
            <w:noWrap/>
          </w:tcPr>
          <w:p w14:paraId="2EFA6E3F" w14:textId="77777777" w:rsidR="009E575B" w:rsidRPr="009E575B" w:rsidRDefault="009E575B" w:rsidP="009E575B">
            <w:pPr>
              <w:jc w:val="both"/>
              <w:rPr>
                <w:rFonts w:cs="Times New Roman"/>
                <w:sz w:val="24"/>
                <w:szCs w:val="24"/>
                <w:lang w:val="en-US"/>
              </w:rPr>
            </w:pPr>
          </w:p>
        </w:tc>
      </w:tr>
      <w:tr w:rsidR="009E575B" w:rsidRPr="009E575B" w14:paraId="1BE0C874" w14:textId="77777777" w:rsidTr="009E575B">
        <w:trPr>
          <w:trHeight w:val="323"/>
        </w:trPr>
        <w:tc>
          <w:tcPr>
            <w:tcW w:w="1704" w:type="dxa"/>
            <w:vMerge w:val="restart"/>
            <w:noWrap/>
            <w:hideMark/>
          </w:tcPr>
          <w:p w14:paraId="160BD42A" w14:textId="03B29B9A" w:rsidR="009E575B" w:rsidRPr="009E575B" w:rsidRDefault="009E575B" w:rsidP="009E575B">
            <w:pPr>
              <w:jc w:val="both"/>
              <w:rPr>
                <w:rFonts w:cs="Times New Roman"/>
                <w:sz w:val="24"/>
                <w:szCs w:val="24"/>
                <w:lang w:val="en-US"/>
              </w:rPr>
            </w:pPr>
            <w:r w:rsidRPr="009E575B">
              <w:rPr>
                <w:rFonts w:cs="Times New Roman"/>
                <w:sz w:val="24"/>
                <w:szCs w:val="24"/>
              </w:rPr>
              <w:t>Рецессивная модель</w:t>
            </w:r>
          </w:p>
        </w:tc>
        <w:tc>
          <w:tcPr>
            <w:tcW w:w="1045" w:type="dxa"/>
            <w:noWrap/>
            <w:hideMark/>
          </w:tcPr>
          <w:p w14:paraId="5ED7026F"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AA</w:t>
            </w:r>
          </w:p>
        </w:tc>
        <w:tc>
          <w:tcPr>
            <w:tcW w:w="1296" w:type="dxa"/>
            <w:noWrap/>
            <w:hideMark/>
          </w:tcPr>
          <w:p w14:paraId="7985387C" w14:textId="77777777" w:rsidR="009E575B" w:rsidRPr="009E575B" w:rsidRDefault="009E575B" w:rsidP="009E575B">
            <w:pPr>
              <w:jc w:val="both"/>
              <w:rPr>
                <w:rFonts w:cs="Times New Roman"/>
                <w:sz w:val="24"/>
                <w:szCs w:val="24"/>
                <w:lang w:val="en-US"/>
              </w:rPr>
            </w:pPr>
          </w:p>
        </w:tc>
        <w:tc>
          <w:tcPr>
            <w:tcW w:w="539" w:type="dxa"/>
            <w:noWrap/>
            <w:hideMark/>
          </w:tcPr>
          <w:p w14:paraId="06D4D6ED" w14:textId="77777777" w:rsidR="009E575B" w:rsidRPr="009E575B" w:rsidRDefault="009E575B" w:rsidP="009E575B">
            <w:pPr>
              <w:jc w:val="both"/>
              <w:rPr>
                <w:rFonts w:cs="Times New Roman"/>
                <w:sz w:val="24"/>
                <w:szCs w:val="24"/>
                <w:lang w:val="en-US"/>
              </w:rPr>
            </w:pPr>
          </w:p>
        </w:tc>
        <w:tc>
          <w:tcPr>
            <w:tcW w:w="1538" w:type="dxa"/>
            <w:noWrap/>
            <w:hideMark/>
          </w:tcPr>
          <w:p w14:paraId="2E45E88A" w14:textId="77777777" w:rsidR="009E575B" w:rsidRPr="009E575B" w:rsidRDefault="009E575B" w:rsidP="009E575B">
            <w:pPr>
              <w:jc w:val="both"/>
              <w:rPr>
                <w:rFonts w:cs="Times New Roman"/>
                <w:sz w:val="24"/>
                <w:szCs w:val="24"/>
                <w:lang w:val="en-US"/>
              </w:rPr>
            </w:pPr>
            <w:r w:rsidRPr="009E575B">
              <w:rPr>
                <w:rFonts w:cs="Times New Roman"/>
                <w:sz w:val="24"/>
                <w:szCs w:val="24"/>
              </w:rPr>
              <w:t xml:space="preserve">61 </w:t>
            </w:r>
            <w:r w:rsidRPr="009E575B">
              <w:rPr>
                <w:rFonts w:cs="Times New Roman"/>
                <w:sz w:val="24"/>
                <w:szCs w:val="24"/>
                <w:lang w:val="en-US"/>
              </w:rPr>
              <w:t>(</w:t>
            </w:r>
            <w:r w:rsidRPr="009E575B">
              <w:rPr>
                <w:rFonts w:cs="Times New Roman"/>
                <w:sz w:val="24"/>
                <w:szCs w:val="24"/>
              </w:rPr>
              <w:t>46.21</w:t>
            </w:r>
            <w:r w:rsidRPr="009E575B">
              <w:rPr>
                <w:rFonts w:cs="Times New Roman"/>
                <w:sz w:val="24"/>
                <w:szCs w:val="24"/>
                <w:lang w:val="en-US"/>
              </w:rPr>
              <w:t>%)</w:t>
            </w:r>
          </w:p>
        </w:tc>
        <w:tc>
          <w:tcPr>
            <w:tcW w:w="1403" w:type="dxa"/>
            <w:noWrap/>
            <w:hideMark/>
          </w:tcPr>
          <w:p w14:paraId="4AF6B094" w14:textId="77777777" w:rsidR="009E575B" w:rsidRPr="009E575B" w:rsidRDefault="009E575B" w:rsidP="009E575B">
            <w:pPr>
              <w:jc w:val="both"/>
              <w:rPr>
                <w:rFonts w:cs="Times New Roman"/>
                <w:sz w:val="24"/>
                <w:szCs w:val="24"/>
                <w:lang w:val="en-US"/>
              </w:rPr>
            </w:pPr>
            <w:r w:rsidRPr="009E575B">
              <w:rPr>
                <w:rFonts w:cs="Times New Roman"/>
                <w:sz w:val="24"/>
                <w:szCs w:val="24"/>
              </w:rPr>
              <w:t xml:space="preserve"> 74</w:t>
            </w:r>
            <w:r w:rsidRPr="009E575B">
              <w:rPr>
                <w:rFonts w:cs="Times New Roman"/>
                <w:sz w:val="24"/>
                <w:szCs w:val="24"/>
                <w:lang w:val="en-GB"/>
              </w:rPr>
              <w:t xml:space="preserve"> </w:t>
            </w:r>
            <w:r w:rsidRPr="009E575B">
              <w:rPr>
                <w:rFonts w:cs="Times New Roman"/>
                <w:sz w:val="24"/>
                <w:szCs w:val="24"/>
                <w:lang w:val="en-US"/>
              </w:rPr>
              <w:t>(</w:t>
            </w:r>
            <w:r w:rsidRPr="009E575B">
              <w:rPr>
                <w:rFonts w:cs="Times New Roman"/>
                <w:sz w:val="24"/>
                <w:szCs w:val="24"/>
              </w:rPr>
              <w:t>48.37</w:t>
            </w:r>
            <w:r w:rsidRPr="009E575B">
              <w:rPr>
                <w:rFonts w:cs="Times New Roman"/>
                <w:sz w:val="24"/>
                <w:szCs w:val="24"/>
                <w:lang w:val="en-US"/>
              </w:rPr>
              <w:t>%)</w:t>
            </w:r>
          </w:p>
        </w:tc>
        <w:tc>
          <w:tcPr>
            <w:tcW w:w="736" w:type="dxa"/>
            <w:vMerge w:val="restart"/>
          </w:tcPr>
          <w:p w14:paraId="74E0EB50" w14:textId="77777777" w:rsidR="009E575B" w:rsidRPr="009E575B" w:rsidRDefault="009E575B" w:rsidP="009E575B">
            <w:pPr>
              <w:jc w:val="both"/>
              <w:rPr>
                <w:rFonts w:cs="Times New Roman"/>
                <w:sz w:val="24"/>
                <w:szCs w:val="24"/>
              </w:rPr>
            </w:pPr>
            <w:r w:rsidRPr="009E575B">
              <w:rPr>
                <w:rFonts w:cs="Times New Roman"/>
                <w:sz w:val="24"/>
                <w:szCs w:val="24"/>
              </w:rPr>
              <w:t>0</w:t>
            </w:r>
            <w:r w:rsidRPr="009E575B">
              <w:rPr>
                <w:rFonts w:cs="Times New Roman"/>
                <w:sz w:val="24"/>
                <w:szCs w:val="24"/>
                <w:lang w:val="en-GB"/>
              </w:rPr>
              <w:t>.</w:t>
            </w:r>
            <w:r w:rsidRPr="009E575B">
              <w:rPr>
                <w:rFonts w:cs="Times New Roman"/>
                <w:sz w:val="24"/>
                <w:szCs w:val="24"/>
              </w:rPr>
              <w:t>7</w:t>
            </w:r>
          </w:p>
          <w:p w14:paraId="73B05C30" w14:textId="77777777" w:rsidR="009E575B" w:rsidRPr="009E575B" w:rsidRDefault="009E575B" w:rsidP="009E575B">
            <w:pPr>
              <w:jc w:val="both"/>
              <w:rPr>
                <w:rFonts w:cs="Times New Roman"/>
                <w:sz w:val="24"/>
                <w:szCs w:val="24"/>
              </w:rPr>
            </w:pPr>
          </w:p>
        </w:tc>
        <w:tc>
          <w:tcPr>
            <w:tcW w:w="1407" w:type="dxa"/>
            <w:vMerge w:val="restart"/>
          </w:tcPr>
          <w:p w14:paraId="4FCD8E81" w14:textId="77777777" w:rsidR="009E575B" w:rsidRPr="009E575B" w:rsidRDefault="009E575B" w:rsidP="009E575B">
            <w:pPr>
              <w:jc w:val="both"/>
              <w:rPr>
                <w:rFonts w:cs="Times New Roman"/>
                <w:sz w:val="24"/>
                <w:szCs w:val="24"/>
              </w:rPr>
            </w:pPr>
            <w:r w:rsidRPr="009E575B">
              <w:rPr>
                <w:rFonts w:cs="Times New Roman"/>
                <w:sz w:val="24"/>
                <w:szCs w:val="24"/>
              </w:rPr>
              <w:t>0.9</w:t>
            </w:r>
            <w:r w:rsidRPr="009E575B">
              <w:rPr>
                <w:rFonts w:cs="Times New Roman"/>
                <w:sz w:val="24"/>
                <w:szCs w:val="24"/>
                <w:lang w:val="en-GB"/>
              </w:rPr>
              <w:t xml:space="preserve"> </w:t>
            </w:r>
            <w:r w:rsidRPr="009E575B">
              <w:rPr>
                <w:rFonts w:cs="Times New Roman"/>
                <w:sz w:val="24"/>
                <w:szCs w:val="24"/>
              </w:rPr>
              <w:t>(0.5;</w:t>
            </w:r>
            <w:r w:rsidRPr="009E575B">
              <w:rPr>
                <w:rFonts w:cs="Times New Roman"/>
                <w:sz w:val="24"/>
                <w:szCs w:val="24"/>
                <w:lang w:val="en-GB"/>
              </w:rPr>
              <w:t xml:space="preserve"> </w:t>
            </w:r>
            <w:r w:rsidRPr="009E575B">
              <w:rPr>
                <w:rFonts w:cs="Times New Roman"/>
                <w:sz w:val="24"/>
                <w:szCs w:val="24"/>
              </w:rPr>
              <w:t>1.5)</w:t>
            </w:r>
          </w:p>
        </w:tc>
      </w:tr>
      <w:tr w:rsidR="009E575B" w:rsidRPr="009E575B" w14:paraId="4F533056" w14:textId="77777777" w:rsidTr="009E575B">
        <w:trPr>
          <w:trHeight w:val="288"/>
        </w:trPr>
        <w:tc>
          <w:tcPr>
            <w:tcW w:w="1704" w:type="dxa"/>
            <w:vMerge/>
            <w:noWrap/>
            <w:hideMark/>
          </w:tcPr>
          <w:p w14:paraId="1976B899" w14:textId="77777777" w:rsidR="009E575B" w:rsidRPr="009E575B" w:rsidRDefault="009E575B" w:rsidP="009E575B">
            <w:pPr>
              <w:jc w:val="both"/>
              <w:rPr>
                <w:rFonts w:cs="Times New Roman"/>
                <w:sz w:val="24"/>
                <w:szCs w:val="24"/>
                <w:lang w:val="en-US"/>
              </w:rPr>
            </w:pPr>
          </w:p>
        </w:tc>
        <w:tc>
          <w:tcPr>
            <w:tcW w:w="1045" w:type="dxa"/>
            <w:noWrap/>
            <w:hideMark/>
          </w:tcPr>
          <w:p w14:paraId="7A9490BB"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GG</w:t>
            </w:r>
            <w:r w:rsidRPr="009E575B">
              <w:rPr>
                <w:rFonts w:cs="Times New Roman"/>
                <w:sz w:val="24"/>
                <w:szCs w:val="24"/>
              </w:rPr>
              <w:t>+</w:t>
            </w:r>
            <w:r w:rsidRPr="009E575B">
              <w:rPr>
                <w:rFonts w:cs="Times New Roman"/>
                <w:sz w:val="24"/>
                <w:szCs w:val="24"/>
                <w:lang w:val="en-US"/>
              </w:rPr>
              <w:t>AG</w:t>
            </w:r>
          </w:p>
        </w:tc>
        <w:tc>
          <w:tcPr>
            <w:tcW w:w="1296" w:type="dxa"/>
            <w:noWrap/>
            <w:hideMark/>
          </w:tcPr>
          <w:p w14:paraId="30815D41" w14:textId="77777777" w:rsidR="009E575B" w:rsidRPr="009E575B" w:rsidRDefault="009E575B" w:rsidP="009E575B">
            <w:pPr>
              <w:jc w:val="both"/>
              <w:rPr>
                <w:rFonts w:cs="Times New Roman"/>
                <w:sz w:val="24"/>
                <w:szCs w:val="24"/>
                <w:lang w:val="en-US"/>
              </w:rPr>
            </w:pPr>
          </w:p>
        </w:tc>
        <w:tc>
          <w:tcPr>
            <w:tcW w:w="539" w:type="dxa"/>
            <w:noWrap/>
            <w:hideMark/>
          </w:tcPr>
          <w:p w14:paraId="6DE36219" w14:textId="77777777" w:rsidR="009E575B" w:rsidRPr="009E575B" w:rsidRDefault="009E575B" w:rsidP="009E575B">
            <w:pPr>
              <w:jc w:val="both"/>
              <w:rPr>
                <w:rFonts w:cs="Times New Roman"/>
                <w:sz w:val="24"/>
                <w:szCs w:val="24"/>
                <w:lang w:val="en-US"/>
              </w:rPr>
            </w:pPr>
          </w:p>
        </w:tc>
        <w:tc>
          <w:tcPr>
            <w:tcW w:w="1538" w:type="dxa"/>
            <w:noWrap/>
            <w:hideMark/>
          </w:tcPr>
          <w:p w14:paraId="473750F8" w14:textId="77777777" w:rsidR="009E575B" w:rsidRPr="009E575B" w:rsidRDefault="009E575B" w:rsidP="009E575B">
            <w:pPr>
              <w:jc w:val="both"/>
              <w:rPr>
                <w:rFonts w:cs="Times New Roman"/>
                <w:sz w:val="24"/>
                <w:szCs w:val="24"/>
                <w:lang w:val="en-US"/>
              </w:rPr>
            </w:pPr>
            <w:r w:rsidRPr="009E575B">
              <w:rPr>
                <w:rFonts w:cs="Times New Roman"/>
                <w:sz w:val="24"/>
                <w:szCs w:val="24"/>
              </w:rPr>
              <w:t>71</w:t>
            </w:r>
            <w:r w:rsidRPr="009E575B">
              <w:rPr>
                <w:rFonts w:cs="Times New Roman"/>
                <w:sz w:val="24"/>
                <w:szCs w:val="24"/>
                <w:lang w:val="en-US"/>
              </w:rPr>
              <w:t xml:space="preserve"> (</w:t>
            </w:r>
            <w:r w:rsidRPr="009E575B">
              <w:rPr>
                <w:rFonts w:cs="Times New Roman"/>
                <w:sz w:val="24"/>
                <w:szCs w:val="24"/>
              </w:rPr>
              <w:t xml:space="preserve">53.8 </w:t>
            </w:r>
            <w:r w:rsidRPr="009E575B">
              <w:rPr>
                <w:rFonts w:cs="Times New Roman"/>
                <w:sz w:val="24"/>
                <w:szCs w:val="24"/>
                <w:lang w:val="en-US"/>
              </w:rPr>
              <w:t>%)</w:t>
            </w:r>
          </w:p>
        </w:tc>
        <w:tc>
          <w:tcPr>
            <w:tcW w:w="1403" w:type="dxa"/>
            <w:noWrap/>
            <w:hideMark/>
          </w:tcPr>
          <w:p w14:paraId="302A058C" w14:textId="77777777" w:rsidR="009E575B" w:rsidRPr="009E575B" w:rsidRDefault="009E575B" w:rsidP="009E575B">
            <w:pPr>
              <w:jc w:val="both"/>
              <w:rPr>
                <w:rFonts w:cs="Times New Roman"/>
                <w:sz w:val="24"/>
                <w:szCs w:val="24"/>
                <w:lang w:val="en-US"/>
              </w:rPr>
            </w:pPr>
            <w:r w:rsidRPr="009E575B">
              <w:rPr>
                <w:rFonts w:cs="Times New Roman"/>
                <w:sz w:val="24"/>
                <w:szCs w:val="24"/>
              </w:rPr>
              <w:t xml:space="preserve">79 </w:t>
            </w:r>
            <w:r w:rsidRPr="009E575B">
              <w:rPr>
                <w:rFonts w:cs="Times New Roman"/>
                <w:sz w:val="24"/>
                <w:szCs w:val="24"/>
                <w:lang w:val="en-US"/>
              </w:rPr>
              <w:t>(</w:t>
            </w:r>
            <w:r w:rsidRPr="009E575B">
              <w:rPr>
                <w:rFonts w:cs="Times New Roman"/>
                <w:sz w:val="24"/>
                <w:szCs w:val="24"/>
              </w:rPr>
              <w:t>51.63</w:t>
            </w:r>
            <w:r w:rsidRPr="009E575B">
              <w:rPr>
                <w:rFonts w:cs="Times New Roman"/>
                <w:sz w:val="24"/>
                <w:szCs w:val="24"/>
                <w:lang w:val="en-US"/>
              </w:rPr>
              <w:t>%)</w:t>
            </w:r>
          </w:p>
        </w:tc>
        <w:tc>
          <w:tcPr>
            <w:tcW w:w="736" w:type="dxa"/>
            <w:vMerge/>
          </w:tcPr>
          <w:p w14:paraId="5723A253" w14:textId="77777777" w:rsidR="009E575B" w:rsidRPr="009E575B" w:rsidRDefault="009E575B" w:rsidP="009E575B">
            <w:pPr>
              <w:jc w:val="both"/>
              <w:rPr>
                <w:rFonts w:cs="Times New Roman"/>
                <w:sz w:val="24"/>
                <w:szCs w:val="24"/>
              </w:rPr>
            </w:pPr>
          </w:p>
        </w:tc>
        <w:tc>
          <w:tcPr>
            <w:tcW w:w="1407" w:type="dxa"/>
            <w:vMerge/>
            <w:noWrap/>
            <w:hideMark/>
          </w:tcPr>
          <w:p w14:paraId="0D173B86" w14:textId="77777777" w:rsidR="009E575B" w:rsidRPr="009E575B" w:rsidRDefault="009E575B" w:rsidP="009E575B">
            <w:pPr>
              <w:jc w:val="both"/>
              <w:rPr>
                <w:rFonts w:cs="Times New Roman"/>
                <w:sz w:val="24"/>
                <w:szCs w:val="24"/>
              </w:rPr>
            </w:pPr>
          </w:p>
        </w:tc>
      </w:tr>
      <w:tr w:rsidR="009E575B" w:rsidRPr="009E575B" w14:paraId="381653F2" w14:textId="77777777" w:rsidTr="009E575B">
        <w:trPr>
          <w:trHeight w:val="288"/>
        </w:trPr>
        <w:tc>
          <w:tcPr>
            <w:tcW w:w="1704" w:type="dxa"/>
            <w:vMerge w:val="restart"/>
            <w:noWrap/>
          </w:tcPr>
          <w:p w14:paraId="457236F9" w14:textId="4E6B11B3" w:rsidR="009E575B" w:rsidRPr="009E575B" w:rsidRDefault="009E575B" w:rsidP="009E575B">
            <w:pPr>
              <w:jc w:val="both"/>
              <w:rPr>
                <w:rFonts w:cs="Times New Roman"/>
                <w:sz w:val="24"/>
                <w:szCs w:val="24"/>
              </w:rPr>
            </w:pPr>
            <w:r w:rsidRPr="009E575B">
              <w:rPr>
                <w:rFonts w:cs="Times New Roman"/>
                <w:sz w:val="24"/>
                <w:szCs w:val="24"/>
                <w:lang w:val="kk-KZ"/>
              </w:rPr>
              <w:t>А</w:t>
            </w:r>
            <w:r w:rsidRPr="009E575B">
              <w:rPr>
                <w:rFonts w:cs="Times New Roman"/>
                <w:sz w:val="24"/>
                <w:szCs w:val="24"/>
              </w:rPr>
              <w:t xml:space="preserve">ллель </w:t>
            </w:r>
          </w:p>
        </w:tc>
        <w:tc>
          <w:tcPr>
            <w:tcW w:w="1045" w:type="dxa"/>
            <w:noWrap/>
          </w:tcPr>
          <w:p w14:paraId="49B3BF3B"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A</w:t>
            </w:r>
          </w:p>
        </w:tc>
        <w:tc>
          <w:tcPr>
            <w:tcW w:w="1296" w:type="dxa"/>
            <w:noWrap/>
          </w:tcPr>
          <w:p w14:paraId="0FBC0CEF" w14:textId="77777777" w:rsidR="009E575B" w:rsidRPr="009E575B" w:rsidRDefault="009E575B" w:rsidP="009E575B">
            <w:pPr>
              <w:jc w:val="both"/>
              <w:rPr>
                <w:rFonts w:cs="Times New Roman"/>
                <w:sz w:val="24"/>
                <w:szCs w:val="24"/>
                <w:lang w:val="en-US"/>
              </w:rPr>
            </w:pPr>
          </w:p>
        </w:tc>
        <w:tc>
          <w:tcPr>
            <w:tcW w:w="539" w:type="dxa"/>
            <w:noWrap/>
          </w:tcPr>
          <w:p w14:paraId="3C48DFC7" w14:textId="77777777" w:rsidR="009E575B" w:rsidRPr="009E575B" w:rsidRDefault="009E575B" w:rsidP="009E575B">
            <w:pPr>
              <w:jc w:val="both"/>
              <w:rPr>
                <w:rFonts w:cs="Times New Roman"/>
                <w:sz w:val="24"/>
                <w:szCs w:val="24"/>
                <w:lang w:val="en-US"/>
              </w:rPr>
            </w:pPr>
          </w:p>
        </w:tc>
        <w:tc>
          <w:tcPr>
            <w:tcW w:w="1538" w:type="dxa"/>
            <w:noWrap/>
          </w:tcPr>
          <w:p w14:paraId="52BD9C8D"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175 (66.29%)</w:t>
            </w:r>
          </w:p>
        </w:tc>
        <w:tc>
          <w:tcPr>
            <w:tcW w:w="1403" w:type="dxa"/>
            <w:noWrap/>
          </w:tcPr>
          <w:p w14:paraId="4F2B9D18"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209 (68.3%)</w:t>
            </w:r>
          </w:p>
        </w:tc>
        <w:tc>
          <w:tcPr>
            <w:tcW w:w="736" w:type="dxa"/>
            <w:vMerge w:val="restart"/>
          </w:tcPr>
          <w:p w14:paraId="573693AF" w14:textId="77777777" w:rsidR="009E575B" w:rsidRPr="009E575B" w:rsidRDefault="009E575B" w:rsidP="009E575B">
            <w:pPr>
              <w:jc w:val="both"/>
              <w:rPr>
                <w:rFonts w:cs="Times New Roman"/>
                <w:sz w:val="24"/>
                <w:szCs w:val="24"/>
              </w:rPr>
            </w:pPr>
            <w:r w:rsidRPr="009E575B">
              <w:rPr>
                <w:rFonts w:cs="Times New Roman"/>
                <w:sz w:val="24"/>
                <w:szCs w:val="24"/>
              </w:rPr>
              <w:t>0.6</w:t>
            </w:r>
          </w:p>
        </w:tc>
        <w:tc>
          <w:tcPr>
            <w:tcW w:w="1407" w:type="dxa"/>
            <w:vMerge w:val="restart"/>
            <w:noWrap/>
          </w:tcPr>
          <w:p w14:paraId="63CC84FA" w14:textId="77777777" w:rsidR="009E575B" w:rsidRPr="009E575B" w:rsidRDefault="009E575B" w:rsidP="009E575B">
            <w:pPr>
              <w:jc w:val="both"/>
              <w:rPr>
                <w:rFonts w:cs="Times New Roman"/>
                <w:sz w:val="24"/>
                <w:szCs w:val="24"/>
              </w:rPr>
            </w:pPr>
            <w:r w:rsidRPr="009E575B">
              <w:rPr>
                <w:rFonts w:cs="Times New Roman"/>
                <w:sz w:val="24"/>
                <w:szCs w:val="24"/>
              </w:rPr>
              <w:t>0.9</w:t>
            </w:r>
            <w:r w:rsidRPr="009E575B">
              <w:rPr>
                <w:rFonts w:cs="Times New Roman"/>
                <w:sz w:val="24"/>
                <w:szCs w:val="24"/>
                <w:lang w:val="en-GB"/>
              </w:rPr>
              <w:t xml:space="preserve"> </w:t>
            </w:r>
            <w:r w:rsidRPr="009E575B">
              <w:rPr>
                <w:rFonts w:cs="Times New Roman"/>
                <w:sz w:val="24"/>
                <w:szCs w:val="24"/>
              </w:rPr>
              <w:t>(0.6;</w:t>
            </w:r>
            <w:r w:rsidRPr="009E575B">
              <w:rPr>
                <w:rFonts w:cs="Times New Roman"/>
                <w:sz w:val="24"/>
                <w:szCs w:val="24"/>
                <w:lang w:val="en-GB"/>
              </w:rPr>
              <w:t xml:space="preserve"> </w:t>
            </w:r>
            <w:r w:rsidRPr="009E575B">
              <w:rPr>
                <w:rFonts w:cs="Times New Roman"/>
                <w:sz w:val="24"/>
                <w:szCs w:val="24"/>
              </w:rPr>
              <w:t>1.3)</w:t>
            </w:r>
          </w:p>
        </w:tc>
      </w:tr>
      <w:tr w:rsidR="009E575B" w:rsidRPr="009E575B" w14:paraId="768CFB8C" w14:textId="77777777" w:rsidTr="009E575B">
        <w:trPr>
          <w:trHeight w:val="288"/>
        </w:trPr>
        <w:tc>
          <w:tcPr>
            <w:tcW w:w="1704" w:type="dxa"/>
            <w:vMerge/>
            <w:noWrap/>
          </w:tcPr>
          <w:p w14:paraId="4B9F3EAF" w14:textId="77777777" w:rsidR="009E575B" w:rsidRPr="009E575B" w:rsidRDefault="009E575B" w:rsidP="009E575B">
            <w:pPr>
              <w:ind w:firstLine="26"/>
              <w:jc w:val="both"/>
              <w:rPr>
                <w:rFonts w:cs="Times New Roman"/>
                <w:sz w:val="24"/>
                <w:szCs w:val="24"/>
                <w:lang w:val="en-US"/>
              </w:rPr>
            </w:pPr>
          </w:p>
        </w:tc>
        <w:tc>
          <w:tcPr>
            <w:tcW w:w="1045" w:type="dxa"/>
            <w:noWrap/>
          </w:tcPr>
          <w:p w14:paraId="37349C43"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G</w:t>
            </w:r>
            <w:r w:rsidRPr="009E575B">
              <w:rPr>
                <w:rFonts w:cs="Times New Roman"/>
                <w:sz w:val="24"/>
                <w:szCs w:val="24"/>
                <w:vertAlign w:val="superscript"/>
                <w:lang w:val="en-US"/>
              </w:rPr>
              <w:t>*</w:t>
            </w:r>
          </w:p>
        </w:tc>
        <w:tc>
          <w:tcPr>
            <w:tcW w:w="1296" w:type="dxa"/>
            <w:noWrap/>
          </w:tcPr>
          <w:p w14:paraId="785B8443" w14:textId="77777777" w:rsidR="009E575B" w:rsidRPr="009E575B" w:rsidRDefault="009E575B" w:rsidP="009E575B">
            <w:pPr>
              <w:jc w:val="both"/>
              <w:rPr>
                <w:rFonts w:cs="Times New Roman"/>
                <w:sz w:val="24"/>
                <w:szCs w:val="24"/>
                <w:lang w:val="en-US"/>
              </w:rPr>
            </w:pPr>
          </w:p>
        </w:tc>
        <w:tc>
          <w:tcPr>
            <w:tcW w:w="539" w:type="dxa"/>
            <w:noWrap/>
          </w:tcPr>
          <w:p w14:paraId="69EDFAF2" w14:textId="77777777" w:rsidR="009E575B" w:rsidRPr="009E575B" w:rsidRDefault="009E575B" w:rsidP="009E575B">
            <w:pPr>
              <w:jc w:val="both"/>
              <w:rPr>
                <w:rFonts w:cs="Times New Roman"/>
                <w:sz w:val="24"/>
                <w:szCs w:val="24"/>
                <w:lang w:val="en-US"/>
              </w:rPr>
            </w:pPr>
          </w:p>
        </w:tc>
        <w:tc>
          <w:tcPr>
            <w:tcW w:w="1538" w:type="dxa"/>
            <w:noWrap/>
          </w:tcPr>
          <w:p w14:paraId="69C0F273"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89 (33.71%)</w:t>
            </w:r>
          </w:p>
        </w:tc>
        <w:tc>
          <w:tcPr>
            <w:tcW w:w="1403" w:type="dxa"/>
            <w:noWrap/>
          </w:tcPr>
          <w:p w14:paraId="2A220C22" w14:textId="77777777" w:rsidR="009E575B" w:rsidRPr="009E575B" w:rsidRDefault="009E575B" w:rsidP="009E575B">
            <w:pPr>
              <w:jc w:val="both"/>
              <w:rPr>
                <w:rFonts w:cs="Times New Roman"/>
                <w:sz w:val="24"/>
                <w:szCs w:val="24"/>
                <w:lang w:val="en-US"/>
              </w:rPr>
            </w:pPr>
            <w:r w:rsidRPr="009E575B">
              <w:rPr>
                <w:rFonts w:cs="Times New Roman"/>
                <w:sz w:val="24"/>
                <w:szCs w:val="24"/>
                <w:lang w:val="en-US"/>
              </w:rPr>
              <w:t>97 (31.7%)</w:t>
            </w:r>
          </w:p>
        </w:tc>
        <w:tc>
          <w:tcPr>
            <w:tcW w:w="736" w:type="dxa"/>
            <w:vMerge/>
          </w:tcPr>
          <w:p w14:paraId="77382C78" w14:textId="77777777" w:rsidR="009E575B" w:rsidRPr="009E575B" w:rsidRDefault="009E575B" w:rsidP="009E575B">
            <w:pPr>
              <w:ind w:firstLine="26"/>
              <w:jc w:val="both"/>
              <w:rPr>
                <w:rFonts w:cs="Times New Roman"/>
                <w:sz w:val="24"/>
                <w:szCs w:val="24"/>
                <w:lang w:val="en-US"/>
              </w:rPr>
            </w:pPr>
          </w:p>
        </w:tc>
        <w:tc>
          <w:tcPr>
            <w:tcW w:w="1407" w:type="dxa"/>
            <w:vMerge/>
            <w:noWrap/>
          </w:tcPr>
          <w:p w14:paraId="410EF9AB" w14:textId="77777777" w:rsidR="009E575B" w:rsidRPr="009E575B" w:rsidRDefault="009E575B" w:rsidP="009E575B">
            <w:pPr>
              <w:ind w:firstLine="26"/>
              <w:jc w:val="both"/>
              <w:rPr>
                <w:rFonts w:cs="Times New Roman"/>
                <w:sz w:val="24"/>
                <w:szCs w:val="24"/>
                <w:lang w:val="en-US"/>
              </w:rPr>
            </w:pPr>
          </w:p>
        </w:tc>
      </w:tr>
      <w:tr w:rsidR="009E575B" w:rsidRPr="009E575B" w14:paraId="4A8BE9E6" w14:textId="77777777" w:rsidTr="002B5069">
        <w:trPr>
          <w:trHeight w:val="288"/>
        </w:trPr>
        <w:tc>
          <w:tcPr>
            <w:tcW w:w="9668" w:type="dxa"/>
            <w:gridSpan w:val="8"/>
            <w:noWrap/>
          </w:tcPr>
          <w:p w14:paraId="1DD68A7F" w14:textId="464A9E9F" w:rsidR="009E575B" w:rsidRPr="009E575B" w:rsidRDefault="009E575B" w:rsidP="009E575B">
            <w:pPr>
              <w:ind w:firstLine="462"/>
              <w:jc w:val="both"/>
              <w:rPr>
                <w:rFonts w:cs="Times New Roman"/>
                <w:sz w:val="24"/>
                <w:szCs w:val="24"/>
                <w:lang w:val="kk-KZ"/>
              </w:rPr>
            </w:pPr>
            <w:r>
              <w:rPr>
                <w:rFonts w:cs="Times New Roman"/>
                <w:sz w:val="24"/>
                <w:szCs w:val="24"/>
                <w:lang w:val="kk-KZ"/>
              </w:rPr>
              <w:t xml:space="preserve">Примечание - </w:t>
            </w:r>
            <w:r w:rsidRPr="009E575B">
              <w:rPr>
                <w:rFonts w:cs="Times New Roman"/>
                <w:sz w:val="24"/>
                <w:szCs w:val="24"/>
                <w:lang w:val="kk-KZ"/>
              </w:rPr>
              <w:t>* аллель рассматривается как референтный аллель</w:t>
            </w:r>
          </w:p>
        </w:tc>
      </w:tr>
    </w:tbl>
    <w:p w14:paraId="1E499BA9" w14:textId="77777777" w:rsidR="009E575B" w:rsidRPr="009E575B" w:rsidRDefault="009E575B" w:rsidP="006D06D7">
      <w:pPr>
        <w:spacing w:after="0" w:line="240" w:lineRule="auto"/>
        <w:ind w:firstLine="709"/>
        <w:contextualSpacing/>
        <w:jc w:val="both"/>
        <w:rPr>
          <w:rFonts w:cs="Times New Roman"/>
          <w:szCs w:val="28"/>
        </w:rPr>
      </w:pPr>
    </w:p>
    <w:p w14:paraId="4BC27F05" w14:textId="71295915" w:rsidR="00761FA3" w:rsidRPr="002B136D" w:rsidRDefault="00761FA3" w:rsidP="009E575B">
      <w:pPr>
        <w:spacing w:after="0" w:line="240" w:lineRule="auto"/>
        <w:ind w:firstLine="567"/>
        <w:contextualSpacing/>
        <w:jc w:val="both"/>
        <w:rPr>
          <w:rFonts w:cs="Times New Roman"/>
          <w:szCs w:val="28"/>
          <w:lang w:val="kk-KZ"/>
        </w:rPr>
      </w:pPr>
      <w:r w:rsidRPr="002B136D">
        <w:rPr>
          <w:rFonts w:cs="Times New Roman"/>
          <w:szCs w:val="28"/>
          <w:lang w:val="kk-KZ"/>
        </w:rPr>
        <w:t xml:space="preserve">Проведено исследование с целью оценки влияния генетических вариаций в цитокинах IL-17 и IL-38 на риск развития эндокринной офтальмопатии (ЭОП) у лиц европеоидной национальности </w:t>
      </w:r>
      <w:r w:rsidR="0067708D">
        <w:rPr>
          <w:rFonts w:cs="Times New Roman"/>
          <w:szCs w:val="28"/>
          <w:lang w:val="kk-KZ"/>
        </w:rPr>
        <w:t xml:space="preserve">(таблица </w:t>
      </w:r>
      <w:r w:rsidR="0076161A">
        <w:rPr>
          <w:rFonts w:cs="Times New Roman"/>
          <w:szCs w:val="28"/>
        </w:rPr>
        <w:t>19</w:t>
      </w:r>
      <w:r w:rsidR="00AE3D73" w:rsidRPr="002B136D">
        <w:rPr>
          <w:rFonts w:cs="Times New Roman"/>
          <w:szCs w:val="28"/>
          <w:lang w:val="kk-KZ"/>
        </w:rPr>
        <w:t>) где были включен</w:t>
      </w:r>
      <w:r w:rsidR="00AE3D73" w:rsidRPr="002B136D">
        <w:rPr>
          <w:rFonts w:cs="Times New Roman"/>
          <w:szCs w:val="28"/>
        </w:rPr>
        <w:t>ы</w:t>
      </w:r>
      <w:r w:rsidR="00AE3D73" w:rsidRPr="002B136D">
        <w:rPr>
          <w:rFonts w:cs="Times New Roman"/>
          <w:szCs w:val="28"/>
          <w:lang w:val="kk-KZ"/>
        </w:rPr>
        <w:t xml:space="preserve"> </w:t>
      </w:r>
      <w:r w:rsidR="00AE3D73" w:rsidRPr="002B136D">
        <w:rPr>
          <w:rFonts w:cs="Times New Roman"/>
          <w:szCs w:val="28"/>
        </w:rPr>
        <w:t>98</w:t>
      </w:r>
      <w:r w:rsidRPr="002B136D">
        <w:rPr>
          <w:rFonts w:cs="Times New Roman"/>
          <w:szCs w:val="28"/>
          <w:lang w:val="kk-KZ"/>
        </w:rPr>
        <w:t xml:space="preserve"> лиц европеоидной национальности, разделен</w:t>
      </w:r>
      <w:r w:rsidR="00AE3D73" w:rsidRPr="002B136D">
        <w:rPr>
          <w:rFonts w:cs="Times New Roman"/>
          <w:szCs w:val="28"/>
          <w:lang w:val="kk-KZ"/>
        </w:rPr>
        <w:t>ные на две группы: без ЭОП (n=57) и с ЭОП (n=41</w:t>
      </w:r>
      <w:r w:rsidRPr="002B136D">
        <w:rPr>
          <w:rFonts w:cs="Times New Roman"/>
          <w:szCs w:val="28"/>
          <w:lang w:val="kk-KZ"/>
        </w:rPr>
        <w:t>). Изучались генотипы полиморфизмов rs9463772 /</w:t>
      </w:r>
      <w:r w:rsidRPr="002B136D">
        <w:rPr>
          <w:rFonts w:cs="Times New Roman"/>
          <w:i/>
          <w:szCs w:val="28"/>
          <w:lang w:val="kk-KZ"/>
        </w:rPr>
        <w:t>IL17F</w:t>
      </w:r>
      <w:r w:rsidRPr="002B136D">
        <w:rPr>
          <w:rFonts w:cs="Times New Roman"/>
          <w:szCs w:val="28"/>
          <w:lang w:val="kk-KZ"/>
        </w:rPr>
        <w:t xml:space="preserve"> и rs3811058</w:t>
      </w:r>
      <w:r w:rsidR="00114CCF" w:rsidRPr="002B136D">
        <w:rPr>
          <w:rFonts w:cs="Times New Roman"/>
          <w:szCs w:val="28"/>
          <w:lang w:val="kk-KZ"/>
        </w:rPr>
        <w:t>/IL38, rs7570267/</w:t>
      </w:r>
      <w:r w:rsidRPr="002B136D">
        <w:rPr>
          <w:rFonts w:cs="Times New Roman"/>
          <w:szCs w:val="28"/>
          <w:lang w:val="kk-KZ"/>
        </w:rPr>
        <w:t>IL38.</w:t>
      </w:r>
    </w:p>
    <w:p w14:paraId="3560A11D" w14:textId="7E850932" w:rsidR="00761FA3" w:rsidRPr="002B136D" w:rsidRDefault="00761FA3" w:rsidP="009E575B">
      <w:pPr>
        <w:spacing w:after="0" w:line="240" w:lineRule="auto"/>
        <w:ind w:firstLine="567"/>
        <w:contextualSpacing/>
        <w:jc w:val="both"/>
        <w:rPr>
          <w:rFonts w:cs="Times New Roman"/>
          <w:szCs w:val="28"/>
          <w:lang w:val="kk-KZ"/>
        </w:rPr>
      </w:pPr>
      <w:r w:rsidRPr="002B136D">
        <w:rPr>
          <w:rFonts w:cs="Times New Roman"/>
          <w:szCs w:val="28"/>
          <w:lang w:val="kk-KZ"/>
        </w:rPr>
        <w:t>Частоты генотипа CC (Полиморфизм rs9463772/IL17F) были схожи в обеих группах, не показав статистической значимости (p</w:t>
      </w:r>
      <w:r w:rsidR="00AE3D73" w:rsidRPr="002B136D">
        <w:rPr>
          <w:rFonts w:cs="Times New Roman"/>
          <w:szCs w:val="28"/>
          <w:lang w:val="kk-KZ"/>
        </w:rPr>
        <w:t>&gt;</w:t>
      </w:r>
      <w:r w:rsidRPr="002B136D">
        <w:rPr>
          <w:rFonts w:cs="Times New Roman"/>
          <w:szCs w:val="28"/>
          <w:lang w:val="kk-KZ"/>
        </w:rPr>
        <w:t>0.</w:t>
      </w:r>
      <w:r w:rsidR="00AE3D73" w:rsidRPr="002B136D">
        <w:rPr>
          <w:rFonts w:cs="Times New Roman"/>
          <w:szCs w:val="28"/>
          <w:lang w:val="kk-KZ"/>
        </w:rPr>
        <w:t>05</w:t>
      </w:r>
      <w:r w:rsidRPr="002B136D">
        <w:rPr>
          <w:rFonts w:cs="Times New Roman"/>
          <w:szCs w:val="28"/>
          <w:lang w:val="kk-KZ"/>
        </w:rPr>
        <w:t>). Генотип TT встречался только в группе без ЭОП, однако из-за малого размера выборки невозможно сделать однозначные выводы.</w:t>
      </w:r>
    </w:p>
    <w:p w14:paraId="491D3AB6" w14:textId="2E2B70E9" w:rsidR="00AF0EC7" w:rsidRPr="002B136D" w:rsidRDefault="00761FA3" w:rsidP="009E575B">
      <w:pPr>
        <w:spacing w:after="0" w:line="240" w:lineRule="auto"/>
        <w:ind w:firstLine="567"/>
        <w:contextualSpacing/>
        <w:jc w:val="both"/>
        <w:rPr>
          <w:rFonts w:cs="Times New Roman"/>
          <w:szCs w:val="28"/>
          <w:lang w:val="kk-KZ"/>
        </w:rPr>
      </w:pPr>
      <w:r w:rsidRPr="002B136D">
        <w:rPr>
          <w:rFonts w:cs="Times New Roman"/>
          <w:szCs w:val="28"/>
          <w:lang w:val="kk-KZ"/>
        </w:rPr>
        <w:lastRenderedPageBreak/>
        <w:t xml:space="preserve">Определена статистическая значимость </w:t>
      </w:r>
      <w:r w:rsidR="00AE3D73" w:rsidRPr="002B136D">
        <w:rPr>
          <w:rFonts w:cs="Times New Roman"/>
          <w:szCs w:val="28"/>
          <w:lang w:val="kk-KZ"/>
        </w:rPr>
        <w:t>(p=0.02</w:t>
      </w:r>
      <w:r w:rsidRPr="002B136D">
        <w:rPr>
          <w:rFonts w:cs="Times New Roman"/>
          <w:szCs w:val="28"/>
          <w:lang w:val="kk-KZ"/>
        </w:rPr>
        <w:t>) с повышенным отношением шансов для (Полиморф</w:t>
      </w:r>
      <w:r w:rsidR="00AE3D73" w:rsidRPr="002B136D">
        <w:rPr>
          <w:rFonts w:cs="Times New Roman"/>
          <w:szCs w:val="28"/>
          <w:lang w:val="kk-KZ"/>
        </w:rPr>
        <w:t>изм rs3811058 /IL38) генотипа СС</w:t>
      </w:r>
      <w:r w:rsidR="00F40F48" w:rsidRPr="002B136D">
        <w:rPr>
          <w:rFonts w:cs="Times New Roman"/>
          <w:szCs w:val="28"/>
          <w:lang w:val="kk-KZ"/>
        </w:rPr>
        <w:t xml:space="preserve"> у лиц с</w:t>
      </w:r>
      <w:r w:rsidRPr="002B136D">
        <w:rPr>
          <w:rFonts w:cs="Times New Roman"/>
          <w:szCs w:val="28"/>
          <w:lang w:val="kk-KZ"/>
        </w:rPr>
        <w:t xml:space="preserve"> ЭОП (OR </w:t>
      </w:r>
      <w:r w:rsidR="00AE3D73" w:rsidRPr="002B136D">
        <w:rPr>
          <w:rFonts w:cs="Times New Roman"/>
          <w:szCs w:val="28"/>
          <w:lang w:val="kk-KZ"/>
        </w:rPr>
        <w:t>2,7</w:t>
      </w:r>
      <w:r w:rsidRPr="002B136D">
        <w:rPr>
          <w:rFonts w:cs="Times New Roman"/>
          <w:szCs w:val="28"/>
          <w:lang w:val="kk-KZ"/>
        </w:rPr>
        <w:t xml:space="preserve">, 95% CI </w:t>
      </w:r>
      <w:r w:rsidR="00AE3D73" w:rsidRPr="002B136D">
        <w:rPr>
          <w:rFonts w:cs="Times New Roman"/>
          <w:szCs w:val="28"/>
          <w:lang w:val="kk-KZ"/>
        </w:rPr>
        <w:t>(1,2;6,4)</w:t>
      </w:r>
      <w:r w:rsidRPr="002B136D">
        <w:rPr>
          <w:rFonts w:cs="Times New Roman"/>
          <w:szCs w:val="28"/>
          <w:lang w:val="kk-KZ"/>
        </w:rPr>
        <w:t xml:space="preserve">), указывая на </w:t>
      </w:r>
      <w:r w:rsidR="00F40F48" w:rsidRPr="002B136D">
        <w:rPr>
          <w:rFonts w:cs="Times New Roman"/>
          <w:szCs w:val="28"/>
          <w:lang w:val="kk-KZ"/>
        </w:rPr>
        <w:t>повышенную возможность (2,7 раза)</w:t>
      </w:r>
      <w:r w:rsidR="00F35C00">
        <w:rPr>
          <w:rFonts w:cs="Times New Roman"/>
          <w:szCs w:val="28"/>
          <w:lang w:val="kk-KZ"/>
        </w:rPr>
        <w:t xml:space="preserve"> </w:t>
      </w:r>
      <w:r w:rsidRPr="002B136D">
        <w:rPr>
          <w:rFonts w:cs="Times New Roman"/>
          <w:szCs w:val="28"/>
          <w:lang w:val="kk-KZ"/>
        </w:rPr>
        <w:t xml:space="preserve">развития ЭОП. Генотип </w:t>
      </w:r>
      <w:r w:rsidR="00F40F48" w:rsidRPr="002B136D">
        <w:rPr>
          <w:rFonts w:cs="Times New Roman"/>
          <w:szCs w:val="28"/>
          <w:lang w:val="kk-KZ"/>
        </w:rPr>
        <w:t xml:space="preserve">ТТ </w:t>
      </w:r>
      <w:r w:rsidRPr="002B136D">
        <w:rPr>
          <w:rFonts w:cs="Times New Roman"/>
          <w:szCs w:val="28"/>
          <w:lang w:val="kk-KZ"/>
        </w:rPr>
        <w:t>был б</w:t>
      </w:r>
      <w:r w:rsidR="00F40F48" w:rsidRPr="002B136D">
        <w:rPr>
          <w:rFonts w:cs="Times New Roman"/>
          <w:szCs w:val="28"/>
          <w:lang w:val="kk-KZ"/>
        </w:rPr>
        <w:t>олее распространен у пациентов без</w:t>
      </w:r>
      <w:r w:rsidRPr="002B136D">
        <w:rPr>
          <w:rFonts w:cs="Times New Roman"/>
          <w:szCs w:val="28"/>
          <w:lang w:val="kk-KZ"/>
        </w:rPr>
        <w:t xml:space="preserve"> ЭОП, что может предполагать его ассоциацию с </w:t>
      </w:r>
      <w:r w:rsidR="003F7D83" w:rsidRPr="002B136D">
        <w:rPr>
          <w:rFonts w:cs="Times New Roman"/>
          <w:szCs w:val="28"/>
          <w:lang w:val="kk-KZ"/>
        </w:rPr>
        <w:t>защитным меха</w:t>
      </w:r>
      <w:r w:rsidR="00F40F48" w:rsidRPr="002B136D">
        <w:rPr>
          <w:rFonts w:cs="Times New Roman"/>
          <w:szCs w:val="28"/>
          <w:lang w:val="kk-KZ"/>
        </w:rPr>
        <w:t>низмом от ЭОП у европейцев с заболеванием ЩЖ</w:t>
      </w:r>
      <w:r w:rsidRPr="002B136D">
        <w:rPr>
          <w:rFonts w:cs="Times New Roman"/>
          <w:szCs w:val="28"/>
          <w:lang w:val="kk-KZ"/>
        </w:rPr>
        <w:t>.</w:t>
      </w:r>
      <w:r w:rsidR="00AF0EC7" w:rsidRPr="002B136D">
        <w:rPr>
          <w:rFonts w:cs="Times New Roman"/>
          <w:szCs w:val="28"/>
          <w:lang w:val="kk-KZ"/>
        </w:rPr>
        <w:t xml:space="preserve"> Также, частоты C-аллеля в группе с ЭОП были значительно выше, чем в когорте без ЭОП (68% против 44%; OR=2,8, 95%CI (1,5–5,0), p = 0,001). </w:t>
      </w:r>
    </w:p>
    <w:p w14:paraId="0984723B" w14:textId="7BD0917D" w:rsidR="00761FA3" w:rsidRPr="002B136D" w:rsidRDefault="00761FA3" w:rsidP="009E575B">
      <w:pPr>
        <w:spacing w:after="0" w:line="240" w:lineRule="auto"/>
        <w:ind w:firstLine="567"/>
        <w:contextualSpacing/>
        <w:jc w:val="both"/>
        <w:rPr>
          <w:rFonts w:cs="Times New Roman"/>
          <w:szCs w:val="28"/>
          <w:lang w:val="kk-KZ"/>
        </w:rPr>
      </w:pPr>
      <w:r w:rsidRPr="002B136D">
        <w:rPr>
          <w:rFonts w:cs="Times New Roman"/>
          <w:szCs w:val="28"/>
          <w:lang w:val="kk-KZ"/>
        </w:rPr>
        <w:t>Также нами не было обнаружено значимых ассоциаций (Полиморфизм rs7570267 /IL38) между генотипами и ЭОП (</w:t>
      </w:r>
      <w:r w:rsidR="00AE3D73" w:rsidRPr="002B136D">
        <w:rPr>
          <w:rFonts w:cs="Times New Roman"/>
          <w:szCs w:val="28"/>
          <w:lang w:val="kk-KZ"/>
        </w:rPr>
        <w:t>p&gt;0.05</w:t>
      </w:r>
      <w:r w:rsidRPr="002B136D">
        <w:rPr>
          <w:rFonts w:cs="Times New Roman"/>
          <w:szCs w:val="28"/>
          <w:lang w:val="kk-KZ"/>
        </w:rPr>
        <w:t>), что указывает на отсутствие влияния этого полиморфизма на риск развития ЭОП в данной популяции.</w:t>
      </w:r>
    </w:p>
    <w:p w14:paraId="3C607BFA" w14:textId="23561998" w:rsidR="0087684E" w:rsidRPr="002B136D" w:rsidRDefault="00761FA3" w:rsidP="009E575B">
      <w:pPr>
        <w:spacing w:after="0" w:line="240" w:lineRule="auto"/>
        <w:ind w:firstLine="567"/>
        <w:contextualSpacing/>
        <w:jc w:val="both"/>
        <w:rPr>
          <w:rFonts w:cs="Times New Roman"/>
          <w:szCs w:val="28"/>
          <w:lang w:val="kk-KZ"/>
        </w:rPr>
      </w:pPr>
      <w:r w:rsidRPr="002B136D">
        <w:rPr>
          <w:rFonts w:cs="Times New Roman"/>
          <w:szCs w:val="28"/>
          <w:lang w:val="kk-KZ"/>
        </w:rPr>
        <w:t>Результаты исследования предполагают, что генетические варианты IL-38, особенно rs3811058, могут иметь значение в патогенезе ЭОП у лиц европеоидной национальности. Отмечена потенциальная защитная роль генотипа TT</w:t>
      </w:r>
      <w:r w:rsidR="00DD476C">
        <w:rPr>
          <w:rFonts w:cs="Times New Roman"/>
          <w:szCs w:val="28"/>
          <w:lang w:val="kk-KZ"/>
        </w:rPr>
        <w:t>.</w:t>
      </w:r>
    </w:p>
    <w:p w14:paraId="29811CCC" w14:textId="77777777" w:rsidR="009606DB" w:rsidRPr="002B136D" w:rsidRDefault="009606DB" w:rsidP="006D06D7">
      <w:pPr>
        <w:spacing w:after="0" w:line="240" w:lineRule="auto"/>
        <w:ind w:firstLine="709"/>
        <w:contextualSpacing/>
        <w:jc w:val="both"/>
        <w:rPr>
          <w:rFonts w:cs="Times New Roman"/>
          <w:szCs w:val="28"/>
          <w:lang w:val="kk-KZ"/>
        </w:rPr>
      </w:pPr>
      <w:bookmarkStart w:id="18" w:name="_Hlk150599663"/>
    </w:p>
    <w:p w14:paraId="5C80E74E" w14:textId="5ECAF528" w:rsidR="00143D08" w:rsidRPr="00DD476C" w:rsidRDefault="00143D08" w:rsidP="00DD476C">
      <w:pPr>
        <w:spacing w:after="0" w:line="240" w:lineRule="auto"/>
        <w:contextualSpacing/>
        <w:jc w:val="both"/>
        <w:rPr>
          <w:rFonts w:cs="Times New Roman"/>
          <w:bCs/>
          <w:szCs w:val="28"/>
        </w:rPr>
      </w:pPr>
      <w:r w:rsidRPr="00DD476C">
        <w:rPr>
          <w:rFonts w:cs="Times New Roman"/>
          <w:bCs/>
          <w:szCs w:val="28"/>
          <w:lang w:val="kk-KZ"/>
        </w:rPr>
        <w:t>Таб</w:t>
      </w:r>
      <w:r w:rsidR="00835DE9" w:rsidRPr="00DD476C">
        <w:rPr>
          <w:rFonts w:cs="Times New Roman"/>
          <w:bCs/>
          <w:szCs w:val="28"/>
          <w:lang w:val="kk-KZ"/>
        </w:rPr>
        <w:t xml:space="preserve">лица </w:t>
      </w:r>
      <w:r w:rsidR="0076161A">
        <w:rPr>
          <w:rFonts w:cs="Times New Roman"/>
          <w:bCs/>
          <w:szCs w:val="28"/>
        </w:rPr>
        <w:t>19</w:t>
      </w:r>
      <w:r w:rsidR="00DD476C" w:rsidRPr="00DD476C">
        <w:rPr>
          <w:rFonts w:cs="Times New Roman"/>
          <w:bCs/>
          <w:szCs w:val="28"/>
        </w:rPr>
        <w:t xml:space="preserve"> -</w:t>
      </w:r>
      <w:r w:rsidR="00835DE9" w:rsidRPr="00DD476C">
        <w:rPr>
          <w:rFonts w:cs="Times New Roman"/>
          <w:bCs/>
          <w:szCs w:val="28"/>
          <w:lang w:val="kk-KZ"/>
        </w:rPr>
        <w:t xml:space="preserve"> </w:t>
      </w:r>
      <w:r w:rsidRPr="00DD476C">
        <w:rPr>
          <w:rFonts w:cs="Times New Roman"/>
          <w:bCs/>
          <w:szCs w:val="28"/>
          <w:lang w:val="kk-KZ"/>
        </w:rPr>
        <w:t>Анализ ассоциаиций</w:t>
      </w:r>
      <w:r w:rsidR="00D77B6D" w:rsidRPr="00DD476C">
        <w:rPr>
          <w:rFonts w:cs="Times New Roman"/>
          <w:bCs/>
          <w:szCs w:val="28"/>
          <w:lang w:val="kk-KZ"/>
        </w:rPr>
        <w:t xml:space="preserve"> </w:t>
      </w:r>
      <w:r w:rsidRPr="00DD476C">
        <w:rPr>
          <w:rFonts w:cs="Times New Roman"/>
          <w:bCs/>
          <w:szCs w:val="28"/>
          <w:lang w:val="kk-KZ"/>
        </w:rPr>
        <w:t xml:space="preserve">полиморфизма в генах </w:t>
      </w:r>
      <w:r w:rsidRPr="00DD476C">
        <w:rPr>
          <w:rFonts w:cs="Times New Roman"/>
          <w:bCs/>
          <w:szCs w:val="28"/>
          <w:lang w:val="en-US"/>
        </w:rPr>
        <w:t>IL</w:t>
      </w:r>
      <w:r w:rsidRPr="00DD476C">
        <w:rPr>
          <w:rFonts w:cs="Times New Roman"/>
          <w:bCs/>
          <w:szCs w:val="28"/>
        </w:rPr>
        <w:t xml:space="preserve">-17, </w:t>
      </w:r>
      <w:r w:rsidRPr="00DD476C">
        <w:rPr>
          <w:rFonts w:cs="Times New Roman"/>
          <w:bCs/>
          <w:szCs w:val="28"/>
          <w:lang w:val="en-US"/>
        </w:rPr>
        <w:t>IL</w:t>
      </w:r>
      <w:r w:rsidRPr="00DD476C">
        <w:rPr>
          <w:rFonts w:cs="Times New Roman"/>
          <w:bCs/>
          <w:szCs w:val="28"/>
        </w:rPr>
        <w:t>-38 у пациентов с Европеоидной национальности</w:t>
      </w:r>
    </w:p>
    <w:p w14:paraId="565965B9" w14:textId="77777777" w:rsidR="00DD476C" w:rsidRPr="00DD476C" w:rsidRDefault="00DD476C" w:rsidP="00DD476C">
      <w:pPr>
        <w:spacing w:after="0" w:line="240" w:lineRule="auto"/>
        <w:contextualSpacing/>
        <w:rPr>
          <w:rFonts w:cs="Times New Roman"/>
          <w:b/>
          <w:szCs w:val="28"/>
        </w:rPr>
      </w:pPr>
    </w:p>
    <w:tbl>
      <w:tblPr>
        <w:tblStyle w:val="ac"/>
        <w:tblW w:w="0" w:type="auto"/>
        <w:tblInd w:w="108" w:type="dxa"/>
        <w:tblLook w:val="04A0" w:firstRow="1" w:lastRow="0" w:firstColumn="1" w:lastColumn="0" w:noHBand="0" w:noVBand="1"/>
      </w:tblPr>
      <w:tblGrid>
        <w:gridCol w:w="2323"/>
        <w:gridCol w:w="1095"/>
        <w:gridCol w:w="1656"/>
        <w:gridCol w:w="1787"/>
        <w:gridCol w:w="968"/>
        <w:gridCol w:w="1810"/>
      </w:tblGrid>
      <w:tr w:rsidR="002B136D" w:rsidRPr="00DD476C" w14:paraId="71865E99" w14:textId="77777777" w:rsidTr="00DD476C">
        <w:trPr>
          <w:trHeight w:val="176"/>
        </w:trPr>
        <w:tc>
          <w:tcPr>
            <w:tcW w:w="3418" w:type="dxa"/>
            <w:gridSpan w:val="2"/>
          </w:tcPr>
          <w:bookmarkEnd w:id="18"/>
          <w:p w14:paraId="6F920A31" w14:textId="4B5AD585" w:rsidR="00960AE8" w:rsidRPr="00DD476C" w:rsidRDefault="00960AE8" w:rsidP="00960AE8">
            <w:pPr>
              <w:jc w:val="both"/>
              <w:rPr>
                <w:rFonts w:cs="Times New Roman"/>
                <w:sz w:val="24"/>
                <w:szCs w:val="24"/>
                <w:lang w:val="en-US"/>
              </w:rPr>
            </w:pPr>
            <w:r w:rsidRPr="00DD476C">
              <w:rPr>
                <w:rFonts w:cs="Times New Roman"/>
                <w:sz w:val="24"/>
                <w:szCs w:val="24"/>
              </w:rPr>
              <w:t>Полиморфизм/ген</w:t>
            </w:r>
          </w:p>
        </w:tc>
        <w:tc>
          <w:tcPr>
            <w:tcW w:w="1656" w:type="dxa"/>
          </w:tcPr>
          <w:p w14:paraId="509DF761" w14:textId="539756A9" w:rsidR="00960AE8" w:rsidRPr="00DD476C" w:rsidRDefault="00960AE8" w:rsidP="00F35C00">
            <w:pPr>
              <w:jc w:val="both"/>
              <w:rPr>
                <w:rFonts w:cs="Times New Roman"/>
                <w:sz w:val="24"/>
                <w:szCs w:val="24"/>
                <w:lang w:val="en-US"/>
              </w:rPr>
            </w:pPr>
            <w:r w:rsidRPr="00DD476C">
              <w:rPr>
                <w:rFonts w:cs="Times New Roman"/>
                <w:sz w:val="24"/>
                <w:szCs w:val="24"/>
              </w:rPr>
              <w:t xml:space="preserve">Пациенты с ЭОП </w:t>
            </w:r>
            <w:r w:rsidRPr="00DD476C">
              <w:rPr>
                <w:rFonts w:cs="Times New Roman"/>
                <w:sz w:val="24"/>
                <w:szCs w:val="24"/>
                <w:lang w:val="en-US"/>
              </w:rPr>
              <w:t>(n=41)</w:t>
            </w:r>
          </w:p>
        </w:tc>
        <w:tc>
          <w:tcPr>
            <w:tcW w:w="1787" w:type="dxa"/>
          </w:tcPr>
          <w:p w14:paraId="57282E8F" w14:textId="3B6E495E" w:rsidR="00960AE8" w:rsidRPr="00DD476C" w:rsidRDefault="00960AE8" w:rsidP="00960AE8">
            <w:pPr>
              <w:jc w:val="both"/>
              <w:rPr>
                <w:rFonts w:cs="Times New Roman"/>
                <w:sz w:val="24"/>
                <w:szCs w:val="24"/>
                <w:lang w:val="en-US"/>
              </w:rPr>
            </w:pPr>
            <w:r w:rsidRPr="00DD476C">
              <w:rPr>
                <w:rFonts w:cs="Times New Roman"/>
                <w:sz w:val="24"/>
                <w:szCs w:val="24"/>
              </w:rPr>
              <w:t xml:space="preserve">Пациенты без ЭОП </w:t>
            </w:r>
            <w:r w:rsidRPr="00DD476C">
              <w:rPr>
                <w:rFonts w:cs="Times New Roman"/>
                <w:sz w:val="24"/>
                <w:szCs w:val="24"/>
                <w:lang w:val="en-US"/>
              </w:rPr>
              <w:t>(n=57)</w:t>
            </w:r>
          </w:p>
        </w:tc>
        <w:tc>
          <w:tcPr>
            <w:tcW w:w="968" w:type="dxa"/>
          </w:tcPr>
          <w:p w14:paraId="3B8F1A7D" w14:textId="77777777" w:rsidR="00960AE8" w:rsidRPr="00DD476C" w:rsidRDefault="00960AE8" w:rsidP="00960AE8">
            <w:pPr>
              <w:jc w:val="both"/>
              <w:rPr>
                <w:rFonts w:cs="Times New Roman"/>
                <w:sz w:val="24"/>
                <w:szCs w:val="24"/>
              </w:rPr>
            </w:pPr>
            <w:r w:rsidRPr="00DD476C">
              <w:rPr>
                <w:rFonts w:cs="Times New Roman"/>
                <w:sz w:val="24"/>
                <w:szCs w:val="24"/>
              </w:rPr>
              <w:t>p-value</w:t>
            </w:r>
          </w:p>
        </w:tc>
        <w:tc>
          <w:tcPr>
            <w:tcW w:w="1810" w:type="dxa"/>
          </w:tcPr>
          <w:p w14:paraId="7BF7EE85" w14:textId="77777777" w:rsidR="00960AE8" w:rsidRPr="00DD476C" w:rsidRDefault="00960AE8" w:rsidP="00960AE8">
            <w:pPr>
              <w:jc w:val="both"/>
              <w:rPr>
                <w:rFonts w:cs="Times New Roman"/>
                <w:sz w:val="24"/>
                <w:szCs w:val="24"/>
              </w:rPr>
            </w:pPr>
            <w:r w:rsidRPr="00DD476C">
              <w:rPr>
                <w:rFonts w:cs="Times New Roman"/>
                <w:sz w:val="24"/>
                <w:szCs w:val="24"/>
              </w:rPr>
              <w:t>OR(95% CI)</w:t>
            </w:r>
          </w:p>
        </w:tc>
      </w:tr>
      <w:tr w:rsidR="002B136D" w:rsidRPr="00DD476C" w14:paraId="410FFD03" w14:textId="77777777" w:rsidTr="00DD476C">
        <w:trPr>
          <w:trHeight w:val="221"/>
        </w:trPr>
        <w:tc>
          <w:tcPr>
            <w:tcW w:w="9639" w:type="dxa"/>
            <w:gridSpan w:val="6"/>
          </w:tcPr>
          <w:p w14:paraId="4AE7FE34" w14:textId="77777777" w:rsidR="00960AE8" w:rsidRPr="00DD476C" w:rsidRDefault="00960AE8" w:rsidP="00960AE8">
            <w:pPr>
              <w:jc w:val="both"/>
              <w:rPr>
                <w:rFonts w:cs="Times New Roman"/>
                <w:sz w:val="24"/>
                <w:szCs w:val="24"/>
              </w:rPr>
            </w:pPr>
            <w:r w:rsidRPr="00DD476C">
              <w:rPr>
                <w:rFonts w:cs="Times New Roman"/>
                <w:sz w:val="24"/>
                <w:szCs w:val="24"/>
              </w:rPr>
              <w:t>rs9463772 /IL17F</w:t>
            </w:r>
          </w:p>
        </w:tc>
      </w:tr>
      <w:tr w:rsidR="002B136D" w:rsidRPr="00DD476C" w14:paraId="63655EDF" w14:textId="77777777" w:rsidTr="00DD476C">
        <w:trPr>
          <w:trHeight w:val="246"/>
        </w:trPr>
        <w:tc>
          <w:tcPr>
            <w:tcW w:w="2323" w:type="dxa"/>
            <w:vMerge w:val="restart"/>
          </w:tcPr>
          <w:p w14:paraId="1D6A3A0D" w14:textId="1D137BCF" w:rsidR="00960AE8" w:rsidRPr="00DD476C" w:rsidRDefault="00960AE8" w:rsidP="00960AE8">
            <w:pPr>
              <w:jc w:val="both"/>
              <w:rPr>
                <w:rFonts w:cs="Times New Roman"/>
                <w:sz w:val="24"/>
                <w:szCs w:val="24"/>
                <w:lang w:val="en-US"/>
              </w:rPr>
            </w:pPr>
            <w:r w:rsidRPr="00DD476C">
              <w:rPr>
                <w:rFonts w:cs="Times New Roman"/>
                <w:sz w:val="24"/>
                <w:szCs w:val="24"/>
              </w:rPr>
              <w:t>Генотип</w:t>
            </w:r>
          </w:p>
        </w:tc>
        <w:tc>
          <w:tcPr>
            <w:tcW w:w="1095" w:type="dxa"/>
          </w:tcPr>
          <w:p w14:paraId="0F41D606" w14:textId="77777777" w:rsidR="00960AE8" w:rsidRPr="00DD476C" w:rsidRDefault="00960AE8" w:rsidP="00960AE8">
            <w:pPr>
              <w:jc w:val="both"/>
              <w:rPr>
                <w:rFonts w:cs="Times New Roman"/>
                <w:sz w:val="24"/>
                <w:szCs w:val="24"/>
              </w:rPr>
            </w:pPr>
            <w:r w:rsidRPr="00DD476C">
              <w:rPr>
                <w:rFonts w:cs="Times New Roman"/>
                <w:sz w:val="24"/>
                <w:szCs w:val="24"/>
              </w:rPr>
              <w:t xml:space="preserve">CC </w:t>
            </w:r>
          </w:p>
        </w:tc>
        <w:tc>
          <w:tcPr>
            <w:tcW w:w="1656" w:type="dxa"/>
          </w:tcPr>
          <w:p w14:paraId="6BBC5ABA" w14:textId="77777777" w:rsidR="00960AE8" w:rsidRPr="00DD476C" w:rsidRDefault="00960AE8" w:rsidP="00960AE8">
            <w:pPr>
              <w:jc w:val="both"/>
              <w:rPr>
                <w:rFonts w:cs="Times New Roman"/>
                <w:sz w:val="24"/>
                <w:szCs w:val="24"/>
              </w:rPr>
            </w:pPr>
            <w:r w:rsidRPr="00DD476C">
              <w:rPr>
                <w:rFonts w:cs="Times New Roman"/>
                <w:sz w:val="24"/>
                <w:szCs w:val="24"/>
              </w:rPr>
              <w:t>33 (80.49%)</w:t>
            </w:r>
          </w:p>
        </w:tc>
        <w:tc>
          <w:tcPr>
            <w:tcW w:w="1787" w:type="dxa"/>
          </w:tcPr>
          <w:p w14:paraId="33F17467" w14:textId="77777777" w:rsidR="00960AE8" w:rsidRPr="00DD476C" w:rsidRDefault="00960AE8" w:rsidP="00960AE8">
            <w:pPr>
              <w:jc w:val="both"/>
              <w:rPr>
                <w:rFonts w:cs="Times New Roman"/>
                <w:sz w:val="24"/>
                <w:szCs w:val="24"/>
              </w:rPr>
            </w:pPr>
            <w:r w:rsidRPr="00DD476C">
              <w:rPr>
                <w:rFonts w:cs="Times New Roman"/>
                <w:sz w:val="24"/>
                <w:szCs w:val="24"/>
              </w:rPr>
              <w:t>38 (66.67%)</w:t>
            </w:r>
          </w:p>
        </w:tc>
        <w:tc>
          <w:tcPr>
            <w:tcW w:w="968" w:type="dxa"/>
            <w:vMerge w:val="restart"/>
          </w:tcPr>
          <w:p w14:paraId="510B5D5F" w14:textId="77777777" w:rsidR="00960AE8" w:rsidRPr="00DD476C" w:rsidRDefault="00960AE8" w:rsidP="00960AE8">
            <w:pPr>
              <w:jc w:val="both"/>
              <w:rPr>
                <w:rFonts w:cs="Times New Roman"/>
                <w:sz w:val="24"/>
                <w:szCs w:val="24"/>
                <w:lang w:val="en-US"/>
              </w:rPr>
            </w:pPr>
            <w:r w:rsidRPr="00DD476C">
              <w:rPr>
                <w:rFonts w:cs="Times New Roman"/>
                <w:sz w:val="24"/>
                <w:szCs w:val="24"/>
                <w:lang w:val="en-US"/>
              </w:rPr>
              <w:t>0</w:t>
            </w:r>
            <w:r w:rsidRPr="00DD476C">
              <w:rPr>
                <w:rFonts w:cs="Times New Roman"/>
                <w:sz w:val="24"/>
                <w:szCs w:val="24"/>
              </w:rPr>
              <w:t>.</w:t>
            </w:r>
            <w:r w:rsidRPr="00DD476C">
              <w:rPr>
                <w:rFonts w:cs="Times New Roman"/>
                <w:sz w:val="24"/>
                <w:szCs w:val="24"/>
                <w:lang w:val="en-US"/>
              </w:rPr>
              <w:t>5</w:t>
            </w:r>
          </w:p>
        </w:tc>
        <w:tc>
          <w:tcPr>
            <w:tcW w:w="1810" w:type="dxa"/>
            <w:vMerge w:val="restart"/>
          </w:tcPr>
          <w:p w14:paraId="3C09EA11" w14:textId="77777777" w:rsidR="00960AE8" w:rsidRPr="00DD476C" w:rsidRDefault="00960AE8" w:rsidP="00960AE8">
            <w:pPr>
              <w:jc w:val="both"/>
              <w:rPr>
                <w:rFonts w:cs="Times New Roman"/>
                <w:sz w:val="24"/>
                <w:szCs w:val="24"/>
              </w:rPr>
            </w:pPr>
            <w:r w:rsidRPr="00DD476C">
              <w:rPr>
                <w:rFonts w:cs="Times New Roman"/>
                <w:sz w:val="24"/>
                <w:szCs w:val="24"/>
                <w:lang w:val="en-US"/>
              </w:rPr>
              <w:t>1</w:t>
            </w:r>
            <w:r w:rsidRPr="00DD476C">
              <w:rPr>
                <w:rFonts w:cs="Times New Roman"/>
                <w:sz w:val="24"/>
                <w:szCs w:val="24"/>
              </w:rPr>
              <w:t>.2</w:t>
            </w:r>
            <w:r w:rsidRPr="00DD476C">
              <w:rPr>
                <w:rFonts w:cs="Times New Roman"/>
                <w:sz w:val="24"/>
                <w:szCs w:val="24"/>
                <w:lang w:val="en-US"/>
              </w:rPr>
              <w:t xml:space="preserve"> </w:t>
            </w:r>
            <w:r w:rsidRPr="00DD476C">
              <w:rPr>
                <w:rFonts w:cs="Times New Roman"/>
                <w:sz w:val="24"/>
                <w:szCs w:val="24"/>
              </w:rPr>
              <w:t>(0.7; 2.0)</w:t>
            </w:r>
          </w:p>
        </w:tc>
      </w:tr>
      <w:tr w:rsidR="002B136D" w:rsidRPr="00DD476C" w14:paraId="2CE2891E" w14:textId="77777777" w:rsidTr="00DD476C">
        <w:trPr>
          <w:trHeight w:val="246"/>
        </w:trPr>
        <w:tc>
          <w:tcPr>
            <w:tcW w:w="2323" w:type="dxa"/>
            <w:vMerge/>
          </w:tcPr>
          <w:p w14:paraId="42F582E7" w14:textId="77777777" w:rsidR="00960AE8" w:rsidRPr="00DD476C" w:rsidRDefault="00960AE8" w:rsidP="00960AE8">
            <w:pPr>
              <w:jc w:val="both"/>
              <w:rPr>
                <w:rFonts w:cs="Times New Roman"/>
                <w:sz w:val="24"/>
                <w:szCs w:val="24"/>
              </w:rPr>
            </w:pPr>
          </w:p>
        </w:tc>
        <w:tc>
          <w:tcPr>
            <w:tcW w:w="1095" w:type="dxa"/>
          </w:tcPr>
          <w:p w14:paraId="5FABB55A" w14:textId="77777777" w:rsidR="00960AE8" w:rsidRPr="00DD476C" w:rsidRDefault="00960AE8" w:rsidP="00960AE8">
            <w:pPr>
              <w:jc w:val="both"/>
              <w:rPr>
                <w:rFonts w:cs="Times New Roman"/>
                <w:sz w:val="24"/>
                <w:szCs w:val="24"/>
              </w:rPr>
            </w:pPr>
            <w:r w:rsidRPr="00DD476C">
              <w:rPr>
                <w:rFonts w:cs="Times New Roman"/>
                <w:sz w:val="24"/>
                <w:szCs w:val="24"/>
              </w:rPr>
              <w:t xml:space="preserve">CT </w:t>
            </w:r>
          </w:p>
        </w:tc>
        <w:tc>
          <w:tcPr>
            <w:tcW w:w="1656" w:type="dxa"/>
          </w:tcPr>
          <w:p w14:paraId="59592AF1" w14:textId="77777777" w:rsidR="00960AE8" w:rsidRPr="00DD476C" w:rsidRDefault="00960AE8" w:rsidP="00960AE8">
            <w:pPr>
              <w:jc w:val="both"/>
              <w:rPr>
                <w:rFonts w:cs="Times New Roman"/>
                <w:sz w:val="24"/>
                <w:szCs w:val="24"/>
              </w:rPr>
            </w:pPr>
            <w:r w:rsidRPr="00DD476C">
              <w:rPr>
                <w:rFonts w:cs="Times New Roman"/>
                <w:sz w:val="24"/>
                <w:szCs w:val="24"/>
              </w:rPr>
              <w:t>8 (19.51%)</w:t>
            </w:r>
          </w:p>
        </w:tc>
        <w:tc>
          <w:tcPr>
            <w:tcW w:w="1787" w:type="dxa"/>
          </w:tcPr>
          <w:p w14:paraId="4CD132F2" w14:textId="77777777" w:rsidR="00960AE8" w:rsidRPr="00DD476C" w:rsidRDefault="00960AE8" w:rsidP="00960AE8">
            <w:pPr>
              <w:jc w:val="both"/>
              <w:rPr>
                <w:rFonts w:cs="Times New Roman"/>
                <w:sz w:val="24"/>
                <w:szCs w:val="24"/>
              </w:rPr>
            </w:pPr>
            <w:r w:rsidRPr="00DD476C">
              <w:rPr>
                <w:rFonts w:cs="Times New Roman"/>
                <w:sz w:val="24"/>
                <w:szCs w:val="24"/>
              </w:rPr>
              <w:t>17 (29.82%)</w:t>
            </w:r>
          </w:p>
        </w:tc>
        <w:tc>
          <w:tcPr>
            <w:tcW w:w="968" w:type="dxa"/>
            <w:vMerge/>
          </w:tcPr>
          <w:p w14:paraId="109C4E20" w14:textId="77777777" w:rsidR="00960AE8" w:rsidRPr="00DD476C" w:rsidRDefault="00960AE8" w:rsidP="00960AE8">
            <w:pPr>
              <w:jc w:val="both"/>
              <w:rPr>
                <w:rFonts w:cs="Times New Roman"/>
                <w:sz w:val="24"/>
                <w:szCs w:val="24"/>
              </w:rPr>
            </w:pPr>
          </w:p>
        </w:tc>
        <w:tc>
          <w:tcPr>
            <w:tcW w:w="1810" w:type="dxa"/>
            <w:vMerge/>
          </w:tcPr>
          <w:p w14:paraId="576DDDCB" w14:textId="77777777" w:rsidR="00960AE8" w:rsidRPr="00DD476C" w:rsidRDefault="00960AE8" w:rsidP="00960AE8">
            <w:pPr>
              <w:jc w:val="both"/>
              <w:rPr>
                <w:rFonts w:cs="Times New Roman"/>
                <w:sz w:val="24"/>
                <w:szCs w:val="24"/>
              </w:rPr>
            </w:pPr>
          </w:p>
        </w:tc>
      </w:tr>
      <w:tr w:rsidR="002B136D" w:rsidRPr="00DD476C" w14:paraId="5C0DDA53" w14:textId="77777777" w:rsidTr="00DD476C">
        <w:trPr>
          <w:trHeight w:val="246"/>
        </w:trPr>
        <w:tc>
          <w:tcPr>
            <w:tcW w:w="2323" w:type="dxa"/>
            <w:vMerge/>
          </w:tcPr>
          <w:p w14:paraId="09B30B9C" w14:textId="77777777" w:rsidR="00960AE8" w:rsidRPr="00DD476C" w:rsidRDefault="00960AE8" w:rsidP="00960AE8">
            <w:pPr>
              <w:jc w:val="both"/>
              <w:rPr>
                <w:rFonts w:cs="Times New Roman"/>
                <w:sz w:val="24"/>
                <w:szCs w:val="24"/>
              </w:rPr>
            </w:pPr>
          </w:p>
        </w:tc>
        <w:tc>
          <w:tcPr>
            <w:tcW w:w="1095" w:type="dxa"/>
          </w:tcPr>
          <w:p w14:paraId="34D10CA1" w14:textId="77777777" w:rsidR="00960AE8" w:rsidRPr="00DD476C" w:rsidRDefault="00960AE8" w:rsidP="00960AE8">
            <w:pPr>
              <w:jc w:val="both"/>
              <w:rPr>
                <w:rFonts w:cs="Times New Roman"/>
                <w:sz w:val="24"/>
                <w:szCs w:val="24"/>
              </w:rPr>
            </w:pPr>
            <w:r w:rsidRPr="00DD476C">
              <w:rPr>
                <w:rFonts w:cs="Times New Roman"/>
                <w:sz w:val="24"/>
                <w:szCs w:val="24"/>
              </w:rPr>
              <w:t xml:space="preserve">TT </w:t>
            </w:r>
          </w:p>
        </w:tc>
        <w:tc>
          <w:tcPr>
            <w:tcW w:w="1656" w:type="dxa"/>
          </w:tcPr>
          <w:p w14:paraId="52DE55BA" w14:textId="77777777" w:rsidR="00960AE8" w:rsidRPr="00DD476C" w:rsidRDefault="00960AE8" w:rsidP="00960AE8">
            <w:pPr>
              <w:jc w:val="both"/>
              <w:rPr>
                <w:rFonts w:cs="Times New Roman"/>
                <w:sz w:val="24"/>
                <w:szCs w:val="24"/>
              </w:rPr>
            </w:pPr>
            <w:r w:rsidRPr="00DD476C">
              <w:rPr>
                <w:rFonts w:cs="Times New Roman"/>
                <w:sz w:val="24"/>
                <w:szCs w:val="24"/>
              </w:rPr>
              <w:t>0</w:t>
            </w:r>
          </w:p>
        </w:tc>
        <w:tc>
          <w:tcPr>
            <w:tcW w:w="1787" w:type="dxa"/>
          </w:tcPr>
          <w:p w14:paraId="368BA739" w14:textId="77777777" w:rsidR="00960AE8" w:rsidRPr="00DD476C" w:rsidRDefault="00960AE8" w:rsidP="00960AE8">
            <w:pPr>
              <w:jc w:val="both"/>
              <w:rPr>
                <w:rFonts w:cs="Times New Roman"/>
                <w:sz w:val="24"/>
                <w:szCs w:val="24"/>
              </w:rPr>
            </w:pPr>
            <w:r w:rsidRPr="00DD476C">
              <w:rPr>
                <w:rFonts w:cs="Times New Roman"/>
                <w:sz w:val="24"/>
                <w:szCs w:val="24"/>
              </w:rPr>
              <w:t>2 (3.51%)</w:t>
            </w:r>
          </w:p>
        </w:tc>
        <w:tc>
          <w:tcPr>
            <w:tcW w:w="968" w:type="dxa"/>
            <w:vMerge/>
          </w:tcPr>
          <w:p w14:paraId="269B09B4" w14:textId="77777777" w:rsidR="00960AE8" w:rsidRPr="00DD476C" w:rsidRDefault="00960AE8" w:rsidP="00960AE8">
            <w:pPr>
              <w:jc w:val="both"/>
              <w:rPr>
                <w:rFonts w:cs="Times New Roman"/>
                <w:sz w:val="24"/>
                <w:szCs w:val="24"/>
              </w:rPr>
            </w:pPr>
          </w:p>
        </w:tc>
        <w:tc>
          <w:tcPr>
            <w:tcW w:w="1810" w:type="dxa"/>
            <w:vMerge/>
          </w:tcPr>
          <w:p w14:paraId="24D0099F" w14:textId="77777777" w:rsidR="00960AE8" w:rsidRPr="00DD476C" w:rsidRDefault="00960AE8" w:rsidP="00960AE8">
            <w:pPr>
              <w:jc w:val="both"/>
              <w:rPr>
                <w:rFonts w:cs="Times New Roman"/>
                <w:sz w:val="24"/>
                <w:szCs w:val="24"/>
              </w:rPr>
            </w:pPr>
          </w:p>
        </w:tc>
      </w:tr>
      <w:tr w:rsidR="002B136D" w:rsidRPr="00DD476C" w14:paraId="3F7970C8" w14:textId="77777777" w:rsidTr="00DD476C">
        <w:trPr>
          <w:trHeight w:val="246"/>
        </w:trPr>
        <w:tc>
          <w:tcPr>
            <w:tcW w:w="2323" w:type="dxa"/>
            <w:vMerge w:val="restart"/>
          </w:tcPr>
          <w:p w14:paraId="1A7D7985" w14:textId="714CD86C" w:rsidR="00960AE8" w:rsidRPr="00DD476C" w:rsidRDefault="00960AE8" w:rsidP="00960AE8">
            <w:pPr>
              <w:jc w:val="both"/>
              <w:rPr>
                <w:rFonts w:cs="Times New Roman"/>
                <w:sz w:val="24"/>
                <w:szCs w:val="24"/>
                <w:lang w:val="en-US"/>
              </w:rPr>
            </w:pPr>
            <w:r w:rsidRPr="00DD476C">
              <w:rPr>
                <w:rFonts w:cs="Times New Roman"/>
                <w:sz w:val="24"/>
                <w:szCs w:val="24"/>
              </w:rPr>
              <w:t>Рецессивная модель</w:t>
            </w:r>
          </w:p>
        </w:tc>
        <w:tc>
          <w:tcPr>
            <w:tcW w:w="1095" w:type="dxa"/>
          </w:tcPr>
          <w:p w14:paraId="5AABB536" w14:textId="77777777" w:rsidR="00960AE8" w:rsidRPr="00DD476C" w:rsidRDefault="00960AE8" w:rsidP="00960AE8">
            <w:pPr>
              <w:jc w:val="both"/>
              <w:rPr>
                <w:rFonts w:cs="Times New Roman"/>
                <w:sz w:val="24"/>
                <w:szCs w:val="24"/>
              </w:rPr>
            </w:pPr>
            <w:r w:rsidRPr="00DD476C">
              <w:rPr>
                <w:rFonts w:cs="Times New Roman"/>
                <w:sz w:val="24"/>
                <w:szCs w:val="24"/>
              </w:rPr>
              <w:t>CC +</w:t>
            </w:r>
            <w:proofErr w:type="gramStart"/>
            <w:r w:rsidRPr="00DD476C">
              <w:rPr>
                <w:rFonts w:cs="Times New Roman"/>
                <w:sz w:val="24"/>
                <w:szCs w:val="24"/>
              </w:rPr>
              <w:t>СТ</w:t>
            </w:r>
            <w:proofErr w:type="gramEnd"/>
          </w:p>
        </w:tc>
        <w:tc>
          <w:tcPr>
            <w:tcW w:w="1656" w:type="dxa"/>
          </w:tcPr>
          <w:p w14:paraId="0853C6EA" w14:textId="77777777" w:rsidR="00960AE8" w:rsidRPr="00DD476C" w:rsidRDefault="00960AE8" w:rsidP="00960AE8">
            <w:pPr>
              <w:jc w:val="both"/>
              <w:rPr>
                <w:rFonts w:cs="Times New Roman"/>
                <w:sz w:val="24"/>
                <w:szCs w:val="24"/>
              </w:rPr>
            </w:pPr>
            <w:r w:rsidRPr="00DD476C">
              <w:rPr>
                <w:rFonts w:cs="Times New Roman"/>
                <w:sz w:val="24"/>
                <w:szCs w:val="24"/>
              </w:rPr>
              <w:t xml:space="preserve">41 (100 %) </w:t>
            </w:r>
          </w:p>
        </w:tc>
        <w:tc>
          <w:tcPr>
            <w:tcW w:w="1787" w:type="dxa"/>
          </w:tcPr>
          <w:p w14:paraId="1102C0DF" w14:textId="77777777" w:rsidR="00960AE8" w:rsidRPr="00DD476C" w:rsidRDefault="00960AE8" w:rsidP="00960AE8">
            <w:pPr>
              <w:jc w:val="both"/>
              <w:rPr>
                <w:rFonts w:cs="Times New Roman"/>
                <w:sz w:val="24"/>
                <w:szCs w:val="24"/>
              </w:rPr>
            </w:pPr>
            <w:r w:rsidRPr="00DD476C">
              <w:rPr>
                <w:rFonts w:cs="Times New Roman"/>
                <w:sz w:val="24"/>
                <w:szCs w:val="24"/>
              </w:rPr>
              <w:t>55 (69.5 %)</w:t>
            </w:r>
          </w:p>
        </w:tc>
        <w:tc>
          <w:tcPr>
            <w:tcW w:w="968" w:type="dxa"/>
            <w:vMerge w:val="restart"/>
          </w:tcPr>
          <w:p w14:paraId="31ADF7E4" w14:textId="77777777" w:rsidR="00960AE8" w:rsidRPr="00DD476C" w:rsidRDefault="00960AE8" w:rsidP="00960AE8">
            <w:pPr>
              <w:jc w:val="both"/>
              <w:rPr>
                <w:rFonts w:cs="Times New Roman"/>
                <w:sz w:val="24"/>
                <w:szCs w:val="24"/>
                <w:lang w:val="en-GB"/>
              </w:rPr>
            </w:pPr>
            <w:r w:rsidRPr="00DD476C">
              <w:rPr>
                <w:rFonts w:cs="Times New Roman"/>
                <w:sz w:val="24"/>
                <w:szCs w:val="24"/>
              </w:rPr>
              <w:t>0.</w:t>
            </w:r>
            <w:r w:rsidRPr="00DD476C">
              <w:rPr>
                <w:rFonts w:cs="Times New Roman"/>
                <w:sz w:val="24"/>
                <w:szCs w:val="24"/>
                <w:lang w:val="en-GB"/>
              </w:rPr>
              <w:t>2</w:t>
            </w:r>
          </w:p>
        </w:tc>
        <w:tc>
          <w:tcPr>
            <w:tcW w:w="1810" w:type="dxa"/>
            <w:vMerge w:val="restart"/>
          </w:tcPr>
          <w:p w14:paraId="7A0BA73D" w14:textId="77777777" w:rsidR="00960AE8" w:rsidRPr="00DD476C" w:rsidRDefault="00960AE8" w:rsidP="00960AE8">
            <w:pPr>
              <w:jc w:val="center"/>
              <w:rPr>
                <w:rFonts w:eastAsia="Calibri" w:cs="Times New Roman"/>
                <w:sz w:val="24"/>
                <w:szCs w:val="24"/>
                <w:lang w:val="en-US"/>
              </w:rPr>
            </w:pPr>
            <w:r w:rsidRPr="00DD476C">
              <w:rPr>
                <w:rFonts w:eastAsia="Calibri" w:cs="Times New Roman"/>
                <w:sz w:val="24"/>
                <w:szCs w:val="24"/>
                <w:lang w:val="en-US"/>
              </w:rPr>
              <w:t>---------</w:t>
            </w:r>
          </w:p>
          <w:p w14:paraId="2C1BBEF4" w14:textId="77777777" w:rsidR="00960AE8" w:rsidRPr="00DD476C" w:rsidRDefault="00960AE8" w:rsidP="00960AE8">
            <w:pPr>
              <w:jc w:val="both"/>
              <w:rPr>
                <w:rFonts w:cs="Times New Roman"/>
                <w:sz w:val="24"/>
                <w:szCs w:val="24"/>
              </w:rPr>
            </w:pPr>
            <w:r w:rsidRPr="00DD476C">
              <w:rPr>
                <w:rFonts w:cs="Times New Roman"/>
                <w:sz w:val="24"/>
                <w:szCs w:val="24"/>
              </w:rPr>
              <w:t xml:space="preserve">  </w:t>
            </w:r>
          </w:p>
        </w:tc>
      </w:tr>
      <w:tr w:rsidR="002B136D" w:rsidRPr="00DD476C" w14:paraId="13A17A15" w14:textId="77777777" w:rsidTr="00DD476C">
        <w:trPr>
          <w:trHeight w:val="257"/>
        </w:trPr>
        <w:tc>
          <w:tcPr>
            <w:tcW w:w="2323" w:type="dxa"/>
            <w:vMerge/>
          </w:tcPr>
          <w:p w14:paraId="30E86FD7" w14:textId="77777777" w:rsidR="00960AE8" w:rsidRPr="00DD476C" w:rsidRDefault="00960AE8" w:rsidP="00960AE8">
            <w:pPr>
              <w:jc w:val="both"/>
              <w:rPr>
                <w:rFonts w:cs="Times New Roman"/>
                <w:sz w:val="24"/>
                <w:szCs w:val="24"/>
              </w:rPr>
            </w:pPr>
          </w:p>
        </w:tc>
        <w:tc>
          <w:tcPr>
            <w:tcW w:w="1095" w:type="dxa"/>
          </w:tcPr>
          <w:p w14:paraId="60175402" w14:textId="77777777" w:rsidR="00960AE8" w:rsidRPr="00DD476C" w:rsidRDefault="00960AE8" w:rsidP="00960AE8">
            <w:pPr>
              <w:jc w:val="both"/>
              <w:rPr>
                <w:rFonts w:cs="Times New Roman"/>
                <w:sz w:val="24"/>
                <w:szCs w:val="24"/>
              </w:rPr>
            </w:pPr>
            <w:r w:rsidRPr="00DD476C">
              <w:rPr>
                <w:rFonts w:cs="Times New Roman"/>
                <w:sz w:val="24"/>
                <w:szCs w:val="24"/>
              </w:rPr>
              <w:t xml:space="preserve">TT </w:t>
            </w:r>
          </w:p>
        </w:tc>
        <w:tc>
          <w:tcPr>
            <w:tcW w:w="1656" w:type="dxa"/>
          </w:tcPr>
          <w:p w14:paraId="79FEC6CF" w14:textId="77777777" w:rsidR="00960AE8" w:rsidRPr="00DD476C" w:rsidRDefault="00960AE8" w:rsidP="00960AE8">
            <w:pPr>
              <w:jc w:val="both"/>
              <w:rPr>
                <w:rFonts w:cs="Times New Roman"/>
                <w:sz w:val="24"/>
                <w:szCs w:val="24"/>
              </w:rPr>
            </w:pPr>
            <w:r w:rsidRPr="00DD476C">
              <w:rPr>
                <w:rFonts w:cs="Times New Roman"/>
                <w:sz w:val="24"/>
                <w:szCs w:val="24"/>
              </w:rPr>
              <w:t>0</w:t>
            </w:r>
          </w:p>
        </w:tc>
        <w:tc>
          <w:tcPr>
            <w:tcW w:w="1787" w:type="dxa"/>
          </w:tcPr>
          <w:p w14:paraId="3E1DFD98" w14:textId="7CB2B164" w:rsidR="00960AE8" w:rsidRPr="00DD476C" w:rsidRDefault="00960AE8" w:rsidP="00F35C00">
            <w:pPr>
              <w:jc w:val="both"/>
              <w:rPr>
                <w:rFonts w:cs="Times New Roman"/>
                <w:sz w:val="24"/>
                <w:szCs w:val="24"/>
              </w:rPr>
            </w:pPr>
            <w:r w:rsidRPr="00DD476C">
              <w:rPr>
                <w:rFonts w:cs="Times New Roman"/>
                <w:sz w:val="24"/>
                <w:szCs w:val="24"/>
              </w:rPr>
              <w:t>2 (3.51%)</w:t>
            </w:r>
          </w:p>
        </w:tc>
        <w:tc>
          <w:tcPr>
            <w:tcW w:w="968" w:type="dxa"/>
            <w:vMerge/>
          </w:tcPr>
          <w:p w14:paraId="1F967694" w14:textId="77777777" w:rsidR="00960AE8" w:rsidRPr="00DD476C" w:rsidRDefault="00960AE8" w:rsidP="00960AE8">
            <w:pPr>
              <w:jc w:val="both"/>
              <w:rPr>
                <w:rFonts w:cs="Times New Roman"/>
                <w:sz w:val="24"/>
                <w:szCs w:val="24"/>
              </w:rPr>
            </w:pPr>
          </w:p>
        </w:tc>
        <w:tc>
          <w:tcPr>
            <w:tcW w:w="1810" w:type="dxa"/>
            <w:vMerge/>
          </w:tcPr>
          <w:p w14:paraId="6A4FD4BE" w14:textId="77777777" w:rsidR="00960AE8" w:rsidRPr="00DD476C" w:rsidRDefault="00960AE8" w:rsidP="00960AE8">
            <w:pPr>
              <w:jc w:val="both"/>
              <w:rPr>
                <w:rFonts w:cs="Times New Roman"/>
                <w:sz w:val="24"/>
                <w:szCs w:val="24"/>
              </w:rPr>
            </w:pPr>
          </w:p>
        </w:tc>
      </w:tr>
      <w:tr w:rsidR="002B136D" w:rsidRPr="00DD476C" w14:paraId="6241FA64" w14:textId="77777777" w:rsidTr="00DD476C">
        <w:trPr>
          <w:trHeight w:val="257"/>
        </w:trPr>
        <w:tc>
          <w:tcPr>
            <w:tcW w:w="2323" w:type="dxa"/>
            <w:vMerge w:val="restart"/>
          </w:tcPr>
          <w:p w14:paraId="34D5312D" w14:textId="328D49D7" w:rsidR="00960AE8" w:rsidRPr="00DD476C" w:rsidRDefault="00960AE8" w:rsidP="00960AE8">
            <w:pPr>
              <w:jc w:val="both"/>
              <w:rPr>
                <w:rFonts w:cs="Times New Roman"/>
                <w:sz w:val="24"/>
                <w:szCs w:val="24"/>
              </w:rPr>
            </w:pPr>
            <w:r w:rsidRPr="00DD476C">
              <w:rPr>
                <w:rFonts w:cs="Times New Roman"/>
                <w:sz w:val="24"/>
                <w:szCs w:val="24"/>
                <w:lang w:val="kk-KZ"/>
              </w:rPr>
              <w:t>А</w:t>
            </w:r>
            <w:r w:rsidRPr="00DD476C">
              <w:rPr>
                <w:rFonts w:cs="Times New Roman"/>
                <w:sz w:val="24"/>
                <w:szCs w:val="24"/>
              </w:rPr>
              <w:t>ллель</w:t>
            </w:r>
          </w:p>
        </w:tc>
        <w:tc>
          <w:tcPr>
            <w:tcW w:w="1095" w:type="dxa"/>
          </w:tcPr>
          <w:p w14:paraId="71CC5201" w14:textId="77777777" w:rsidR="00960AE8" w:rsidRPr="00DD476C" w:rsidRDefault="00960AE8" w:rsidP="00960AE8">
            <w:pPr>
              <w:jc w:val="both"/>
              <w:rPr>
                <w:rFonts w:cs="Times New Roman"/>
                <w:sz w:val="24"/>
                <w:szCs w:val="24"/>
                <w:lang w:val="en-US"/>
              </w:rPr>
            </w:pPr>
            <w:r w:rsidRPr="00DD476C">
              <w:rPr>
                <w:rFonts w:cs="Times New Roman"/>
                <w:sz w:val="24"/>
                <w:szCs w:val="24"/>
              </w:rPr>
              <w:t>С</w:t>
            </w:r>
            <w:r w:rsidRPr="00DD476C">
              <w:rPr>
                <w:rFonts w:cs="Times New Roman"/>
                <w:sz w:val="24"/>
                <w:szCs w:val="24"/>
                <w:vertAlign w:val="superscript"/>
                <w:lang w:val="en-US"/>
              </w:rPr>
              <w:t>*</w:t>
            </w:r>
          </w:p>
        </w:tc>
        <w:tc>
          <w:tcPr>
            <w:tcW w:w="1656" w:type="dxa"/>
          </w:tcPr>
          <w:p w14:paraId="4672D537" w14:textId="77777777" w:rsidR="00960AE8" w:rsidRPr="00DD476C" w:rsidRDefault="00960AE8" w:rsidP="00960AE8">
            <w:pPr>
              <w:jc w:val="both"/>
              <w:rPr>
                <w:rFonts w:cs="Times New Roman"/>
                <w:sz w:val="24"/>
                <w:szCs w:val="24"/>
              </w:rPr>
            </w:pPr>
            <w:r w:rsidRPr="00DD476C">
              <w:rPr>
                <w:rFonts w:cs="Times New Roman"/>
                <w:sz w:val="24"/>
                <w:szCs w:val="24"/>
              </w:rPr>
              <w:t>74 (90.24%)</w:t>
            </w:r>
          </w:p>
        </w:tc>
        <w:tc>
          <w:tcPr>
            <w:tcW w:w="1787" w:type="dxa"/>
          </w:tcPr>
          <w:p w14:paraId="3E6A8B8D" w14:textId="77777777" w:rsidR="00960AE8" w:rsidRPr="00DD476C" w:rsidRDefault="00960AE8" w:rsidP="00960AE8">
            <w:pPr>
              <w:jc w:val="both"/>
              <w:rPr>
                <w:rFonts w:cs="Times New Roman"/>
                <w:sz w:val="24"/>
                <w:szCs w:val="24"/>
              </w:rPr>
            </w:pPr>
            <w:r w:rsidRPr="00DD476C">
              <w:rPr>
                <w:rFonts w:cs="Times New Roman"/>
                <w:sz w:val="24"/>
                <w:szCs w:val="24"/>
              </w:rPr>
              <w:t>93 (81.58%)</w:t>
            </w:r>
          </w:p>
        </w:tc>
        <w:tc>
          <w:tcPr>
            <w:tcW w:w="968" w:type="dxa"/>
            <w:vMerge w:val="restart"/>
          </w:tcPr>
          <w:p w14:paraId="187881A2" w14:textId="77777777" w:rsidR="00960AE8" w:rsidRPr="00DD476C" w:rsidRDefault="00960AE8" w:rsidP="00960AE8">
            <w:pPr>
              <w:jc w:val="both"/>
              <w:rPr>
                <w:rFonts w:cs="Times New Roman"/>
                <w:sz w:val="24"/>
                <w:szCs w:val="24"/>
              </w:rPr>
            </w:pPr>
            <w:r w:rsidRPr="00DD476C">
              <w:rPr>
                <w:rFonts w:cs="Times New Roman"/>
                <w:sz w:val="24"/>
                <w:szCs w:val="24"/>
              </w:rPr>
              <w:t>0.09</w:t>
            </w:r>
          </w:p>
        </w:tc>
        <w:tc>
          <w:tcPr>
            <w:tcW w:w="1810" w:type="dxa"/>
            <w:vMerge w:val="restart"/>
          </w:tcPr>
          <w:p w14:paraId="6211DC6C" w14:textId="77777777" w:rsidR="00960AE8" w:rsidRPr="00DD476C" w:rsidRDefault="00960AE8" w:rsidP="00960AE8">
            <w:pPr>
              <w:jc w:val="both"/>
              <w:rPr>
                <w:rFonts w:cs="Times New Roman"/>
                <w:sz w:val="24"/>
                <w:szCs w:val="24"/>
              </w:rPr>
            </w:pPr>
            <w:r w:rsidRPr="00DD476C">
              <w:rPr>
                <w:rFonts w:cs="Times New Roman"/>
                <w:sz w:val="24"/>
                <w:szCs w:val="24"/>
              </w:rPr>
              <w:t>0.5</w:t>
            </w:r>
            <w:r w:rsidRPr="00DD476C">
              <w:rPr>
                <w:rFonts w:cs="Times New Roman"/>
                <w:sz w:val="24"/>
                <w:szCs w:val="24"/>
                <w:lang w:val="en-US"/>
              </w:rPr>
              <w:t xml:space="preserve"> </w:t>
            </w:r>
            <w:r w:rsidRPr="00DD476C">
              <w:rPr>
                <w:rFonts w:cs="Times New Roman"/>
                <w:sz w:val="24"/>
                <w:szCs w:val="24"/>
              </w:rPr>
              <w:t>(0.2; 1.1)</w:t>
            </w:r>
          </w:p>
        </w:tc>
      </w:tr>
      <w:tr w:rsidR="002B136D" w:rsidRPr="00DD476C" w14:paraId="2D1F6AB6" w14:textId="77777777" w:rsidTr="00DD476C">
        <w:trPr>
          <w:trHeight w:val="257"/>
        </w:trPr>
        <w:tc>
          <w:tcPr>
            <w:tcW w:w="2323" w:type="dxa"/>
            <w:vMerge/>
          </w:tcPr>
          <w:p w14:paraId="182FC265" w14:textId="77777777" w:rsidR="00960AE8" w:rsidRPr="00DD476C" w:rsidRDefault="00960AE8" w:rsidP="00960AE8">
            <w:pPr>
              <w:jc w:val="both"/>
              <w:rPr>
                <w:rFonts w:cs="Times New Roman"/>
                <w:sz w:val="24"/>
                <w:szCs w:val="24"/>
              </w:rPr>
            </w:pPr>
          </w:p>
        </w:tc>
        <w:tc>
          <w:tcPr>
            <w:tcW w:w="1095" w:type="dxa"/>
          </w:tcPr>
          <w:p w14:paraId="7B415E07" w14:textId="77777777" w:rsidR="00960AE8" w:rsidRPr="00DD476C" w:rsidRDefault="00960AE8" w:rsidP="00960AE8">
            <w:pPr>
              <w:jc w:val="both"/>
              <w:rPr>
                <w:rFonts w:cs="Times New Roman"/>
                <w:sz w:val="24"/>
                <w:szCs w:val="24"/>
              </w:rPr>
            </w:pPr>
            <w:r w:rsidRPr="00DD476C">
              <w:rPr>
                <w:rFonts w:cs="Times New Roman"/>
                <w:sz w:val="24"/>
                <w:szCs w:val="24"/>
              </w:rPr>
              <w:t>Т</w:t>
            </w:r>
          </w:p>
        </w:tc>
        <w:tc>
          <w:tcPr>
            <w:tcW w:w="1656" w:type="dxa"/>
          </w:tcPr>
          <w:p w14:paraId="15C11B5F" w14:textId="6FE47E30" w:rsidR="00960AE8" w:rsidRPr="00DD476C" w:rsidRDefault="00960AE8" w:rsidP="00F35C00">
            <w:pPr>
              <w:jc w:val="both"/>
              <w:rPr>
                <w:rFonts w:cs="Times New Roman"/>
                <w:sz w:val="24"/>
                <w:szCs w:val="24"/>
              </w:rPr>
            </w:pPr>
            <w:r w:rsidRPr="00DD476C">
              <w:rPr>
                <w:rFonts w:cs="Times New Roman"/>
                <w:sz w:val="24"/>
                <w:szCs w:val="24"/>
              </w:rPr>
              <w:t>8 (9.76%)</w:t>
            </w:r>
          </w:p>
        </w:tc>
        <w:tc>
          <w:tcPr>
            <w:tcW w:w="1787" w:type="dxa"/>
          </w:tcPr>
          <w:p w14:paraId="2C43C37C" w14:textId="2BC9EDC0" w:rsidR="00960AE8" w:rsidRPr="00DD476C" w:rsidRDefault="00960AE8" w:rsidP="00F35C00">
            <w:pPr>
              <w:jc w:val="both"/>
              <w:rPr>
                <w:rFonts w:cs="Times New Roman"/>
                <w:sz w:val="24"/>
                <w:szCs w:val="24"/>
              </w:rPr>
            </w:pPr>
            <w:r w:rsidRPr="00DD476C">
              <w:rPr>
                <w:rFonts w:cs="Times New Roman"/>
                <w:sz w:val="24"/>
                <w:szCs w:val="24"/>
              </w:rPr>
              <w:t>21 (18.42%)</w:t>
            </w:r>
          </w:p>
        </w:tc>
        <w:tc>
          <w:tcPr>
            <w:tcW w:w="968" w:type="dxa"/>
            <w:vMerge/>
          </w:tcPr>
          <w:p w14:paraId="3EAF39D3" w14:textId="77777777" w:rsidR="00960AE8" w:rsidRPr="00DD476C" w:rsidRDefault="00960AE8" w:rsidP="00960AE8">
            <w:pPr>
              <w:jc w:val="both"/>
              <w:rPr>
                <w:rFonts w:cs="Times New Roman"/>
                <w:sz w:val="24"/>
                <w:szCs w:val="24"/>
              </w:rPr>
            </w:pPr>
          </w:p>
        </w:tc>
        <w:tc>
          <w:tcPr>
            <w:tcW w:w="1810" w:type="dxa"/>
            <w:vMerge/>
          </w:tcPr>
          <w:p w14:paraId="634A1BF5" w14:textId="77777777" w:rsidR="00960AE8" w:rsidRPr="00DD476C" w:rsidRDefault="00960AE8" w:rsidP="00960AE8">
            <w:pPr>
              <w:jc w:val="both"/>
              <w:rPr>
                <w:rFonts w:cs="Times New Roman"/>
                <w:sz w:val="24"/>
                <w:szCs w:val="24"/>
              </w:rPr>
            </w:pPr>
          </w:p>
        </w:tc>
      </w:tr>
      <w:tr w:rsidR="002B136D" w:rsidRPr="00DD476C" w14:paraId="1D433F9E" w14:textId="77777777" w:rsidTr="00DD476C">
        <w:trPr>
          <w:trHeight w:val="246"/>
        </w:trPr>
        <w:tc>
          <w:tcPr>
            <w:tcW w:w="9639" w:type="dxa"/>
            <w:gridSpan w:val="6"/>
          </w:tcPr>
          <w:p w14:paraId="294D8064" w14:textId="77777777" w:rsidR="00960AE8" w:rsidRPr="00DD476C" w:rsidRDefault="00960AE8" w:rsidP="00960AE8">
            <w:pPr>
              <w:jc w:val="both"/>
              <w:rPr>
                <w:rFonts w:cs="Times New Roman"/>
                <w:sz w:val="24"/>
                <w:szCs w:val="24"/>
              </w:rPr>
            </w:pPr>
            <w:r w:rsidRPr="00DD476C">
              <w:rPr>
                <w:rFonts w:cs="Times New Roman"/>
                <w:sz w:val="24"/>
                <w:szCs w:val="24"/>
              </w:rPr>
              <w:t>rs3811058 /IL</w:t>
            </w:r>
            <w:r w:rsidRPr="00DD476C">
              <w:rPr>
                <w:rFonts w:cs="Times New Roman"/>
                <w:sz w:val="24"/>
                <w:szCs w:val="24"/>
                <w:lang w:val="en-US"/>
              </w:rPr>
              <w:t>1F10</w:t>
            </w:r>
          </w:p>
        </w:tc>
      </w:tr>
      <w:tr w:rsidR="002B136D" w:rsidRPr="00DD476C" w14:paraId="426B8248" w14:textId="77777777" w:rsidTr="00DD476C">
        <w:trPr>
          <w:trHeight w:val="257"/>
        </w:trPr>
        <w:tc>
          <w:tcPr>
            <w:tcW w:w="2323" w:type="dxa"/>
            <w:vMerge w:val="restart"/>
          </w:tcPr>
          <w:p w14:paraId="37EC4839" w14:textId="6074D405" w:rsidR="00960AE8" w:rsidRPr="00DD476C" w:rsidRDefault="00960AE8" w:rsidP="00960AE8">
            <w:pPr>
              <w:jc w:val="both"/>
              <w:rPr>
                <w:rFonts w:cs="Times New Roman"/>
                <w:sz w:val="24"/>
                <w:szCs w:val="24"/>
                <w:lang w:val="en-US"/>
              </w:rPr>
            </w:pPr>
            <w:r w:rsidRPr="00DD476C">
              <w:rPr>
                <w:rFonts w:cs="Times New Roman"/>
                <w:sz w:val="24"/>
                <w:szCs w:val="24"/>
              </w:rPr>
              <w:t>Генотип</w:t>
            </w:r>
          </w:p>
        </w:tc>
        <w:tc>
          <w:tcPr>
            <w:tcW w:w="1095" w:type="dxa"/>
          </w:tcPr>
          <w:p w14:paraId="7E9B728B" w14:textId="77777777" w:rsidR="00960AE8" w:rsidRPr="00DD476C" w:rsidRDefault="00960AE8" w:rsidP="00960AE8">
            <w:pPr>
              <w:jc w:val="both"/>
              <w:rPr>
                <w:rFonts w:cs="Times New Roman"/>
                <w:sz w:val="24"/>
                <w:szCs w:val="24"/>
              </w:rPr>
            </w:pPr>
            <w:r w:rsidRPr="00DD476C">
              <w:rPr>
                <w:rFonts w:cs="Times New Roman"/>
                <w:sz w:val="24"/>
                <w:szCs w:val="24"/>
              </w:rPr>
              <w:t xml:space="preserve">CC </w:t>
            </w:r>
          </w:p>
        </w:tc>
        <w:tc>
          <w:tcPr>
            <w:tcW w:w="1656" w:type="dxa"/>
          </w:tcPr>
          <w:p w14:paraId="2C863569" w14:textId="77777777" w:rsidR="00960AE8" w:rsidRPr="00DD476C" w:rsidRDefault="00960AE8" w:rsidP="00960AE8">
            <w:pPr>
              <w:jc w:val="both"/>
              <w:rPr>
                <w:rFonts w:cs="Times New Roman"/>
                <w:sz w:val="24"/>
                <w:szCs w:val="24"/>
              </w:rPr>
            </w:pPr>
            <w:r w:rsidRPr="00DD476C">
              <w:rPr>
                <w:rFonts w:cs="Times New Roman"/>
                <w:sz w:val="24"/>
                <w:szCs w:val="24"/>
              </w:rPr>
              <w:t>28 (68.29%)</w:t>
            </w:r>
          </w:p>
        </w:tc>
        <w:tc>
          <w:tcPr>
            <w:tcW w:w="1787" w:type="dxa"/>
          </w:tcPr>
          <w:p w14:paraId="33BBBAD0" w14:textId="77777777" w:rsidR="00960AE8" w:rsidRPr="00DD476C" w:rsidRDefault="00960AE8" w:rsidP="00960AE8">
            <w:pPr>
              <w:jc w:val="both"/>
              <w:rPr>
                <w:rFonts w:cs="Times New Roman"/>
                <w:sz w:val="24"/>
                <w:szCs w:val="24"/>
              </w:rPr>
            </w:pPr>
            <w:r w:rsidRPr="00DD476C">
              <w:rPr>
                <w:rFonts w:cs="Times New Roman"/>
                <w:sz w:val="24"/>
                <w:szCs w:val="24"/>
              </w:rPr>
              <w:t>25 (43.86%)</w:t>
            </w:r>
          </w:p>
        </w:tc>
        <w:tc>
          <w:tcPr>
            <w:tcW w:w="968" w:type="dxa"/>
            <w:vMerge w:val="restart"/>
          </w:tcPr>
          <w:p w14:paraId="43FA83D8" w14:textId="77777777" w:rsidR="00960AE8" w:rsidRPr="00DD476C" w:rsidRDefault="00960AE8" w:rsidP="00960AE8">
            <w:pPr>
              <w:jc w:val="both"/>
              <w:rPr>
                <w:rFonts w:cs="Times New Roman"/>
                <w:sz w:val="24"/>
                <w:szCs w:val="24"/>
                <w:lang w:val="en-US"/>
              </w:rPr>
            </w:pPr>
            <w:r w:rsidRPr="00DD476C">
              <w:rPr>
                <w:rFonts w:cs="Times New Roman"/>
                <w:sz w:val="24"/>
                <w:szCs w:val="24"/>
              </w:rPr>
              <w:t>0.02</w:t>
            </w:r>
          </w:p>
        </w:tc>
        <w:tc>
          <w:tcPr>
            <w:tcW w:w="1810" w:type="dxa"/>
            <w:vMerge w:val="restart"/>
          </w:tcPr>
          <w:p w14:paraId="7CA0DDD7" w14:textId="77777777" w:rsidR="00960AE8" w:rsidRPr="00DD476C" w:rsidRDefault="00960AE8" w:rsidP="00960AE8">
            <w:pPr>
              <w:jc w:val="both"/>
              <w:rPr>
                <w:rFonts w:cs="Times New Roman"/>
                <w:sz w:val="24"/>
                <w:szCs w:val="24"/>
              </w:rPr>
            </w:pPr>
            <w:r w:rsidRPr="00DD476C">
              <w:rPr>
                <w:rFonts w:cs="Times New Roman"/>
                <w:sz w:val="24"/>
                <w:szCs w:val="24"/>
              </w:rPr>
              <w:t>2.7</w:t>
            </w:r>
            <w:r w:rsidRPr="00DD476C">
              <w:rPr>
                <w:rFonts w:cs="Times New Roman"/>
                <w:sz w:val="24"/>
                <w:szCs w:val="24"/>
                <w:lang w:val="en-US"/>
              </w:rPr>
              <w:t xml:space="preserve"> </w:t>
            </w:r>
            <w:r w:rsidRPr="00DD476C">
              <w:rPr>
                <w:rFonts w:cs="Times New Roman"/>
                <w:sz w:val="24"/>
                <w:szCs w:val="24"/>
              </w:rPr>
              <w:t>(1</w:t>
            </w:r>
            <w:r w:rsidRPr="00DD476C">
              <w:rPr>
                <w:rFonts w:cs="Times New Roman"/>
                <w:sz w:val="24"/>
                <w:szCs w:val="24"/>
                <w:lang w:val="en-US"/>
              </w:rPr>
              <w:t>.</w:t>
            </w:r>
            <w:r w:rsidRPr="00DD476C">
              <w:rPr>
                <w:rFonts w:cs="Times New Roman"/>
                <w:sz w:val="24"/>
                <w:szCs w:val="24"/>
              </w:rPr>
              <w:t>2;</w:t>
            </w:r>
            <w:r w:rsidRPr="00DD476C">
              <w:rPr>
                <w:rFonts w:cs="Times New Roman"/>
                <w:sz w:val="24"/>
                <w:szCs w:val="24"/>
                <w:lang w:val="en-US"/>
              </w:rPr>
              <w:t xml:space="preserve"> </w:t>
            </w:r>
            <w:r w:rsidRPr="00DD476C">
              <w:rPr>
                <w:rFonts w:cs="Times New Roman"/>
                <w:sz w:val="24"/>
                <w:szCs w:val="24"/>
              </w:rPr>
              <w:t>6</w:t>
            </w:r>
            <w:r w:rsidRPr="00DD476C">
              <w:rPr>
                <w:rFonts w:cs="Times New Roman"/>
                <w:sz w:val="24"/>
                <w:szCs w:val="24"/>
                <w:lang w:val="en-US"/>
              </w:rPr>
              <w:t>.</w:t>
            </w:r>
            <w:r w:rsidRPr="00DD476C">
              <w:rPr>
                <w:rFonts w:cs="Times New Roman"/>
                <w:sz w:val="24"/>
                <w:szCs w:val="24"/>
              </w:rPr>
              <w:t>4)</w:t>
            </w:r>
          </w:p>
        </w:tc>
      </w:tr>
      <w:tr w:rsidR="002B136D" w:rsidRPr="00DD476C" w14:paraId="1B41422B" w14:textId="77777777" w:rsidTr="00DD476C">
        <w:trPr>
          <w:trHeight w:val="246"/>
        </w:trPr>
        <w:tc>
          <w:tcPr>
            <w:tcW w:w="2323" w:type="dxa"/>
            <w:vMerge/>
          </w:tcPr>
          <w:p w14:paraId="3171E3B1" w14:textId="77777777" w:rsidR="00960AE8" w:rsidRPr="00DD476C" w:rsidRDefault="00960AE8" w:rsidP="00960AE8">
            <w:pPr>
              <w:jc w:val="both"/>
              <w:rPr>
                <w:rFonts w:cs="Times New Roman"/>
                <w:sz w:val="24"/>
                <w:szCs w:val="24"/>
              </w:rPr>
            </w:pPr>
          </w:p>
        </w:tc>
        <w:tc>
          <w:tcPr>
            <w:tcW w:w="1095" w:type="dxa"/>
          </w:tcPr>
          <w:p w14:paraId="7938C77A" w14:textId="77777777" w:rsidR="00960AE8" w:rsidRPr="00DD476C" w:rsidRDefault="00960AE8" w:rsidP="00960AE8">
            <w:pPr>
              <w:jc w:val="both"/>
              <w:rPr>
                <w:rFonts w:cs="Times New Roman"/>
                <w:sz w:val="24"/>
                <w:szCs w:val="24"/>
                <w:lang w:val="en-US"/>
              </w:rPr>
            </w:pPr>
            <w:r w:rsidRPr="00DD476C">
              <w:rPr>
                <w:rFonts w:cs="Times New Roman"/>
                <w:sz w:val="24"/>
                <w:szCs w:val="24"/>
              </w:rPr>
              <w:t>TT</w:t>
            </w:r>
            <w:r w:rsidRPr="00DD476C">
              <w:rPr>
                <w:rFonts w:cs="Times New Roman"/>
                <w:sz w:val="24"/>
                <w:szCs w:val="24"/>
                <w:vertAlign w:val="superscript"/>
                <w:lang w:val="en-US"/>
              </w:rPr>
              <w:t>*</w:t>
            </w:r>
          </w:p>
        </w:tc>
        <w:tc>
          <w:tcPr>
            <w:tcW w:w="1656" w:type="dxa"/>
          </w:tcPr>
          <w:p w14:paraId="12498CC8" w14:textId="77777777" w:rsidR="00960AE8" w:rsidRPr="00DD476C" w:rsidRDefault="00960AE8" w:rsidP="00960AE8">
            <w:pPr>
              <w:jc w:val="both"/>
              <w:rPr>
                <w:rFonts w:cs="Times New Roman"/>
                <w:sz w:val="24"/>
                <w:szCs w:val="24"/>
              </w:rPr>
            </w:pPr>
            <w:r w:rsidRPr="00DD476C">
              <w:rPr>
                <w:rFonts w:cs="Times New Roman"/>
                <w:sz w:val="24"/>
                <w:szCs w:val="24"/>
              </w:rPr>
              <w:t>13 (31.71%)</w:t>
            </w:r>
          </w:p>
        </w:tc>
        <w:tc>
          <w:tcPr>
            <w:tcW w:w="1787" w:type="dxa"/>
          </w:tcPr>
          <w:p w14:paraId="2AAA9911" w14:textId="77777777" w:rsidR="00960AE8" w:rsidRPr="00DD476C" w:rsidRDefault="00960AE8" w:rsidP="00960AE8">
            <w:pPr>
              <w:jc w:val="both"/>
              <w:rPr>
                <w:rFonts w:cs="Times New Roman"/>
                <w:sz w:val="24"/>
                <w:szCs w:val="24"/>
              </w:rPr>
            </w:pPr>
            <w:r w:rsidRPr="00DD476C">
              <w:rPr>
                <w:rFonts w:cs="Times New Roman"/>
                <w:sz w:val="24"/>
                <w:szCs w:val="24"/>
              </w:rPr>
              <w:t>32 (56.14%)</w:t>
            </w:r>
          </w:p>
        </w:tc>
        <w:tc>
          <w:tcPr>
            <w:tcW w:w="968" w:type="dxa"/>
            <w:vMerge/>
          </w:tcPr>
          <w:p w14:paraId="6DBEF4CB" w14:textId="77777777" w:rsidR="00960AE8" w:rsidRPr="00DD476C" w:rsidRDefault="00960AE8" w:rsidP="00960AE8">
            <w:pPr>
              <w:jc w:val="both"/>
              <w:rPr>
                <w:rFonts w:cs="Times New Roman"/>
                <w:sz w:val="24"/>
                <w:szCs w:val="24"/>
              </w:rPr>
            </w:pPr>
          </w:p>
        </w:tc>
        <w:tc>
          <w:tcPr>
            <w:tcW w:w="1810" w:type="dxa"/>
            <w:vMerge/>
          </w:tcPr>
          <w:p w14:paraId="51C204DC" w14:textId="77777777" w:rsidR="00960AE8" w:rsidRPr="00DD476C" w:rsidRDefault="00960AE8" w:rsidP="00960AE8">
            <w:pPr>
              <w:jc w:val="both"/>
              <w:rPr>
                <w:rFonts w:cs="Times New Roman"/>
                <w:sz w:val="24"/>
                <w:szCs w:val="24"/>
              </w:rPr>
            </w:pPr>
          </w:p>
        </w:tc>
      </w:tr>
      <w:tr w:rsidR="002B136D" w:rsidRPr="00DD476C" w14:paraId="4461A718" w14:textId="77777777" w:rsidTr="00DD476C">
        <w:trPr>
          <w:trHeight w:val="246"/>
        </w:trPr>
        <w:tc>
          <w:tcPr>
            <w:tcW w:w="2323" w:type="dxa"/>
            <w:vMerge w:val="restart"/>
          </w:tcPr>
          <w:p w14:paraId="319421B8" w14:textId="22BE4A05" w:rsidR="00960AE8" w:rsidRPr="00DD476C" w:rsidRDefault="00960AE8" w:rsidP="00960AE8">
            <w:pPr>
              <w:jc w:val="both"/>
              <w:rPr>
                <w:rFonts w:cs="Times New Roman"/>
                <w:sz w:val="24"/>
                <w:szCs w:val="24"/>
              </w:rPr>
            </w:pPr>
            <w:r w:rsidRPr="00DD476C">
              <w:rPr>
                <w:rFonts w:cs="Times New Roman"/>
                <w:sz w:val="24"/>
                <w:szCs w:val="24"/>
                <w:lang w:val="kk-KZ"/>
              </w:rPr>
              <w:t>А</w:t>
            </w:r>
            <w:r w:rsidRPr="00DD476C">
              <w:rPr>
                <w:rFonts w:cs="Times New Roman"/>
                <w:sz w:val="24"/>
                <w:szCs w:val="24"/>
              </w:rPr>
              <w:t>ллель</w:t>
            </w:r>
          </w:p>
        </w:tc>
        <w:tc>
          <w:tcPr>
            <w:tcW w:w="1095" w:type="dxa"/>
          </w:tcPr>
          <w:p w14:paraId="1ADE6F3B" w14:textId="77777777" w:rsidR="00960AE8" w:rsidRPr="00DD476C" w:rsidRDefault="00960AE8" w:rsidP="00960AE8">
            <w:pPr>
              <w:jc w:val="both"/>
              <w:rPr>
                <w:rFonts w:cs="Times New Roman"/>
                <w:sz w:val="24"/>
                <w:szCs w:val="24"/>
              </w:rPr>
            </w:pPr>
            <w:r w:rsidRPr="00DD476C">
              <w:rPr>
                <w:rFonts w:cs="Times New Roman"/>
                <w:sz w:val="24"/>
                <w:szCs w:val="24"/>
              </w:rPr>
              <w:t>С</w:t>
            </w:r>
          </w:p>
        </w:tc>
        <w:tc>
          <w:tcPr>
            <w:tcW w:w="1656" w:type="dxa"/>
          </w:tcPr>
          <w:p w14:paraId="625DE6AD" w14:textId="77777777" w:rsidR="00960AE8" w:rsidRPr="00DD476C" w:rsidRDefault="00960AE8" w:rsidP="00960AE8">
            <w:pPr>
              <w:jc w:val="both"/>
              <w:rPr>
                <w:rFonts w:cs="Times New Roman"/>
                <w:sz w:val="24"/>
                <w:szCs w:val="24"/>
              </w:rPr>
            </w:pPr>
            <w:r w:rsidRPr="00DD476C">
              <w:rPr>
                <w:rFonts w:cs="Times New Roman"/>
                <w:sz w:val="24"/>
                <w:szCs w:val="24"/>
              </w:rPr>
              <w:t>56 (68.29%)</w:t>
            </w:r>
          </w:p>
        </w:tc>
        <w:tc>
          <w:tcPr>
            <w:tcW w:w="1787" w:type="dxa"/>
          </w:tcPr>
          <w:p w14:paraId="4767562F" w14:textId="77777777" w:rsidR="00960AE8" w:rsidRPr="00DD476C" w:rsidRDefault="00960AE8" w:rsidP="00960AE8">
            <w:pPr>
              <w:jc w:val="both"/>
              <w:rPr>
                <w:rFonts w:cs="Times New Roman"/>
                <w:sz w:val="24"/>
                <w:szCs w:val="24"/>
              </w:rPr>
            </w:pPr>
            <w:r w:rsidRPr="00DD476C">
              <w:rPr>
                <w:rFonts w:cs="Times New Roman"/>
                <w:sz w:val="24"/>
                <w:szCs w:val="24"/>
              </w:rPr>
              <w:t>50 (43.86%)</w:t>
            </w:r>
          </w:p>
        </w:tc>
        <w:tc>
          <w:tcPr>
            <w:tcW w:w="968" w:type="dxa"/>
            <w:vMerge w:val="restart"/>
          </w:tcPr>
          <w:p w14:paraId="62623305" w14:textId="77777777" w:rsidR="00960AE8" w:rsidRPr="00DD476C" w:rsidRDefault="00960AE8" w:rsidP="00960AE8">
            <w:pPr>
              <w:jc w:val="both"/>
              <w:rPr>
                <w:rFonts w:cs="Times New Roman"/>
                <w:sz w:val="24"/>
                <w:szCs w:val="24"/>
              </w:rPr>
            </w:pPr>
            <w:r w:rsidRPr="00DD476C">
              <w:rPr>
                <w:rFonts w:cs="Times New Roman"/>
                <w:sz w:val="24"/>
                <w:szCs w:val="24"/>
                <w:lang w:val="en-US"/>
              </w:rPr>
              <w:t>0</w:t>
            </w:r>
            <w:r w:rsidRPr="00DD476C">
              <w:rPr>
                <w:rFonts w:cs="Times New Roman"/>
                <w:sz w:val="24"/>
                <w:szCs w:val="24"/>
              </w:rPr>
              <w:t>.</w:t>
            </w:r>
            <w:r w:rsidRPr="00DD476C">
              <w:rPr>
                <w:rFonts w:cs="Times New Roman"/>
                <w:sz w:val="24"/>
                <w:szCs w:val="24"/>
                <w:lang w:val="en-US"/>
              </w:rPr>
              <w:t>001</w:t>
            </w:r>
          </w:p>
        </w:tc>
        <w:tc>
          <w:tcPr>
            <w:tcW w:w="1810" w:type="dxa"/>
            <w:vMerge w:val="restart"/>
          </w:tcPr>
          <w:p w14:paraId="6C4C40DF" w14:textId="77777777" w:rsidR="00960AE8" w:rsidRPr="00DD476C" w:rsidRDefault="00960AE8" w:rsidP="00960AE8">
            <w:pPr>
              <w:jc w:val="both"/>
              <w:rPr>
                <w:rFonts w:cs="Times New Roman"/>
                <w:sz w:val="24"/>
                <w:szCs w:val="24"/>
              </w:rPr>
            </w:pPr>
            <w:r w:rsidRPr="00DD476C">
              <w:rPr>
                <w:rFonts w:cs="Times New Roman"/>
                <w:sz w:val="24"/>
                <w:szCs w:val="24"/>
              </w:rPr>
              <w:t>2.8</w:t>
            </w:r>
            <w:r w:rsidRPr="00DD476C">
              <w:rPr>
                <w:rFonts w:cs="Times New Roman"/>
                <w:sz w:val="24"/>
                <w:szCs w:val="24"/>
                <w:lang w:val="en-US"/>
              </w:rPr>
              <w:t xml:space="preserve"> </w:t>
            </w:r>
            <w:r w:rsidRPr="00DD476C">
              <w:rPr>
                <w:rFonts w:cs="Times New Roman"/>
                <w:sz w:val="24"/>
                <w:szCs w:val="24"/>
              </w:rPr>
              <w:t>(1.5; 5.0)</w:t>
            </w:r>
          </w:p>
        </w:tc>
      </w:tr>
      <w:tr w:rsidR="002B136D" w:rsidRPr="00DD476C" w14:paraId="63EDEB04" w14:textId="77777777" w:rsidTr="00DD476C">
        <w:trPr>
          <w:trHeight w:val="246"/>
        </w:trPr>
        <w:tc>
          <w:tcPr>
            <w:tcW w:w="2323" w:type="dxa"/>
            <w:vMerge/>
          </w:tcPr>
          <w:p w14:paraId="715415C3" w14:textId="77777777" w:rsidR="00960AE8" w:rsidRPr="00DD476C" w:rsidRDefault="00960AE8" w:rsidP="00960AE8">
            <w:pPr>
              <w:jc w:val="both"/>
              <w:rPr>
                <w:rFonts w:cs="Times New Roman"/>
                <w:sz w:val="24"/>
                <w:szCs w:val="24"/>
              </w:rPr>
            </w:pPr>
          </w:p>
        </w:tc>
        <w:tc>
          <w:tcPr>
            <w:tcW w:w="1095" w:type="dxa"/>
          </w:tcPr>
          <w:p w14:paraId="41D3D612" w14:textId="77777777" w:rsidR="00960AE8" w:rsidRPr="00DD476C" w:rsidRDefault="00960AE8" w:rsidP="00960AE8">
            <w:pPr>
              <w:jc w:val="both"/>
              <w:rPr>
                <w:rFonts w:cs="Times New Roman"/>
                <w:sz w:val="24"/>
                <w:szCs w:val="24"/>
              </w:rPr>
            </w:pPr>
            <w:r w:rsidRPr="00DD476C">
              <w:rPr>
                <w:rFonts w:cs="Times New Roman"/>
                <w:sz w:val="24"/>
                <w:szCs w:val="24"/>
              </w:rPr>
              <w:t>Т</w:t>
            </w:r>
          </w:p>
        </w:tc>
        <w:tc>
          <w:tcPr>
            <w:tcW w:w="1656" w:type="dxa"/>
          </w:tcPr>
          <w:p w14:paraId="76C85085" w14:textId="77777777" w:rsidR="00960AE8" w:rsidRPr="00DD476C" w:rsidRDefault="00960AE8" w:rsidP="00960AE8">
            <w:pPr>
              <w:jc w:val="both"/>
              <w:rPr>
                <w:rFonts w:cs="Times New Roman"/>
                <w:sz w:val="24"/>
                <w:szCs w:val="24"/>
              </w:rPr>
            </w:pPr>
            <w:r w:rsidRPr="00DD476C">
              <w:rPr>
                <w:rFonts w:cs="Times New Roman"/>
                <w:sz w:val="24"/>
                <w:szCs w:val="24"/>
              </w:rPr>
              <w:t>26 (31.71%)</w:t>
            </w:r>
          </w:p>
        </w:tc>
        <w:tc>
          <w:tcPr>
            <w:tcW w:w="1787" w:type="dxa"/>
          </w:tcPr>
          <w:p w14:paraId="7DC5F24D" w14:textId="77777777" w:rsidR="00960AE8" w:rsidRPr="00DD476C" w:rsidRDefault="00960AE8" w:rsidP="00960AE8">
            <w:pPr>
              <w:jc w:val="both"/>
              <w:rPr>
                <w:rFonts w:cs="Times New Roman"/>
                <w:sz w:val="24"/>
                <w:szCs w:val="24"/>
              </w:rPr>
            </w:pPr>
            <w:r w:rsidRPr="00DD476C">
              <w:rPr>
                <w:rFonts w:cs="Times New Roman"/>
                <w:sz w:val="24"/>
                <w:szCs w:val="24"/>
              </w:rPr>
              <w:t>64 (56.14%)</w:t>
            </w:r>
          </w:p>
        </w:tc>
        <w:tc>
          <w:tcPr>
            <w:tcW w:w="968" w:type="dxa"/>
            <w:vMerge/>
          </w:tcPr>
          <w:p w14:paraId="2DED7B12" w14:textId="77777777" w:rsidR="00960AE8" w:rsidRPr="00DD476C" w:rsidRDefault="00960AE8" w:rsidP="00960AE8">
            <w:pPr>
              <w:jc w:val="both"/>
              <w:rPr>
                <w:rFonts w:cs="Times New Roman"/>
                <w:sz w:val="24"/>
                <w:szCs w:val="24"/>
              </w:rPr>
            </w:pPr>
          </w:p>
        </w:tc>
        <w:tc>
          <w:tcPr>
            <w:tcW w:w="1810" w:type="dxa"/>
            <w:vMerge/>
          </w:tcPr>
          <w:p w14:paraId="0A972833" w14:textId="77777777" w:rsidR="00960AE8" w:rsidRPr="00DD476C" w:rsidRDefault="00960AE8" w:rsidP="00960AE8">
            <w:pPr>
              <w:jc w:val="both"/>
              <w:rPr>
                <w:rFonts w:cs="Times New Roman"/>
                <w:sz w:val="24"/>
                <w:szCs w:val="24"/>
              </w:rPr>
            </w:pPr>
          </w:p>
        </w:tc>
      </w:tr>
      <w:tr w:rsidR="002B136D" w:rsidRPr="00DD476C" w14:paraId="6227F896" w14:textId="77777777" w:rsidTr="00DD476C">
        <w:trPr>
          <w:trHeight w:val="257"/>
        </w:trPr>
        <w:tc>
          <w:tcPr>
            <w:tcW w:w="9639" w:type="dxa"/>
            <w:gridSpan w:val="6"/>
          </w:tcPr>
          <w:p w14:paraId="395DE506" w14:textId="77777777" w:rsidR="00960AE8" w:rsidRPr="00DD476C" w:rsidRDefault="00960AE8" w:rsidP="00960AE8">
            <w:pPr>
              <w:jc w:val="both"/>
              <w:rPr>
                <w:rFonts w:cs="Times New Roman"/>
                <w:sz w:val="24"/>
                <w:szCs w:val="24"/>
              </w:rPr>
            </w:pPr>
            <w:r w:rsidRPr="00DD476C">
              <w:rPr>
                <w:rFonts w:cs="Times New Roman"/>
                <w:sz w:val="24"/>
                <w:szCs w:val="24"/>
              </w:rPr>
              <w:t>rs7570267 /IL</w:t>
            </w:r>
            <w:r w:rsidRPr="00DD476C">
              <w:rPr>
                <w:rFonts w:cs="Times New Roman"/>
                <w:sz w:val="24"/>
                <w:szCs w:val="24"/>
                <w:lang w:val="en-US"/>
              </w:rPr>
              <w:t>1F10</w:t>
            </w:r>
          </w:p>
        </w:tc>
      </w:tr>
      <w:tr w:rsidR="002B136D" w:rsidRPr="00DD476C" w14:paraId="2746B70D" w14:textId="77777777" w:rsidTr="00DD476C">
        <w:trPr>
          <w:trHeight w:val="246"/>
        </w:trPr>
        <w:tc>
          <w:tcPr>
            <w:tcW w:w="2323" w:type="dxa"/>
            <w:vMerge w:val="restart"/>
          </w:tcPr>
          <w:p w14:paraId="3278716D" w14:textId="4C273991" w:rsidR="00960AE8" w:rsidRPr="00DD476C" w:rsidRDefault="00960AE8" w:rsidP="00960AE8">
            <w:pPr>
              <w:jc w:val="both"/>
              <w:rPr>
                <w:rFonts w:cs="Times New Roman"/>
                <w:sz w:val="24"/>
                <w:szCs w:val="24"/>
                <w:lang w:val="en-US"/>
              </w:rPr>
            </w:pPr>
            <w:r w:rsidRPr="00DD476C">
              <w:rPr>
                <w:rFonts w:cs="Times New Roman"/>
                <w:sz w:val="24"/>
                <w:szCs w:val="24"/>
              </w:rPr>
              <w:t>Генотип</w:t>
            </w:r>
          </w:p>
        </w:tc>
        <w:tc>
          <w:tcPr>
            <w:tcW w:w="1095" w:type="dxa"/>
          </w:tcPr>
          <w:p w14:paraId="51A441C1" w14:textId="77777777" w:rsidR="00960AE8" w:rsidRPr="00DD476C" w:rsidRDefault="00960AE8" w:rsidP="00960AE8">
            <w:pPr>
              <w:jc w:val="both"/>
              <w:rPr>
                <w:rFonts w:cs="Times New Roman"/>
                <w:sz w:val="24"/>
                <w:szCs w:val="24"/>
              </w:rPr>
            </w:pPr>
            <w:r w:rsidRPr="00DD476C">
              <w:rPr>
                <w:rFonts w:cs="Times New Roman"/>
                <w:sz w:val="24"/>
                <w:szCs w:val="24"/>
              </w:rPr>
              <w:t xml:space="preserve">AA </w:t>
            </w:r>
          </w:p>
        </w:tc>
        <w:tc>
          <w:tcPr>
            <w:tcW w:w="1656" w:type="dxa"/>
          </w:tcPr>
          <w:p w14:paraId="257B7D2E" w14:textId="77777777" w:rsidR="00960AE8" w:rsidRPr="00DD476C" w:rsidRDefault="00960AE8" w:rsidP="00960AE8">
            <w:pPr>
              <w:jc w:val="both"/>
              <w:rPr>
                <w:rFonts w:cs="Times New Roman"/>
                <w:sz w:val="24"/>
                <w:szCs w:val="24"/>
              </w:rPr>
            </w:pPr>
            <w:r w:rsidRPr="00DD476C">
              <w:rPr>
                <w:rFonts w:cs="Times New Roman"/>
                <w:sz w:val="24"/>
                <w:szCs w:val="24"/>
              </w:rPr>
              <w:t>18 (43.9%)</w:t>
            </w:r>
          </w:p>
        </w:tc>
        <w:tc>
          <w:tcPr>
            <w:tcW w:w="1787" w:type="dxa"/>
          </w:tcPr>
          <w:p w14:paraId="0D7E0F0D" w14:textId="77777777" w:rsidR="00960AE8" w:rsidRPr="00DD476C" w:rsidRDefault="00960AE8" w:rsidP="00960AE8">
            <w:pPr>
              <w:jc w:val="both"/>
              <w:rPr>
                <w:rFonts w:cs="Times New Roman"/>
                <w:sz w:val="24"/>
                <w:szCs w:val="24"/>
              </w:rPr>
            </w:pPr>
            <w:r w:rsidRPr="00DD476C">
              <w:rPr>
                <w:rFonts w:cs="Times New Roman"/>
                <w:sz w:val="24"/>
                <w:szCs w:val="24"/>
              </w:rPr>
              <w:t>21 (36.84%)</w:t>
            </w:r>
          </w:p>
        </w:tc>
        <w:tc>
          <w:tcPr>
            <w:tcW w:w="968" w:type="dxa"/>
            <w:vMerge w:val="restart"/>
          </w:tcPr>
          <w:p w14:paraId="3814282F" w14:textId="77777777" w:rsidR="00960AE8" w:rsidRPr="00DD476C" w:rsidRDefault="00960AE8" w:rsidP="00960AE8">
            <w:pPr>
              <w:jc w:val="both"/>
              <w:rPr>
                <w:rFonts w:cs="Times New Roman"/>
                <w:sz w:val="24"/>
                <w:szCs w:val="24"/>
              </w:rPr>
            </w:pPr>
            <w:r w:rsidRPr="00DD476C">
              <w:rPr>
                <w:rFonts w:cs="Times New Roman"/>
                <w:sz w:val="24"/>
                <w:szCs w:val="24"/>
              </w:rPr>
              <w:t>0.7</w:t>
            </w:r>
          </w:p>
        </w:tc>
        <w:tc>
          <w:tcPr>
            <w:tcW w:w="1810" w:type="dxa"/>
            <w:vMerge w:val="restart"/>
          </w:tcPr>
          <w:p w14:paraId="78567155" w14:textId="77777777" w:rsidR="00960AE8" w:rsidRPr="00DD476C" w:rsidRDefault="00960AE8" w:rsidP="00960AE8">
            <w:pPr>
              <w:jc w:val="both"/>
              <w:rPr>
                <w:rFonts w:cs="Times New Roman"/>
                <w:sz w:val="24"/>
                <w:szCs w:val="24"/>
              </w:rPr>
            </w:pPr>
            <w:r w:rsidRPr="00DD476C">
              <w:rPr>
                <w:rFonts w:cs="Times New Roman"/>
                <w:sz w:val="24"/>
                <w:szCs w:val="24"/>
              </w:rPr>
              <w:t>1.0</w:t>
            </w:r>
            <w:r w:rsidRPr="00DD476C">
              <w:rPr>
                <w:rFonts w:cs="Times New Roman"/>
                <w:sz w:val="24"/>
                <w:szCs w:val="24"/>
                <w:lang w:val="en-US"/>
              </w:rPr>
              <w:t xml:space="preserve"> </w:t>
            </w:r>
            <w:r w:rsidRPr="00DD476C">
              <w:rPr>
                <w:rFonts w:cs="Times New Roman"/>
                <w:sz w:val="24"/>
                <w:szCs w:val="24"/>
              </w:rPr>
              <w:t>(0.7; 1.7)</w:t>
            </w:r>
          </w:p>
        </w:tc>
      </w:tr>
      <w:tr w:rsidR="002B136D" w:rsidRPr="00DD476C" w14:paraId="542269D0" w14:textId="77777777" w:rsidTr="00DD476C">
        <w:trPr>
          <w:trHeight w:val="246"/>
        </w:trPr>
        <w:tc>
          <w:tcPr>
            <w:tcW w:w="2323" w:type="dxa"/>
            <w:vMerge/>
          </w:tcPr>
          <w:p w14:paraId="5EE93A39" w14:textId="77777777" w:rsidR="00960AE8" w:rsidRPr="00DD476C" w:rsidRDefault="00960AE8" w:rsidP="00960AE8">
            <w:pPr>
              <w:jc w:val="both"/>
              <w:rPr>
                <w:rFonts w:cs="Times New Roman"/>
                <w:sz w:val="24"/>
                <w:szCs w:val="24"/>
              </w:rPr>
            </w:pPr>
          </w:p>
        </w:tc>
        <w:tc>
          <w:tcPr>
            <w:tcW w:w="1095" w:type="dxa"/>
          </w:tcPr>
          <w:p w14:paraId="346B8801" w14:textId="77777777" w:rsidR="00960AE8" w:rsidRPr="00DD476C" w:rsidRDefault="00960AE8" w:rsidP="00960AE8">
            <w:pPr>
              <w:jc w:val="both"/>
              <w:rPr>
                <w:rFonts w:cs="Times New Roman"/>
                <w:sz w:val="24"/>
                <w:szCs w:val="24"/>
              </w:rPr>
            </w:pPr>
            <w:r w:rsidRPr="00DD476C">
              <w:rPr>
                <w:rFonts w:cs="Times New Roman"/>
                <w:sz w:val="24"/>
                <w:szCs w:val="24"/>
              </w:rPr>
              <w:t xml:space="preserve">AG </w:t>
            </w:r>
          </w:p>
        </w:tc>
        <w:tc>
          <w:tcPr>
            <w:tcW w:w="1656" w:type="dxa"/>
          </w:tcPr>
          <w:p w14:paraId="1C4D6C67" w14:textId="77777777" w:rsidR="00960AE8" w:rsidRPr="00DD476C" w:rsidRDefault="00960AE8" w:rsidP="00960AE8">
            <w:pPr>
              <w:jc w:val="both"/>
              <w:rPr>
                <w:rFonts w:cs="Times New Roman"/>
                <w:sz w:val="24"/>
                <w:szCs w:val="24"/>
              </w:rPr>
            </w:pPr>
            <w:r w:rsidRPr="00DD476C">
              <w:rPr>
                <w:rFonts w:cs="Times New Roman"/>
                <w:sz w:val="24"/>
                <w:szCs w:val="24"/>
              </w:rPr>
              <w:t>16 (39.02%)</w:t>
            </w:r>
          </w:p>
        </w:tc>
        <w:tc>
          <w:tcPr>
            <w:tcW w:w="1787" w:type="dxa"/>
          </w:tcPr>
          <w:p w14:paraId="61445D52" w14:textId="77777777" w:rsidR="00960AE8" w:rsidRPr="00DD476C" w:rsidRDefault="00960AE8" w:rsidP="00960AE8">
            <w:pPr>
              <w:jc w:val="both"/>
              <w:rPr>
                <w:rFonts w:cs="Times New Roman"/>
                <w:sz w:val="24"/>
                <w:szCs w:val="24"/>
              </w:rPr>
            </w:pPr>
            <w:r w:rsidRPr="00DD476C">
              <w:rPr>
                <w:rFonts w:cs="Times New Roman"/>
                <w:sz w:val="24"/>
                <w:szCs w:val="24"/>
              </w:rPr>
              <w:t>26 (45.61%)</w:t>
            </w:r>
          </w:p>
        </w:tc>
        <w:tc>
          <w:tcPr>
            <w:tcW w:w="968" w:type="dxa"/>
            <w:vMerge/>
          </w:tcPr>
          <w:p w14:paraId="16BCEB95" w14:textId="77777777" w:rsidR="00960AE8" w:rsidRPr="00DD476C" w:rsidRDefault="00960AE8" w:rsidP="00960AE8">
            <w:pPr>
              <w:jc w:val="both"/>
              <w:rPr>
                <w:rFonts w:cs="Times New Roman"/>
                <w:sz w:val="24"/>
                <w:szCs w:val="24"/>
              </w:rPr>
            </w:pPr>
          </w:p>
        </w:tc>
        <w:tc>
          <w:tcPr>
            <w:tcW w:w="1810" w:type="dxa"/>
            <w:vMerge/>
          </w:tcPr>
          <w:p w14:paraId="68A66FF8" w14:textId="77777777" w:rsidR="00960AE8" w:rsidRPr="00DD476C" w:rsidRDefault="00960AE8" w:rsidP="00960AE8">
            <w:pPr>
              <w:jc w:val="both"/>
              <w:rPr>
                <w:rFonts w:cs="Times New Roman"/>
                <w:sz w:val="24"/>
                <w:szCs w:val="24"/>
              </w:rPr>
            </w:pPr>
          </w:p>
        </w:tc>
      </w:tr>
      <w:tr w:rsidR="002B136D" w:rsidRPr="00DD476C" w14:paraId="7B8348A2" w14:textId="77777777" w:rsidTr="00DD476C">
        <w:trPr>
          <w:trHeight w:val="246"/>
        </w:trPr>
        <w:tc>
          <w:tcPr>
            <w:tcW w:w="2323" w:type="dxa"/>
            <w:vMerge/>
          </w:tcPr>
          <w:p w14:paraId="47423FE8" w14:textId="77777777" w:rsidR="00960AE8" w:rsidRPr="00DD476C" w:rsidRDefault="00960AE8" w:rsidP="00960AE8">
            <w:pPr>
              <w:jc w:val="both"/>
              <w:rPr>
                <w:rFonts w:cs="Times New Roman"/>
                <w:sz w:val="24"/>
                <w:szCs w:val="24"/>
              </w:rPr>
            </w:pPr>
          </w:p>
        </w:tc>
        <w:tc>
          <w:tcPr>
            <w:tcW w:w="1095" w:type="dxa"/>
          </w:tcPr>
          <w:p w14:paraId="539A7DF9" w14:textId="77777777" w:rsidR="00960AE8" w:rsidRPr="00DD476C" w:rsidRDefault="00960AE8" w:rsidP="00960AE8">
            <w:pPr>
              <w:jc w:val="both"/>
              <w:rPr>
                <w:rFonts w:cs="Times New Roman"/>
                <w:sz w:val="24"/>
                <w:szCs w:val="24"/>
              </w:rPr>
            </w:pPr>
            <w:r w:rsidRPr="00DD476C">
              <w:rPr>
                <w:rFonts w:cs="Times New Roman"/>
                <w:sz w:val="24"/>
                <w:szCs w:val="24"/>
              </w:rPr>
              <w:t xml:space="preserve">GG </w:t>
            </w:r>
          </w:p>
        </w:tc>
        <w:tc>
          <w:tcPr>
            <w:tcW w:w="1656" w:type="dxa"/>
          </w:tcPr>
          <w:p w14:paraId="68DF995D" w14:textId="77777777" w:rsidR="00960AE8" w:rsidRPr="00DD476C" w:rsidRDefault="00960AE8" w:rsidP="00960AE8">
            <w:pPr>
              <w:jc w:val="both"/>
              <w:rPr>
                <w:rFonts w:cs="Times New Roman"/>
                <w:sz w:val="24"/>
                <w:szCs w:val="24"/>
              </w:rPr>
            </w:pPr>
            <w:r w:rsidRPr="00DD476C">
              <w:rPr>
                <w:rFonts w:cs="Times New Roman"/>
                <w:sz w:val="24"/>
                <w:szCs w:val="24"/>
              </w:rPr>
              <w:t>7 (17.07 %)</w:t>
            </w:r>
          </w:p>
        </w:tc>
        <w:tc>
          <w:tcPr>
            <w:tcW w:w="1787" w:type="dxa"/>
          </w:tcPr>
          <w:p w14:paraId="650B71CE" w14:textId="77777777" w:rsidR="00960AE8" w:rsidRPr="00DD476C" w:rsidRDefault="00960AE8" w:rsidP="00960AE8">
            <w:pPr>
              <w:jc w:val="both"/>
              <w:rPr>
                <w:rFonts w:cs="Times New Roman"/>
                <w:sz w:val="24"/>
                <w:szCs w:val="24"/>
              </w:rPr>
            </w:pPr>
            <w:r w:rsidRPr="00DD476C">
              <w:rPr>
                <w:rFonts w:cs="Times New Roman"/>
                <w:sz w:val="24"/>
                <w:szCs w:val="24"/>
              </w:rPr>
              <w:t>10 (17.54%)</w:t>
            </w:r>
          </w:p>
        </w:tc>
        <w:tc>
          <w:tcPr>
            <w:tcW w:w="968" w:type="dxa"/>
            <w:vMerge/>
          </w:tcPr>
          <w:p w14:paraId="0319D0B2" w14:textId="77777777" w:rsidR="00960AE8" w:rsidRPr="00DD476C" w:rsidRDefault="00960AE8" w:rsidP="00960AE8">
            <w:pPr>
              <w:jc w:val="both"/>
              <w:rPr>
                <w:rFonts w:cs="Times New Roman"/>
                <w:sz w:val="24"/>
                <w:szCs w:val="24"/>
              </w:rPr>
            </w:pPr>
          </w:p>
        </w:tc>
        <w:tc>
          <w:tcPr>
            <w:tcW w:w="1810" w:type="dxa"/>
            <w:vMerge/>
          </w:tcPr>
          <w:p w14:paraId="1067DC83" w14:textId="77777777" w:rsidR="00960AE8" w:rsidRPr="00DD476C" w:rsidRDefault="00960AE8" w:rsidP="00960AE8">
            <w:pPr>
              <w:jc w:val="both"/>
              <w:rPr>
                <w:rFonts w:cs="Times New Roman"/>
                <w:sz w:val="24"/>
                <w:szCs w:val="24"/>
              </w:rPr>
            </w:pPr>
          </w:p>
        </w:tc>
      </w:tr>
      <w:tr w:rsidR="002B136D" w:rsidRPr="00DD476C" w14:paraId="7BFB42D1" w14:textId="77777777" w:rsidTr="00DD476C">
        <w:trPr>
          <w:trHeight w:val="246"/>
        </w:trPr>
        <w:tc>
          <w:tcPr>
            <w:tcW w:w="2323" w:type="dxa"/>
            <w:vMerge w:val="restart"/>
          </w:tcPr>
          <w:p w14:paraId="768664C9" w14:textId="6F04C28D" w:rsidR="00960AE8" w:rsidRPr="00DD476C" w:rsidRDefault="00960AE8" w:rsidP="00960AE8">
            <w:pPr>
              <w:jc w:val="both"/>
              <w:rPr>
                <w:rFonts w:cs="Times New Roman"/>
                <w:sz w:val="24"/>
                <w:szCs w:val="24"/>
              </w:rPr>
            </w:pPr>
            <w:r w:rsidRPr="00DD476C">
              <w:rPr>
                <w:rFonts w:cs="Times New Roman"/>
                <w:sz w:val="24"/>
                <w:szCs w:val="24"/>
              </w:rPr>
              <w:t>Рецессивная модель</w:t>
            </w:r>
          </w:p>
        </w:tc>
        <w:tc>
          <w:tcPr>
            <w:tcW w:w="1095" w:type="dxa"/>
          </w:tcPr>
          <w:p w14:paraId="1CD56F7A" w14:textId="77777777" w:rsidR="00960AE8" w:rsidRPr="00DD476C" w:rsidRDefault="00960AE8" w:rsidP="00960AE8">
            <w:pPr>
              <w:jc w:val="both"/>
              <w:rPr>
                <w:rFonts w:cs="Times New Roman"/>
                <w:sz w:val="24"/>
                <w:szCs w:val="24"/>
              </w:rPr>
            </w:pPr>
            <w:r w:rsidRPr="00DD476C">
              <w:rPr>
                <w:rFonts w:cs="Times New Roman"/>
                <w:sz w:val="24"/>
                <w:szCs w:val="24"/>
              </w:rPr>
              <w:t xml:space="preserve">AA </w:t>
            </w:r>
          </w:p>
        </w:tc>
        <w:tc>
          <w:tcPr>
            <w:tcW w:w="1656" w:type="dxa"/>
          </w:tcPr>
          <w:p w14:paraId="432269EC" w14:textId="01B040EF" w:rsidR="00960AE8" w:rsidRPr="00DD476C" w:rsidRDefault="00F35C00" w:rsidP="00960AE8">
            <w:pPr>
              <w:jc w:val="both"/>
              <w:rPr>
                <w:rFonts w:cs="Times New Roman"/>
                <w:sz w:val="24"/>
                <w:szCs w:val="24"/>
              </w:rPr>
            </w:pPr>
            <w:r>
              <w:rPr>
                <w:rFonts w:cs="Times New Roman"/>
                <w:sz w:val="24"/>
                <w:szCs w:val="24"/>
              </w:rPr>
              <w:t xml:space="preserve">18 </w:t>
            </w:r>
            <w:r w:rsidR="00960AE8" w:rsidRPr="00DD476C">
              <w:rPr>
                <w:rFonts w:cs="Times New Roman"/>
                <w:sz w:val="24"/>
                <w:szCs w:val="24"/>
              </w:rPr>
              <w:t>(43.9%)</w:t>
            </w:r>
          </w:p>
        </w:tc>
        <w:tc>
          <w:tcPr>
            <w:tcW w:w="1787" w:type="dxa"/>
          </w:tcPr>
          <w:p w14:paraId="1A464AF8" w14:textId="77777777" w:rsidR="00960AE8" w:rsidRPr="00DD476C" w:rsidRDefault="00960AE8" w:rsidP="00960AE8">
            <w:pPr>
              <w:jc w:val="both"/>
              <w:rPr>
                <w:rFonts w:cs="Times New Roman"/>
                <w:sz w:val="24"/>
                <w:szCs w:val="24"/>
              </w:rPr>
            </w:pPr>
            <w:r w:rsidRPr="00DD476C">
              <w:rPr>
                <w:rFonts w:cs="Times New Roman"/>
                <w:sz w:val="24"/>
                <w:szCs w:val="24"/>
              </w:rPr>
              <w:t>21 (36.84%)</w:t>
            </w:r>
          </w:p>
        </w:tc>
        <w:tc>
          <w:tcPr>
            <w:tcW w:w="968" w:type="dxa"/>
            <w:vMerge w:val="restart"/>
          </w:tcPr>
          <w:p w14:paraId="15B6C378" w14:textId="77777777" w:rsidR="00960AE8" w:rsidRPr="00DD476C" w:rsidRDefault="00960AE8" w:rsidP="00960AE8">
            <w:pPr>
              <w:jc w:val="both"/>
              <w:rPr>
                <w:rFonts w:cs="Times New Roman"/>
                <w:sz w:val="24"/>
                <w:szCs w:val="24"/>
              </w:rPr>
            </w:pPr>
            <w:r w:rsidRPr="00DD476C">
              <w:rPr>
                <w:rFonts w:cs="Times New Roman"/>
                <w:sz w:val="24"/>
                <w:szCs w:val="24"/>
              </w:rPr>
              <w:t>0</w:t>
            </w:r>
            <w:r w:rsidRPr="00DD476C">
              <w:rPr>
                <w:rFonts w:cs="Times New Roman"/>
                <w:sz w:val="24"/>
                <w:szCs w:val="24"/>
                <w:lang w:val="en-GB"/>
              </w:rPr>
              <w:t>.</w:t>
            </w:r>
            <w:r w:rsidRPr="00DD476C">
              <w:rPr>
                <w:rFonts w:cs="Times New Roman"/>
                <w:sz w:val="24"/>
                <w:szCs w:val="24"/>
              </w:rPr>
              <w:t>5</w:t>
            </w:r>
          </w:p>
        </w:tc>
        <w:tc>
          <w:tcPr>
            <w:tcW w:w="1810" w:type="dxa"/>
            <w:vMerge w:val="restart"/>
          </w:tcPr>
          <w:p w14:paraId="1F758EFD" w14:textId="77777777" w:rsidR="00960AE8" w:rsidRPr="00DD476C" w:rsidRDefault="00960AE8" w:rsidP="00960AE8">
            <w:pPr>
              <w:jc w:val="both"/>
              <w:rPr>
                <w:rFonts w:cs="Times New Roman"/>
                <w:sz w:val="24"/>
                <w:szCs w:val="24"/>
              </w:rPr>
            </w:pPr>
            <w:r w:rsidRPr="00DD476C">
              <w:rPr>
                <w:rFonts w:cs="Times New Roman"/>
                <w:sz w:val="24"/>
                <w:szCs w:val="24"/>
              </w:rPr>
              <w:t>1.3 (0.5; 3.0)</w:t>
            </w:r>
          </w:p>
        </w:tc>
      </w:tr>
      <w:tr w:rsidR="002B136D" w:rsidRPr="00DD476C" w14:paraId="0424EF0F" w14:textId="77777777" w:rsidTr="00DD476C">
        <w:trPr>
          <w:trHeight w:val="257"/>
        </w:trPr>
        <w:tc>
          <w:tcPr>
            <w:tcW w:w="2323" w:type="dxa"/>
            <w:vMerge/>
          </w:tcPr>
          <w:p w14:paraId="713F53FE" w14:textId="77777777" w:rsidR="00960AE8" w:rsidRPr="00DD476C" w:rsidRDefault="00960AE8" w:rsidP="00960AE8">
            <w:pPr>
              <w:jc w:val="both"/>
              <w:rPr>
                <w:rFonts w:cs="Times New Roman"/>
                <w:sz w:val="24"/>
                <w:szCs w:val="24"/>
              </w:rPr>
            </w:pPr>
          </w:p>
        </w:tc>
        <w:tc>
          <w:tcPr>
            <w:tcW w:w="1095" w:type="dxa"/>
          </w:tcPr>
          <w:p w14:paraId="25863215" w14:textId="77777777" w:rsidR="00960AE8" w:rsidRPr="00DD476C" w:rsidRDefault="00960AE8" w:rsidP="00960AE8">
            <w:pPr>
              <w:jc w:val="both"/>
              <w:rPr>
                <w:rFonts w:cs="Times New Roman"/>
                <w:sz w:val="24"/>
                <w:szCs w:val="24"/>
              </w:rPr>
            </w:pPr>
            <w:r w:rsidRPr="00DD476C">
              <w:rPr>
                <w:rFonts w:cs="Times New Roman"/>
                <w:sz w:val="24"/>
                <w:szCs w:val="24"/>
              </w:rPr>
              <w:t>GG + AG</w:t>
            </w:r>
          </w:p>
        </w:tc>
        <w:tc>
          <w:tcPr>
            <w:tcW w:w="1656" w:type="dxa"/>
          </w:tcPr>
          <w:p w14:paraId="283C1E61" w14:textId="77777777" w:rsidR="00960AE8" w:rsidRPr="00DD476C" w:rsidRDefault="00960AE8" w:rsidP="00960AE8">
            <w:pPr>
              <w:jc w:val="both"/>
              <w:rPr>
                <w:rFonts w:cs="Times New Roman"/>
                <w:sz w:val="24"/>
                <w:szCs w:val="24"/>
              </w:rPr>
            </w:pPr>
            <w:r w:rsidRPr="00DD476C">
              <w:rPr>
                <w:rFonts w:cs="Times New Roman"/>
                <w:sz w:val="24"/>
                <w:szCs w:val="24"/>
              </w:rPr>
              <w:t>23 (56.1%)</w:t>
            </w:r>
          </w:p>
        </w:tc>
        <w:tc>
          <w:tcPr>
            <w:tcW w:w="1787" w:type="dxa"/>
          </w:tcPr>
          <w:p w14:paraId="25664568" w14:textId="77777777" w:rsidR="00960AE8" w:rsidRPr="00DD476C" w:rsidRDefault="00960AE8" w:rsidP="00960AE8">
            <w:pPr>
              <w:jc w:val="both"/>
              <w:rPr>
                <w:rFonts w:cs="Times New Roman"/>
                <w:sz w:val="24"/>
                <w:szCs w:val="24"/>
              </w:rPr>
            </w:pPr>
            <w:r w:rsidRPr="00DD476C">
              <w:rPr>
                <w:rFonts w:cs="Times New Roman"/>
                <w:sz w:val="24"/>
                <w:szCs w:val="24"/>
              </w:rPr>
              <w:t>36 (63.16%)</w:t>
            </w:r>
          </w:p>
        </w:tc>
        <w:tc>
          <w:tcPr>
            <w:tcW w:w="968" w:type="dxa"/>
            <w:vMerge/>
          </w:tcPr>
          <w:p w14:paraId="5F817C46" w14:textId="77777777" w:rsidR="00960AE8" w:rsidRPr="00DD476C" w:rsidRDefault="00960AE8" w:rsidP="00960AE8">
            <w:pPr>
              <w:jc w:val="both"/>
              <w:rPr>
                <w:rFonts w:cs="Times New Roman"/>
                <w:sz w:val="24"/>
                <w:szCs w:val="24"/>
              </w:rPr>
            </w:pPr>
          </w:p>
        </w:tc>
        <w:tc>
          <w:tcPr>
            <w:tcW w:w="1810" w:type="dxa"/>
            <w:vMerge/>
          </w:tcPr>
          <w:p w14:paraId="05896CF0" w14:textId="77777777" w:rsidR="00960AE8" w:rsidRPr="00DD476C" w:rsidRDefault="00960AE8" w:rsidP="00960AE8">
            <w:pPr>
              <w:jc w:val="both"/>
              <w:rPr>
                <w:rFonts w:cs="Times New Roman"/>
                <w:sz w:val="24"/>
                <w:szCs w:val="24"/>
              </w:rPr>
            </w:pPr>
          </w:p>
        </w:tc>
      </w:tr>
      <w:tr w:rsidR="002B136D" w:rsidRPr="00DD476C" w14:paraId="7A0136CF" w14:textId="77777777" w:rsidTr="00DD476C">
        <w:trPr>
          <w:trHeight w:val="257"/>
        </w:trPr>
        <w:tc>
          <w:tcPr>
            <w:tcW w:w="2323" w:type="dxa"/>
            <w:vMerge w:val="restart"/>
          </w:tcPr>
          <w:p w14:paraId="17F3CAF3" w14:textId="68506D54" w:rsidR="00960AE8" w:rsidRPr="00DD476C" w:rsidRDefault="00960AE8" w:rsidP="00960AE8">
            <w:pPr>
              <w:jc w:val="both"/>
              <w:rPr>
                <w:rFonts w:cs="Times New Roman"/>
                <w:sz w:val="24"/>
                <w:szCs w:val="24"/>
              </w:rPr>
            </w:pPr>
            <w:r w:rsidRPr="00DD476C">
              <w:rPr>
                <w:rFonts w:cs="Times New Roman"/>
                <w:sz w:val="24"/>
                <w:szCs w:val="24"/>
                <w:lang w:val="kk-KZ"/>
              </w:rPr>
              <w:t>А</w:t>
            </w:r>
            <w:r w:rsidRPr="00DD476C">
              <w:rPr>
                <w:rFonts w:cs="Times New Roman"/>
                <w:sz w:val="24"/>
                <w:szCs w:val="24"/>
              </w:rPr>
              <w:t>ллель</w:t>
            </w:r>
          </w:p>
        </w:tc>
        <w:tc>
          <w:tcPr>
            <w:tcW w:w="1095" w:type="dxa"/>
          </w:tcPr>
          <w:p w14:paraId="7EBD7E1A" w14:textId="77777777" w:rsidR="00960AE8" w:rsidRPr="00DD476C" w:rsidRDefault="00960AE8" w:rsidP="00960AE8">
            <w:pPr>
              <w:jc w:val="both"/>
              <w:rPr>
                <w:rFonts w:cs="Times New Roman"/>
                <w:sz w:val="24"/>
                <w:szCs w:val="24"/>
                <w:lang w:val="en-US"/>
              </w:rPr>
            </w:pPr>
            <w:r w:rsidRPr="00DD476C">
              <w:rPr>
                <w:rFonts w:cs="Times New Roman"/>
                <w:sz w:val="24"/>
                <w:szCs w:val="24"/>
                <w:lang w:val="en-US"/>
              </w:rPr>
              <w:t>A</w:t>
            </w:r>
          </w:p>
        </w:tc>
        <w:tc>
          <w:tcPr>
            <w:tcW w:w="1656" w:type="dxa"/>
          </w:tcPr>
          <w:p w14:paraId="469BA3A1" w14:textId="77777777" w:rsidR="00960AE8" w:rsidRPr="00DD476C" w:rsidRDefault="00960AE8" w:rsidP="00960AE8">
            <w:pPr>
              <w:jc w:val="both"/>
              <w:rPr>
                <w:rFonts w:cs="Times New Roman"/>
                <w:sz w:val="24"/>
                <w:szCs w:val="24"/>
              </w:rPr>
            </w:pPr>
            <w:r w:rsidRPr="00DD476C">
              <w:rPr>
                <w:rFonts w:cs="Times New Roman"/>
                <w:sz w:val="24"/>
                <w:szCs w:val="24"/>
              </w:rPr>
              <w:t>52 (63.41%)</w:t>
            </w:r>
          </w:p>
        </w:tc>
        <w:tc>
          <w:tcPr>
            <w:tcW w:w="1787" w:type="dxa"/>
          </w:tcPr>
          <w:p w14:paraId="5BE13ED0" w14:textId="77777777" w:rsidR="00960AE8" w:rsidRPr="00DD476C" w:rsidRDefault="00960AE8" w:rsidP="00960AE8">
            <w:pPr>
              <w:jc w:val="both"/>
              <w:rPr>
                <w:rFonts w:cs="Times New Roman"/>
                <w:sz w:val="24"/>
                <w:szCs w:val="24"/>
              </w:rPr>
            </w:pPr>
            <w:r w:rsidRPr="00DD476C">
              <w:rPr>
                <w:rFonts w:cs="Times New Roman"/>
                <w:sz w:val="24"/>
                <w:szCs w:val="24"/>
              </w:rPr>
              <w:t>68 (59.65%)</w:t>
            </w:r>
          </w:p>
        </w:tc>
        <w:tc>
          <w:tcPr>
            <w:tcW w:w="968" w:type="dxa"/>
            <w:vMerge w:val="restart"/>
          </w:tcPr>
          <w:p w14:paraId="6B339DE8" w14:textId="77777777" w:rsidR="00960AE8" w:rsidRPr="00DD476C" w:rsidRDefault="00960AE8" w:rsidP="00960AE8">
            <w:pPr>
              <w:jc w:val="both"/>
              <w:rPr>
                <w:rFonts w:cs="Times New Roman"/>
                <w:sz w:val="24"/>
                <w:szCs w:val="24"/>
              </w:rPr>
            </w:pPr>
            <w:r w:rsidRPr="00DD476C">
              <w:rPr>
                <w:rFonts w:cs="Times New Roman"/>
                <w:sz w:val="24"/>
                <w:szCs w:val="24"/>
              </w:rPr>
              <w:t>0.6</w:t>
            </w:r>
          </w:p>
        </w:tc>
        <w:tc>
          <w:tcPr>
            <w:tcW w:w="1810" w:type="dxa"/>
            <w:vMerge w:val="restart"/>
          </w:tcPr>
          <w:p w14:paraId="363DC026" w14:textId="77777777" w:rsidR="00960AE8" w:rsidRPr="00DD476C" w:rsidRDefault="00960AE8" w:rsidP="00960AE8">
            <w:pPr>
              <w:jc w:val="both"/>
              <w:rPr>
                <w:rFonts w:cs="Times New Roman"/>
                <w:sz w:val="24"/>
                <w:szCs w:val="24"/>
              </w:rPr>
            </w:pPr>
            <w:r w:rsidRPr="00DD476C">
              <w:rPr>
                <w:rFonts w:cs="Times New Roman"/>
                <w:sz w:val="24"/>
                <w:szCs w:val="24"/>
              </w:rPr>
              <w:t>1.2 (0.7; 2.1)</w:t>
            </w:r>
          </w:p>
        </w:tc>
      </w:tr>
      <w:tr w:rsidR="002B136D" w:rsidRPr="00DD476C" w14:paraId="7EDD8464" w14:textId="77777777" w:rsidTr="00DD476C">
        <w:trPr>
          <w:trHeight w:val="257"/>
        </w:trPr>
        <w:tc>
          <w:tcPr>
            <w:tcW w:w="2323" w:type="dxa"/>
            <w:vMerge/>
          </w:tcPr>
          <w:p w14:paraId="1BA0AE92" w14:textId="77777777" w:rsidR="00960AE8" w:rsidRPr="00DD476C" w:rsidRDefault="00960AE8" w:rsidP="00960AE8">
            <w:pPr>
              <w:jc w:val="both"/>
              <w:rPr>
                <w:rFonts w:cs="Times New Roman"/>
                <w:sz w:val="24"/>
                <w:szCs w:val="24"/>
              </w:rPr>
            </w:pPr>
          </w:p>
        </w:tc>
        <w:tc>
          <w:tcPr>
            <w:tcW w:w="1095" w:type="dxa"/>
          </w:tcPr>
          <w:p w14:paraId="7E55C4D1" w14:textId="77777777" w:rsidR="00960AE8" w:rsidRPr="00DD476C" w:rsidRDefault="00960AE8" w:rsidP="00960AE8">
            <w:pPr>
              <w:jc w:val="both"/>
              <w:rPr>
                <w:rFonts w:cs="Times New Roman"/>
                <w:sz w:val="24"/>
                <w:szCs w:val="24"/>
                <w:lang w:val="en-US"/>
              </w:rPr>
            </w:pPr>
            <w:r w:rsidRPr="00DD476C">
              <w:rPr>
                <w:rFonts w:cs="Times New Roman"/>
                <w:sz w:val="24"/>
                <w:szCs w:val="24"/>
                <w:lang w:val="en-US"/>
              </w:rPr>
              <w:t>G</w:t>
            </w:r>
            <w:r w:rsidRPr="00DD476C">
              <w:rPr>
                <w:rFonts w:cs="Times New Roman"/>
                <w:sz w:val="24"/>
                <w:szCs w:val="24"/>
                <w:vertAlign w:val="superscript"/>
                <w:lang w:val="en-US"/>
              </w:rPr>
              <w:t>*</w:t>
            </w:r>
          </w:p>
        </w:tc>
        <w:tc>
          <w:tcPr>
            <w:tcW w:w="1656" w:type="dxa"/>
          </w:tcPr>
          <w:p w14:paraId="3B6C8574" w14:textId="77777777" w:rsidR="00960AE8" w:rsidRPr="00DD476C" w:rsidRDefault="00960AE8" w:rsidP="00960AE8">
            <w:pPr>
              <w:jc w:val="both"/>
              <w:rPr>
                <w:rFonts w:cs="Times New Roman"/>
                <w:sz w:val="24"/>
                <w:szCs w:val="24"/>
              </w:rPr>
            </w:pPr>
            <w:r w:rsidRPr="00DD476C">
              <w:rPr>
                <w:rFonts w:cs="Times New Roman"/>
                <w:sz w:val="24"/>
                <w:szCs w:val="24"/>
              </w:rPr>
              <w:t>30 (36.59%)</w:t>
            </w:r>
          </w:p>
        </w:tc>
        <w:tc>
          <w:tcPr>
            <w:tcW w:w="1787" w:type="dxa"/>
          </w:tcPr>
          <w:p w14:paraId="4D4892D3" w14:textId="77777777" w:rsidR="00960AE8" w:rsidRPr="00DD476C" w:rsidRDefault="00960AE8" w:rsidP="00960AE8">
            <w:pPr>
              <w:jc w:val="both"/>
              <w:rPr>
                <w:rFonts w:cs="Times New Roman"/>
                <w:sz w:val="24"/>
                <w:szCs w:val="24"/>
              </w:rPr>
            </w:pPr>
            <w:r w:rsidRPr="00DD476C">
              <w:rPr>
                <w:rFonts w:cs="Times New Roman"/>
                <w:sz w:val="24"/>
                <w:szCs w:val="24"/>
              </w:rPr>
              <w:t>46 (40.35%)</w:t>
            </w:r>
          </w:p>
        </w:tc>
        <w:tc>
          <w:tcPr>
            <w:tcW w:w="968" w:type="dxa"/>
            <w:vMerge/>
          </w:tcPr>
          <w:p w14:paraId="743580C4" w14:textId="77777777" w:rsidR="00960AE8" w:rsidRPr="00DD476C" w:rsidRDefault="00960AE8" w:rsidP="00960AE8">
            <w:pPr>
              <w:jc w:val="both"/>
              <w:rPr>
                <w:rFonts w:cs="Times New Roman"/>
                <w:sz w:val="24"/>
                <w:szCs w:val="24"/>
              </w:rPr>
            </w:pPr>
          </w:p>
        </w:tc>
        <w:tc>
          <w:tcPr>
            <w:tcW w:w="1810" w:type="dxa"/>
            <w:vMerge/>
          </w:tcPr>
          <w:p w14:paraId="4399D06B" w14:textId="77777777" w:rsidR="00960AE8" w:rsidRPr="00DD476C" w:rsidRDefault="00960AE8" w:rsidP="00960AE8">
            <w:pPr>
              <w:jc w:val="both"/>
              <w:rPr>
                <w:rFonts w:cs="Times New Roman"/>
                <w:sz w:val="24"/>
                <w:szCs w:val="24"/>
              </w:rPr>
            </w:pPr>
          </w:p>
        </w:tc>
      </w:tr>
      <w:tr w:rsidR="00DD476C" w:rsidRPr="00DD476C" w14:paraId="594E59E7" w14:textId="77777777" w:rsidTr="00DD476C">
        <w:trPr>
          <w:trHeight w:val="70"/>
        </w:trPr>
        <w:tc>
          <w:tcPr>
            <w:tcW w:w="9639" w:type="dxa"/>
            <w:gridSpan w:val="6"/>
          </w:tcPr>
          <w:p w14:paraId="7BC540A8" w14:textId="2E78AE83" w:rsidR="00DD476C" w:rsidRPr="00DD476C" w:rsidRDefault="00DD476C" w:rsidP="00DD476C">
            <w:pPr>
              <w:ind w:firstLine="462"/>
              <w:jc w:val="both"/>
              <w:rPr>
                <w:rFonts w:cs="Times New Roman"/>
                <w:sz w:val="24"/>
                <w:szCs w:val="24"/>
                <w:lang w:val="kk-KZ"/>
              </w:rPr>
            </w:pPr>
            <w:r>
              <w:rPr>
                <w:rFonts w:cs="Times New Roman"/>
                <w:sz w:val="24"/>
                <w:szCs w:val="24"/>
                <w:lang w:val="kk-KZ"/>
              </w:rPr>
              <w:t xml:space="preserve">Примечание - </w:t>
            </w:r>
            <w:r w:rsidRPr="00DD476C">
              <w:rPr>
                <w:rFonts w:cs="Times New Roman"/>
                <w:sz w:val="24"/>
                <w:szCs w:val="24"/>
                <w:lang w:val="kk-KZ"/>
              </w:rPr>
              <w:t>* аллель рассматривается как референтный аллель</w:t>
            </w:r>
          </w:p>
        </w:tc>
      </w:tr>
    </w:tbl>
    <w:p w14:paraId="6CA747A7" w14:textId="77777777" w:rsidR="00960AE8" w:rsidRPr="002B136D" w:rsidRDefault="00960AE8" w:rsidP="006E7629">
      <w:pPr>
        <w:spacing w:after="0" w:line="360" w:lineRule="auto"/>
        <w:jc w:val="both"/>
        <w:rPr>
          <w:rFonts w:cs="Times New Roman"/>
          <w:sz w:val="20"/>
          <w:szCs w:val="28"/>
          <w:lang w:val="kk-KZ"/>
        </w:rPr>
      </w:pPr>
    </w:p>
    <w:p w14:paraId="3B054C8C" w14:textId="516367F4" w:rsidR="00702539" w:rsidRPr="002B136D" w:rsidRDefault="00702539" w:rsidP="00DD476C">
      <w:pPr>
        <w:spacing w:after="0" w:line="240" w:lineRule="auto"/>
        <w:ind w:firstLine="567"/>
        <w:contextualSpacing/>
        <w:jc w:val="both"/>
        <w:rPr>
          <w:rFonts w:cs="Times New Roman"/>
          <w:szCs w:val="28"/>
        </w:rPr>
      </w:pPr>
      <w:r w:rsidRPr="002B136D">
        <w:rPr>
          <w:rFonts w:cs="Times New Roman"/>
          <w:szCs w:val="28"/>
        </w:rPr>
        <w:lastRenderedPageBreak/>
        <w:t xml:space="preserve">Исследование по выявлению ассоциаций между полиморфизмами в генах IL-17 и IL-38 и наличием эндокринной офтальмопатии (ЭОП) среди пациентов азиатской национальности </w:t>
      </w:r>
      <w:r w:rsidR="0067708D">
        <w:rPr>
          <w:rFonts w:cs="Times New Roman"/>
          <w:szCs w:val="28"/>
        </w:rPr>
        <w:t xml:space="preserve">(таблица </w:t>
      </w:r>
      <w:r w:rsidR="00F77244" w:rsidRPr="002B136D">
        <w:rPr>
          <w:rFonts w:cs="Times New Roman"/>
          <w:szCs w:val="28"/>
        </w:rPr>
        <w:t>2</w:t>
      </w:r>
      <w:r w:rsidR="0076161A">
        <w:rPr>
          <w:rFonts w:cs="Times New Roman"/>
          <w:szCs w:val="28"/>
        </w:rPr>
        <w:t>0</w:t>
      </w:r>
      <w:r w:rsidR="00774688" w:rsidRPr="002B136D">
        <w:rPr>
          <w:rFonts w:cs="Times New Roman"/>
          <w:szCs w:val="28"/>
        </w:rPr>
        <w:t>)</w:t>
      </w:r>
      <w:r w:rsidR="003F7D83" w:rsidRPr="002B136D">
        <w:rPr>
          <w:rFonts w:cs="Times New Roman"/>
          <w:szCs w:val="28"/>
        </w:rPr>
        <w:t>,</w:t>
      </w:r>
      <w:r w:rsidR="00774688" w:rsidRPr="002B136D">
        <w:rPr>
          <w:rFonts w:cs="Times New Roman"/>
          <w:szCs w:val="28"/>
        </w:rPr>
        <w:t xml:space="preserve"> где были включены 187</w:t>
      </w:r>
      <w:r w:rsidRPr="002B136D">
        <w:rPr>
          <w:rFonts w:cs="Times New Roman"/>
          <w:szCs w:val="28"/>
        </w:rPr>
        <w:t xml:space="preserve"> пациентов азиатской национальности, разделенн</w:t>
      </w:r>
      <w:r w:rsidR="00774688" w:rsidRPr="002B136D">
        <w:rPr>
          <w:rFonts w:cs="Times New Roman"/>
          <w:szCs w:val="28"/>
        </w:rPr>
        <w:t>ые на две группы: без ЭОП (n=91) и с ЭОП (n=96</w:t>
      </w:r>
      <w:r w:rsidRPr="002B136D">
        <w:rPr>
          <w:rFonts w:cs="Times New Roman"/>
          <w:szCs w:val="28"/>
        </w:rPr>
        <w:t>). Анализировались генотипы rs9463772 /IL17F и rs3811058 / IL38, rs7570267 / IL38.</w:t>
      </w:r>
    </w:p>
    <w:p w14:paraId="42C46E25" w14:textId="52C8E2FB" w:rsidR="00702539" w:rsidRPr="002B136D" w:rsidRDefault="00702539" w:rsidP="00DD476C">
      <w:pPr>
        <w:spacing w:after="0" w:line="240" w:lineRule="auto"/>
        <w:ind w:firstLine="567"/>
        <w:contextualSpacing/>
        <w:jc w:val="both"/>
        <w:rPr>
          <w:rFonts w:cs="Times New Roman"/>
          <w:szCs w:val="28"/>
        </w:rPr>
      </w:pPr>
      <w:r w:rsidRPr="002B136D">
        <w:rPr>
          <w:rFonts w:cs="Times New Roman"/>
          <w:szCs w:val="28"/>
        </w:rPr>
        <w:t>Не наблюдалось статистически значимых различий</w:t>
      </w:r>
      <w:r w:rsidR="00761FA3" w:rsidRPr="002B136D">
        <w:rPr>
          <w:rFonts w:cs="Times New Roman"/>
          <w:szCs w:val="28"/>
        </w:rPr>
        <w:t xml:space="preserve"> (Полиморфизм rs9463772 /IL17F) </w:t>
      </w:r>
      <w:r w:rsidRPr="002B136D">
        <w:rPr>
          <w:rFonts w:cs="Times New Roman"/>
          <w:szCs w:val="28"/>
        </w:rPr>
        <w:t>в частотах генотипов CC, CT и TT между группа</w:t>
      </w:r>
      <w:r w:rsidR="00774688" w:rsidRPr="002B136D">
        <w:rPr>
          <w:rFonts w:cs="Times New Roman"/>
          <w:szCs w:val="28"/>
        </w:rPr>
        <w:t>ми пациентов с ЭОП и без ЭОП (p&gt;</w:t>
      </w:r>
      <w:r w:rsidRPr="002B136D">
        <w:rPr>
          <w:rFonts w:cs="Times New Roman"/>
          <w:szCs w:val="28"/>
        </w:rPr>
        <w:t>0.</w:t>
      </w:r>
      <w:r w:rsidR="00774688" w:rsidRPr="002B136D">
        <w:rPr>
          <w:rFonts w:cs="Times New Roman"/>
          <w:szCs w:val="28"/>
        </w:rPr>
        <w:t>0</w:t>
      </w:r>
      <w:r w:rsidRPr="002B136D">
        <w:rPr>
          <w:rFonts w:cs="Times New Roman"/>
          <w:szCs w:val="28"/>
        </w:rPr>
        <w:t>5). Отношение шансов (OR) для всех генотипов остается близким к единице, что указывает на отсутствие ассоциации этого полиморфизма с развитием ЭОП у данной популяции.</w:t>
      </w:r>
    </w:p>
    <w:p w14:paraId="2CC7C6C4" w14:textId="64787158" w:rsidR="00702539" w:rsidRPr="002B136D" w:rsidRDefault="00702539" w:rsidP="00DD476C">
      <w:pPr>
        <w:spacing w:after="0" w:line="240" w:lineRule="auto"/>
        <w:ind w:firstLine="567"/>
        <w:contextualSpacing/>
        <w:jc w:val="both"/>
        <w:rPr>
          <w:rFonts w:cs="Times New Roman"/>
          <w:szCs w:val="28"/>
        </w:rPr>
      </w:pPr>
      <w:r w:rsidRPr="002B136D">
        <w:rPr>
          <w:rFonts w:cs="Times New Roman"/>
          <w:szCs w:val="28"/>
        </w:rPr>
        <w:t>Аналогично, для этого полиморфизма</w:t>
      </w:r>
      <w:r w:rsidR="00761FA3" w:rsidRPr="002B136D">
        <w:rPr>
          <w:rFonts w:cs="Times New Roman"/>
          <w:szCs w:val="28"/>
        </w:rPr>
        <w:t xml:space="preserve"> (rs3811058 /IL38)</w:t>
      </w:r>
      <w:r w:rsidRPr="002B136D">
        <w:rPr>
          <w:rFonts w:cs="Times New Roman"/>
          <w:szCs w:val="28"/>
        </w:rPr>
        <w:t xml:space="preserve"> не было найдено значимой ассоциации с ЭОП </w:t>
      </w:r>
      <w:r w:rsidR="00774688" w:rsidRPr="002B136D">
        <w:rPr>
          <w:rFonts w:cs="Times New Roman"/>
          <w:szCs w:val="28"/>
        </w:rPr>
        <w:t>(p&gt;0.05)</w:t>
      </w:r>
      <w:r w:rsidRPr="002B136D">
        <w:rPr>
          <w:rFonts w:cs="Times New Roman"/>
          <w:szCs w:val="28"/>
        </w:rPr>
        <w:t>. Отношение шансов между различными генотипами (CC и TT) также не показывает явной ассоциации с ЭОП.</w:t>
      </w:r>
    </w:p>
    <w:p w14:paraId="193D9836" w14:textId="6E900DE3" w:rsidR="00702539" w:rsidRPr="002B136D" w:rsidRDefault="00702539" w:rsidP="00DD476C">
      <w:pPr>
        <w:spacing w:after="0" w:line="240" w:lineRule="auto"/>
        <w:ind w:firstLine="567"/>
        <w:contextualSpacing/>
        <w:jc w:val="both"/>
        <w:rPr>
          <w:rFonts w:cs="Times New Roman"/>
          <w:szCs w:val="28"/>
        </w:rPr>
      </w:pPr>
      <w:r w:rsidRPr="002B136D">
        <w:rPr>
          <w:rFonts w:cs="Times New Roman"/>
          <w:szCs w:val="28"/>
        </w:rPr>
        <w:t xml:space="preserve">В соответствии с остальными результатами, различия </w:t>
      </w:r>
      <w:r w:rsidR="00761FA3" w:rsidRPr="002B136D">
        <w:rPr>
          <w:rFonts w:cs="Times New Roman"/>
          <w:szCs w:val="28"/>
        </w:rPr>
        <w:t xml:space="preserve">(Полиморфизм rs7570267 /IL38) </w:t>
      </w:r>
      <w:r w:rsidRPr="002B136D">
        <w:rPr>
          <w:rFonts w:cs="Times New Roman"/>
          <w:szCs w:val="28"/>
        </w:rPr>
        <w:t xml:space="preserve">в частотах генотипов AA, AG и GG между группами не достигли статистической значимости </w:t>
      </w:r>
      <w:r w:rsidR="00774688" w:rsidRPr="002B136D">
        <w:rPr>
          <w:rFonts w:cs="Times New Roman"/>
          <w:szCs w:val="28"/>
        </w:rPr>
        <w:t>(p&gt;0.05)</w:t>
      </w:r>
      <w:r w:rsidRPr="002B136D">
        <w:rPr>
          <w:rFonts w:cs="Times New Roman"/>
          <w:szCs w:val="28"/>
        </w:rPr>
        <w:t>. Отношение шансов не указывает на наличие связи между этим полиморфизмом и ЭОП.</w:t>
      </w:r>
    </w:p>
    <w:p w14:paraId="393428BE" w14:textId="4C697B1E" w:rsidR="00023075" w:rsidRPr="002B136D" w:rsidRDefault="00702539" w:rsidP="00DD476C">
      <w:pPr>
        <w:spacing w:after="0" w:line="240" w:lineRule="auto"/>
        <w:ind w:firstLine="567"/>
        <w:contextualSpacing/>
        <w:jc w:val="both"/>
        <w:rPr>
          <w:rFonts w:cs="Times New Roman"/>
          <w:szCs w:val="28"/>
        </w:rPr>
      </w:pPr>
      <w:r w:rsidRPr="002B136D">
        <w:rPr>
          <w:rFonts w:cs="Times New Roman"/>
          <w:szCs w:val="28"/>
        </w:rPr>
        <w:t xml:space="preserve">Результаты исследования предполагают отсутствие сильной ассоциации между исследуемыми полиморфизмами в генах IL-17 и IL-38 и предрасположенностью к ЭОП у пациентов азиатской национальности. </w:t>
      </w:r>
    </w:p>
    <w:p w14:paraId="05A512E8" w14:textId="77777777" w:rsidR="00761FA3" w:rsidRPr="002B136D" w:rsidRDefault="00761FA3" w:rsidP="006D06D7">
      <w:pPr>
        <w:spacing w:after="0" w:line="240" w:lineRule="auto"/>
        <w:ind w:firstLine="709"/>
        <w:contextualSpacing/>
        <w:jc w:val="both"/>
        <w:rPr>
          <w:rFonts w:cs="Times New Roman"/>
          <w:szCs w:val="28"/>
        </w:rPr>
      </w:pPr>
    </w:p>
    <w:p w14:paraId="47D8008E" w14:textId="73AF2F52" w:rsidR="00143D08" w:rsidRPr="00DD476C" w:rsidRDefault="00143D08" w:rsidP="00DD476C">
      <w:pPr>
        <w:spacing w:after="0" w:line="240" w:lineRule="auto"/>
        <w:contextualSpacing/>
        <w:jc w:val="both"/>
        <w:rPr>
          <w:rFonts w:cs="Times New Roman"/>
          <w:bCs/>
          <w:szCs w:val="28"/>
        </w:rPr>
      </w:pPr>
      <w:bookmarkStart w:id="19" w:name="_Hlk150599670"/>
      <w:r w:rsidRPr="00DD476C">
        <w:rPr>
          <w:rFonts w:cs="Times New Roman"/>
          <w:bCs/>
          <w:szCs w:val="28"/>
          <w:lang w:val="kk-KZ"/>
        </w:rPr>
        <w:t>Таб</w:t>
      </w:r>
      <w:r w:rsidR="00835DE9" w:rsidRPr="00DD476C">
        <w:rPr>
          <w:rFonts w:cs="Times New Roman"/>
          <w:bCs/>
          <w:szCs w:val="28"/>
          <w:lang w:val="kk-KZ"/>
        </w:rPr>
        <w:t xml:space="preserve">лица </w:t>
      </w:r>
      <w:r w:rsidR="00F77244" w:rsidRPr="00DD476C">
        <w:rPr>
          <w:rFonts w:cs="Times New Roman"/>
          <w:bCs/>
          <w:szCs w:val="28"/>
          <w:lang w:val="kk-KZ"/>
        </w:rPr>
        <w:t>2</w:t>
      </w:r>
      <w:r w:rsidR="0076161A">
        <w:rPr>
          <w:rFonts w:cs="Times New Roman"/>
          <w:bCs/>
          <w:szCs w:val="28"/>
          <w:lang w:val="kk-KZ"/>
        </w:rPr>
        <w:t>0</w:t>
      </w:r>
      <w:r w:rsidR="00DD476C" w:rsidRPr="00DD476C">
        <w:rPr>
          <w:rFonts w:cs="Times New Roman"/>
          <w:bCs/>
          <w:szCs w:val="28"/>
          <w:lang w:val="kk-KZ"/>
        </w:rPr>
        <w:t xml:space="preserve"> - </w:t>
      </w:r>
      <w:r w:rsidRPr="00DD476C">
        <w:rPr>
          <w:rFonts w:cs="Times New Roman"/>
          <w:bCs/>
          <w:szCs w:val="28"/>
          <w:lang w:val="kk-KZ"/>
        </w:rPr>
        <w:t>Анализ ассоциаций</w:t>
      </w:r>
      <w:r w:rsidR="00D77B6D" w:rsidRPr="00DD476C">
        <w:rPr>
          <w:rFonts w:cs="Times New Roman"/>
          <w:bCs/>
          <w:szCs w:val="28"/>
          <w:lang w:val="kk-KZ"/>
        </w:rPr>
        <w:t xml:space="preserve"> </w:t>
      </w:r>
      <w:r w:rsidRPr="00DD476C">
        <w:rPr>
          <w:rFonts w:cs="Times New Roman"/>
          <w:bCs/>
          <w:szCs w:val="28"/>
          <w:lang w:val="kk-KZ"/>
        </w:rPr>
        <w:t xml:space="preserve">полиморфизма в генах </w:t>
      </w:r>
      <w:r w:rsidRPr="00DD476C">
        <w:rPr>
          <w:rFonts w:cs="Times New Roman"/>
          <w:bCs/>
          <w:szCs w:val="28"/>
          <w:lang w:val="en-US"/>
        </w:rPr>
        <w:t>IL</w:t>
      </w:r>
      <w:r w:rsidRPr="00DD476C">
        <w:rPr>
          <w:rFonts w:cs="Times New Roman"/>
          <w:bCs/>
          <w:szCs w:val="28"/>
        </w:rPr>
        <w:t xml:space="preserve">-17, </w:t>
      </w:r>
      <w:r w:rsidRPr="00DD476C">
        <w:rPr>
          <w:rFonts w:cs="Times New Roman"/>
          <w:bCs/>
          <w:szCs w:val="28"/>
          <w:lang w:val="en-US"/>
        </w:rPr>
        <w:t>IL</w:t>
      </w:r>
      <w:r w:rsidRPr="00DD476C">
        <w:rPr>
          <w:rFonts w:cs="Times New Roman"/>
          <w:bCs/>
          <w:szCs w:val="28"/>
        </w:rPr>
        <w:t>-38 у пациентов с Азиатской национальности</w:t>
      </w:r>
    </w:p>
    <w:p w14:paraId="61A0E20B" w14:textId="77777777" w:rsidR="00DD476C" w:rsidRPr="00DD476C" w:rsidRDefault="00DD476C" w:rsidP="00DD476C">
      <w:pPr>
        <w:spacing w:after="0" w:line="240" w:lineRule="auto"/>
        <w:contextualSpacing/>
        <w:rPr>
          <w:rFonts w:cs="Times New Roman"/>
          <w:b/>
          <w:szCs w:val="28"/>
        </w:rPr>
      </w:pPr>
    </w:p>
    <w:tbl>
      <w:tblPr>
        <w:tblStyle w:val="ac"/>
        <w:tblW w:w="9639" w:type="dxa"/>
        <w:tblInd w:w="108" w:type="dxa"/>
        <w:tblLook w:val="04A0" w:firstRow="1" w:lastRow="0" w:firstColumn="1" w:lastColumn="0" w:noHBand="0" w:noVBand="1"/>
      </w:tblPr>
      <w:tblGrid>
        <w:gridCol w:w="2268"/>
        <w:gridCol w:w="1134"/>
        <w:gridCol w:w="1843"/>
        <w:gridCol w:w="1937"/>
        <w:gridCol w:w="851"/>
        <w:gridCol w:w="1606"/>
      </w:tblGrid>
      <w:tr w:rsidR="002B136D" w:rsidRPr="00DD476C" w14:paraId="245A3523" w14:textId="77777777" w:rsidTr="00DD476C">
        <w:trPr>
          <w:trHeight w:val="170"/>
        </w:trPr>
        <w:tc>
          <w:tcPr>
            <w:tcW w:w="3402" w:type="dxa"/>
            <w:gridSpan w:val="2"/>
          </w:tcPr>
          <w:bookmarkEnd w:id="19"/>
          <w:p w14:paraId="53FC626B" w14:textId="740D2CC8" w:rsidR="00960AE8" w:rsidRPr="00DD476C" w:rsidRDefault="004F6FAF" w:rsidP="004F6FAF">
            <w:pPr>
              <w:jc w:val="both"/>
              <w:rPr>
                <w:rFonts w:cs="Times New Roman"/>
                <w:sz w:val="24"/>
                <w:szCs w:val="24"/>
                <w:lang w:val="en-US"/>
              </w:rPr>
            </w:pPr>
            <w:r w:rsidRPr="00DD476C">
              <w:rPr>
                <w:sz w:val="24"/>
                <w:szCs w:val="24"/>
              </w:rPr>
              <w:t>Полиморфизм/ген</w:t>
            </w:r>
          </w:p>
        </w:tc>
        <w:tc>
          <w:tcPr>
            <w:tcW w:w="1843" w:type="dxa"/>
          </w:tcPr>
          <w:p w14:paraId="145884CE" w14:textId="61B7BB28" w:rsidR="00960AE8" w:rsidRPr="00DD476C" w:rsidRDefault="00960AE8" w:rsidP="00F35C00">
            <w:pPr>
              <w:jc w:val="both"/>
              <w:rPr>
                <w:rFonts w:cs="Times New Roman"/>
                <w:sz w:val="24"/>
                <w:szCs w:val="24"/>
                <w:lang w:val="en-US"/>
              </w:rPr>
            </w:pPr>
            <w:r w:rsidRPr="00DD476C">
              <w:rPr>
                <w:sz w:val="24"/>
                <w:szCs w:val="24"/>
              </w:rPr>
              <w:t>Пациенты с ЭОП (n=91)</w:t>
            </w:r>
          </w:p>
        </w:tc>
        <w:tc>
          <w:tcPr>
            <w:tcW w:w="1937" w:type="dxa"/>
          </w:tcPr>
          <w:p w14:paraId="22EB95D3" w14:textId="6093DF6C" w:rsidR="00960AE8" w:rsidRPr="00DD476C" w:rsidRDefault="00960AE8" w:rsidP="00F35C00">
            <w:pPr>
              <w:jc w:val="both"/>
              <w:rPr>
                <w:rFonts w:cs="Times New Roman"/>
                <w:sz w:val="24"/>
                <w:szCs w:val="24"/>
                <w:lang w:val="en-US"/>
              </w:rPr>
            </w:pPr>
            <w:r w:rsidRPr="00DD476C">
              <w:rPr>
                <w:sz w:val="24"/>
                <w:szCs w:val="24"/>
              </w:rPr>
              <w:t>Пациенты без ЭОП (n=96)</w:t>
            </w:r>
          </w:p>
        </w:tc>
        <w:tc>
          <w:tcPr>
            <w:tcW w:w="851" w:type="dxa"/>
          </w:tcPr>
          <w:p w14:paraId="42DF81F7" w14:textId="77777777" w:rsidR="00960AE8" w:rsidRPr="00DD476C" w:rsidRDefault="00960AE8" w:rsidP="00960AE8">
            <w:pPr>
              <w:jc w:val="both"/>
              <w:rPr>
                <w:rFonts w:cs="Times New Roman"/>
                <w:sz w:val="24"/>
                <w:szCs w:val="24"/>
              </w:rPr>
            </w:pPr>
            <w:r w:rsidRPr="00DD476C">
              <w:rPr>
                <w:rFonts w:cs="Times New Roman"/>
                <w:sz w:val="24"/>
                <w:szCs w:val="24"/>
              </w:rPr>
              <w:t>p-value</w:t>
            </w:r>
          </w:p>
        </w:tc>
        <w:tc>
          <w:tcPr>
            <w:tcW w:w="1606" w:type="dxa"/>
          </w:tcPr>
          <w:p w14:paraId="1389B10E" w14:textId="77777777" w:rsidR="00960AE8" w:rsidRPr="00DD476C" w:rsidRDefault="00960AE8" w:rsidP="00960AE8">
            <w:pPr>
              <w:jc w:val="both"/>
              <w:rPr>
                <w:rFonts w:cs="Times New Roman"/>
                <w:sz w:val="24"/>
                <w:szCs w:val="24"/>
              </w:rPr>
            </w:pPr>
            <w:r w:rsidRPr="00DD476C">
              <w:rPr>
                <w:rFonts w:cs="Times New Roman"/>
                <w:sz w:val="24"/>
                <w:szCs w:val="24"/>
              </w:rPr>
              <w:t>OR (95% CI)</w:t>
            </w:r>
          </w:p>
        </w:tc>
      </w:tr>
      <w:tr w:rsidR="002B136D" w:rsidRPr="00DD476C" w14:paraId="4D1A26B3" w14:textId="77777777" w:rsidTr="00DD476C">
        <w:trPr>
          <w:trHeight w:val="247"/>
        </w:trPr>
        <w:tc>
          <w:tcPr>
            <w:tcW w:w="9639" w:type="dxa"/>
            <w:gridSpan w:val="6"/>
          </w:tcPr>
          <w:p w14:paraId="33B54B65" w14:textId="77777777" w:rsidR="00960AE8" w:rsidRPr="00DD476C" w:rsidRDefault="00960AE8" w:rsidP="00960AE8">
            <w:pPr>
              <w:jc w:val="both"/>
              <w:rPr>
                <w:rFonts w:cs="Times New Roman"/>
                <w:sz w:val="24"/>
                <w:szCs w:val="24"/>
              </w:rPr>
            </w:pPr>
            <w:r w:rsidRPr="00DD476C">
              <w:rPr>
                <w:rFonts w:cs="Times New Roman"/>
                <w:sz w:val="24"/>
                <w:szCs w:val="24"/>
              </w:rPr>
              <w:t>rs9463772 /IL17F</w:t>
            </w:r>
          </w:p>
        </w:tc>
      </w:tr>
      <w:tr w:rsidR="00DD476C" w:rsidRPr="00DD476C" w14:paraId="5DE0A95C" w14:textId="77777777" w:rsidTr="00DD476C">
        <w:trPr>
          <w:trHeight w:val="237"/>
        </w:trPr>
        <w:tc>
          <w:tcPr>
            <w:tcW w:w="2268" w:type="dxa"/>
          </w:tcPr>
          <w:p w14:paraId="32C2FA46" w14:textId="0ECE0664" w:rsidR="00DD476C" w:rsidRPr="00DD476C" w:rsidRDefault="00DD476C" w:rsidP="00DD476C">
            <w:pPr>
              <w:jc w:val="center"/>
              <w:rPr>
                <w:rFonts w:cs="Times New Roman"/>
                <w:sz w:val="24"/>
                <w:szCs w:val="24"/>
              </w:rPr>
            </w:pPr>
            <w:r>
              <w:rPr>
                <w:rFonts w:cs="Times New Roman"/>
                <w:sz w:val="24"/>
                <w:szCs w:val="24"/>
              </w:rPr>
              <w:t>1</w:t>
            </w:r>
          </w:p>
        </w:tc>
        <w:tc>
          <w:tcPr>
            <w:tcW w:w="1134" w:type="dxa"/>
          </w:tcPr>
          <w:p w14:paraId="7D082119" w14:textId="10D7E73F" w:rsidR="00DD476C" w:rsidRPr="00DD476C" w:rsidRDefault="00DD476C" w:rsidP="00DD476C">
            <w:pPr>
              <w:jc w:val="center"/>
              <w:rPr>
                <w:rFonts w:cs="Times New Roman"/>
                <w:sz w:val="24"/>
                <w:szCs w:val="24"/>
              </w:rPr>
            </w:pPr>
            <w:r>
              <w:rPr>
                <w:rFonts w:cs="Times New Roman"/>
                <w:sz w:val="24"/>
                <w:szCs w:val="24"/>
              </w:rPr>
              <w:t>2</w:t>
            </w:r>
          </w:p>
        </w:tc>
        <w:tc>
          <w:tcPr>
            <w:tcW w:w="1843" w:type="dxa"/>
          </w:tcPr>
          <w:p w14:paraId="3BEABBD6" w14:textId="45CF2936" w:rsidR="00DD476C" w:rsidRPr="00DD476C" w:rsidRDefault="00DD476C" w:rsidP="00DD476C">
            <w:pPr>
              <w:jc w:val="center"/>
              <w:rPr>
                <w:rFonts w:cs="Times New Roman"/>
                <w:sz w:val="24"/>
                <w:szCs w:val="24"/>
              </w:rPr>
            </w:pPr>
            <w:r>
              <w:rPr>
                <w:rFonts w:cs="Times New Roman"/>
                <w:sz w:val="24"/>
                <w:szCs w:val="24"/>
              </w:rPr>
              <w:t>3</w:t>
            </w:r>
          </w:p>
        </w:tc>
        <w:tc>
          <w:tcPr>
            <w:tcW w:w="1937" w:type="dxa"/>
          </w:tcPr>
          <w:p w14:paraId="3734CF0B" w14:textId="376CE7D7" w:rsidR="00DD476C" w:rsidRPr="00DD476C" w:rsidRDefault="00DD476C" w:rsidP="00DD476C">
            <w:pPr>
              <w:jc w:val="center"/>
              <w:rPr>
                <w:rFonts w:cs="Times New Roman"/>
                <w:sz w:val="24"/>
                <w:szCs w:val="24"/>
              </w:rPr>
            </w:pPr>
            <w:r>
              <w:rPr>
                <w:rFonts w:cs="Times New Roman"/>
                <w:sz w:val="24"/>
                <w:szCs w:val="24"/>
              </w:rPr>
              <w:t>4</w:t>
            </w:r>
          </w:p>
        </w:tc>
        <w:tc>
          <w:tcPr>
            <w:tcW w:w="851" w:type="dxa"/>
          </w:tcPr>
          <w:p w14:paraId="7FF7ABB7" w14:textId="6806FA2C" w:rsidR="00DD476C" w:rsidRPr="00DD476C" w:rsidRDefault="00DD476C" w:rsidP="00DD476C">
            <w:pPr>
              <w:jc w:val="center"/>
              <w:rPr>
                <w:rFonts w:cs="Times New Roman"/>
                <w:sz w:val="24"/>
                <w:szCs w:val="24"/>
              </w:rPr>
            </w:pPr>
            <w:r>
              <w:rPr>
                <w:rFonts w:cs="Times New Roman"/>
                <w:sz w:val="24"/>
                <w:szCs w:val="24"/>
              </w:rPr>
              <w:t>5</w:t>
            </w:r>
          </w:p>
        </w:tc>
        <w:tc>
          <w:tcPr>
            <w:tcW w:w="1606" w:type="dxa"/>
          </w:tcPr>
          <w:p w14:paraId="5B8379B3" w14:textId="6EB8465E" w:rsidR="00DD476C" w:rsidRPr="00DD476C" w:rsidRDefault="00DD476C" w:rsidP="00DD476C">
            <w:pPr>
              <w:jc w:val="center"/>
              <w:rPr>
                <w:rFonts w:cs="Times New Roman"/>
                <w:sz w:val="24"/>
                <w:szCs w:val="24"/>
              </w:rPr>
            </w:pPr>
            <w:r>
              <w:rPr>
                <w:rFonts w:cs="Times New Roman"/>
                <w:sz w:val="24"/>
                <w:szCs w:val="24"/>
              </w:rPr>
              <w:t>6</w:t>
            </w:r>
          </w:p>
        </w:tc>
      </w:tr>
      <w:tr w:rsidR="002B136D" w:rsidRPr="00DD476C" w14:paraId="5511164F" w14:textId="77777777" w:rsidTr="00DD476C">
        <w:trPr>
          <w:trHeight w:val="237"/>
        </w:trPr>
        <w:tc>
          <w:tcPr>
            <w:tcW w:w="2268" w:type="dxa"/>
            <w:vMerge w:val="restart"/>
          </w:tcPr>
          <w:p w14:paraId="7F4B8607" w14:textId="05F06BB5" w:rsidR="00960AE8" w:rsidRPr="00DD476C" w:rsidRDefault="00960AE8" w:rsidP="00960AE8">
            <w:pPr>
              <w:jc w:val="both"/>
              <w:rPr>
                <w:rFonts w:cs="Times New Roman"/>
                <w:sz w:val="24"/>
                <w:szCs w:val="24"/>
              </w:rPr>
            </w:pPr>
            <w:r w:rsidRPr="00DD476C">
              <w:rPr>
                <w:rFonts w:cs="Times New Roman"/>
                <w:sz w:val="24"/>
                <w:szCs w:val="24"/>
              </w:rPr>
              <w:t>Генотип</w:t>
            </w:r>
          </w:p>
        </w:tc>
        <w:tc>
          <w:tcPr>
            <w:tcW w:w="1134" w:type="dxa"/>
          </w:tcPr>
          <w:p w14:paraId="0F61B50E" w14:textId="77777777" w:rsidR="00960AE8" w:rsidRPr="00DD476C" w:rsidRDefault="00960AE8" w:rsidP="00960AE8">
            <w:pPr>
              <w:jc w:val="both"/>
              <w:rPr>
                <w:rFonts w:cs="Times New Roman"/>
                <w:sz w:val="24"/>
                <w:szCs w:val="24"/>
              </w:rPr>
            </w:pPr>
            <w:r w:rsidRPr="00DD476C">
              <w:rPr>
                <w:rFonts w:cs="Times New Roman"/>
                <w:sz w:val="24"/>
                <w:szCs w:val="24"/>
              </w:rPr>
              <w:t>CC</w:t>
            </w:r>
          </w:p>
        </w:tc>
        <w:tc>
          <w:tcPr>
            <w:tcW w:w="1843" w:type="dxa"/>
          </w:tcPr>
          <w:p w14:paraId="326B8CF7" w14:textId="77777777" w:rsidR="00960AE8" w:rsidRPr="00DD476C" w:rsidRDefault="00960AE8" w:rsidP="00960AE8">
            <w:pPr>
              <w:jc w:val="both"/>
              <w:rPr>
                <w:rFonts w:cs="Times New Roman"/>
                <w:sz w:val="24"/>
                <w:szCs w:val="24"/>
              </w:rPr>
            </w:pPr>
            <w:r w:rsidRPr="00DD476C">
              <w:rPr>
                <w:rFonts w:cs="Times New Roman"/>
                <w:sz w:val="24"/>
                <w:szCs w:val="24"/>
              </w:rPr>
              <w:t>65 (71.43%)</w:t>
            </w:r>
          </w:p>
        </w:tc>
        <w:tc>
          <w:tcPr>
            <w:tcW w:w="1937" w:type="dxa"/>
          </w:tcPr>
          <w:p w14:paraId="630BA004" w14:textId="77777777" w:rsidR="00960AE8" w:rsidRPr="00DD476C" w:rsidRDefault="00960AE8" w:rsidP="00960AE8">
            <w:pPr>
              <w:jc w:val="both"/>
              <w:rPr>
                <w:rFonts w:cs="Times New Roman"/>
                <w:sz w:val="24"/>
                <w:szCs w:val="24"/>
              </w:rPr>
            </w:pPr>
            <w:r w:rsidRPr="00DD476C">
              <w:rPr>
                <w:rFonts w:cs="Times New Roman"/>
                <w:sz w:val="24"/>
                <w:szCs w:val="24"/>
              </w:rPr>
              <w:t>67 (69.79%)</w:t>
            </w:r>
          </w:p>
        </w:tc>
        <w:tc>
          <w:tcPr>
            <w:tcW w:w="851" w:type="dxa"/>
            <w:vMerge w:val="restart"/>
          </w:tcPr>
          <w:p w14:paraId="5006B3CF" w14:textId="77777777" w:rsidR="00960AE8" w:rsidRPr="00DD476C" w:rsidRDefault="00960AE8" w:rsidP="00960AE8">
            <w:pPr>
              <w:jc w:val="both"/>
              <w:rPr>
                <w:rFonts w:cs="Times New Roman"/>
                <w:sz w:val="24"/>
                <w:szCs w:val="24"/>
              </w:rPr>
            </w:pPr>
            <w:r w:rsidRPr="00DD476C">
              <w:rPr>
                <w:rFonts w:cs="Times New Roman"/>
                <w:sz w:val="24"/>
                <w:szCs w:val="24"/>
              </w:rPr>
              <w:t>0.8</w:t>
            </w:r>
          </w:p>
        </w:tc>
        <w:tc>
          <w:tcPr>
            <w:tcW w:w="1606" w:type="dxa"/>
            <w:vMerge w:val="restart"/>
          </w:tcPr>
          <w:p w14:paraId="2C2CFDCB" w14:textId="77777777" w:rsidR="00960AE8" w:rsidRPr="00DD476C" w:rsidRDefault="00960AE8" w:rsidP="00960AE8">
            <w:pPr>
              <w:jc w:val="both"/>
              <w:rPr>
                <w:rFonts w:cs="Times New Roman"/>
                <w:sz w:val="24"/>
                <w:szCs w:val="24"/>
              </w:rPr>
            </w:pPr>
            <w:r w:rsidRPr="00DD476C">
              <w:rPr>
                <w:rFonts w:cs="Times New Roman"/>
                <w:sz w:val="24"/>
                <w:szCs w:val="24"/>
              </w:rPr>
              <w:t>1.0 (0.7; 1.5)</w:t>
            </w:r>
          </w:p>
        </w:tc>
      </w:tr>
      <w:tr w:rsidR="002B136D" w:rsidRPr="00DD476C" w14:paraId="72E26E9F" w14:textId="77777777" w:rsidTr="00DD476C">
        <w:trPr>
          <w:trHeight w:val="237"/>
        </w:trPr>
        <w:tc>
          <w:tcPr>
            <w:tcW w:w="2268" w:type="dxa"/>
            <w:vMerge/>
          </w:tcPr>
          <w:p w14:paraId="0B91AC12" w14:textId="77777777" w:rsidR="00960AE8" w:rsidRPr="00DD476C" w:rsidRDefault="00960AE8" w:rsidP="00960AE8">
            <w:pPr>
              <w:jc w:val="both"/>
              <w:rPr>
                <w:rFonts w:cs="Times New Roman"/>
                <w:sz w:val="24"/>
                <w:szCs w:val="24"/>
              </w:rPr>
            </w:pPr>
          </w:p>
        </w:tc>
        <w:tc>
          <w:tcPr>
            <w:tcW w:w="1134" w:type="dxa"/>
          </w:tcPr>
          <w:p w14:paraId="6E82DA12" w14:textId="77777777" w:rsidR="00960AE8" w:rsidRPr="00DD476C" w:rsidRDefault="00960AE8" w:rsidP="00960AE8">
            <w:pPr>
              <w:jc w:val="both"/>
              <w:rPr>
                <w:rFonts w:cs="Times New Roman"/>
                <w:sz w:val="24"/>
                <w:szCs w:val="24"/>
              </w:rPr>
            </w:pPr>
            <w:r w:rsidRPr="00DD476C">
              <w:rPr>
                <w:rFonts w:cs="Times New Roman"/>
                <w:sz w:val="24"/>
                <w:szCs w:val="24"/>
              </w:rPr>
              <w:t>CT</w:t>
            </w:r>
          </w:p>
        </w:tc>
        <w:tc>
          <w:tcPr>
            <w:tcW w:w="1843" w:type="dxa"/>
          </w:tcPr>
          <w:p w14:paraId="2CF4D2D6" w14:textId="77777777" w:rsidR="00960AE8" w:rsidRPr="00DD476C" w:rsidRDefault="00960AE8" w:rsidP="00960AE8">
            <w:pPr>
              <w:jc w:val="both"/>
              <w:rPr>
                <w:rFonts w:cs="Times New Roman"/>
                <w:sz w:val="24"/>
                <w:szCs w:val="24"/>
              </w:rPr>
            </w:pPr>
            <w:r w:rsidRPr="00DD476C">
              <w:rPr>
                <w:rFonts w:cs="Times New Roman"/>
                <w:sz w:val="24"/>
                <w:szCs w:val="24"/>
              </w:rPr>
              <w:t>24 (26.37%)</w:t>
            </w:r>
          </w:p>
        </w:tc>
        <w:tc>
          <w:tcPr>
            <w:tcW w:w="1937" w:type="dxa"/>
          </w:tcPr>
          <w:p w14:paraId="47491D9B" w14:textId="77777777" w:rsidR="00960AE8" w:rsidRPr="00DD476C" w:rsidRDefault="00960AE8" w:rsidP="00960AE8">
            <w:pPr>
              <w:jc w:val="both"/>
              <w:rPr>
                <w:rFonts w:cs="Times New Roman"/>
                <w:sz w:val="24"/>
                <w:szCs w:val="24"/>
              </w:rPr>
            </w:pPr>
            <w:r w:rsidRPr="00DD476C">
              <w:rPr>
                <w:rFonts w:cs="Times New Roman"/>
                <w:sz w:val="24"/>
                <w:szCs w:val="24"/>
              </w:rPr>
              <w:t>26 (27.08%)</w:t>
            </w:r>
          </w:p>
        </w:tc>
        <w:tc>
          <w:tcPr>
            <w:tcW w:w="851" w:type="dxa"/>
            <w:vMerge/>
          </w:tcPr>
          <w:p w14:paraId="5B01902F" w14:textId="77777777" w:rsidR="00960AE8" w:rsidRPr="00DD476C" w:rsidRDefault="00960AE8" w:rsidP="00960AE8">
            <w:pPr>
              <w:jc w:val="both"/>
              <w:rPr>
                <w:rFonts w:cs="Times New Roman"/>
                <w:sz w:val="24"/>
                <w:szCs w:val="24"/>
              </w:rPr>
            </w:pPr>
          </w:p>
        </w:tc>
        <w:tc>
          <w:tcPr>
            <w:tcW w:w="1606" w:type="dxa"/>
            <w:vMerge/>
          </w:tcPr>
          <w:p w14:paraId="660542D9" w14:textId="77777777" w:rsidR="00960AE8" w:rsidRPr="00DD476C" w:rsidRDefault="00960AE8" w:rsidP="00960AE8">
            <w:pPr>
              <w:jc w:val="both"/>
              <w:rPr>
                <w:rFonts w:cs="Times New Roman"/>
                <w:sz w:val="24"/>
                <w:szCs w:val="24"/>
              </w:rPr>
            </w:pPr>
          </w:p>
        </w:tc>
      </w:tr>
      <w:tr w:rsidR="002B136D" w:rsidRPr="00DD476C" w14:paraId="39D68C43" w14:textId="77777777" w:rsidTr="00DD476C">
        <w:trPr>
          <w:trHeight w:val="237"/>
        </w:trPr>
        <w:tc>
          <w:tcPr>
            <w:tcW w:w="2268" w:type="dxa"/>
            <w:vMerge/>
          </w:tcPr>
          <w:p w14:paraId="73BACA43" w14:textId="77777777" w:rsidR="00960AE8" w:rsidRPr="00DD476C" w:rsidRDefault="00960AE8" w:rsidP="00960AE8">
            <w:pPr>
              <w:jc w:val="both"/>
              <w:rPr>
                <w:rFonts w:cs="Times New Roman"/>
                <w:sz w:val="24"/>
                <w:szCs w:val="24"/>
              </w:rPr>
            </w:pPr>
          </w:p>
        </w:tc>
        <w:tc>
          <w:tcPr>
            <w:tcW w:w="1134" w:type="dxa"/>
          </w:tcPr>
          <w:p w14:paraId="5FEE59F5" w14:textId="77777777" w:rsidR="00960AE8" w:rsidRPr="00DD476C" w:rsidRDefault="00960AE8" w:rsidP="00960AE8">
            <w:pPr>
              <w:jc w:val="both"/>
              <w:rPr>
                <w:rFonts w:cs="Times New Roman"/>
                <w:sz w:val="24"/>
                <w:szCs w:val="24"/>
              </w:rPr>
            </w:pPr>
            <w:r w:rsidRPr="00DD476C">
              <w:rPr>
                <w:rFonts w:cs="Times New Roman"/>
                <w:sz w:val="24"/>
                <w:szCs w:val="24"/>
              </w:rPr>
              <w:t>TT</w:t>
            </w:r>
          </w:p>
        </w:tc>
        <w:tc>
          <w:tcPr>
            <w:tcW w:w="1843" w:type="dxa"/>
          </w:tcPr>
          <w:p w14:paraId="55FE0251" w14:textId="77777777" w:rsidR="00960AE8" w:rsidRPr="00DD476C" w:rsidRDefault="00960AE8" w:rsidP="00960AE8">
            <w:pPr>
              <w:jc w:val="both"/>
              <w:rPr>
                <w:rFonts w:cs="Times New Roman"/>
                <w:sz w:val="24"/>
                <w:szCs w:val="24"/>
              </w:rPr>
            </w:pPr>
            <w:r w:rsidRPr="00DD476C">
              <w:rPr>
                <w:rFonts w:cs="Times New Roman"/>
                <w:sz w:val="24"/>
                <w:szCs w:val="24"/>
              </w:rPr>
              <w:t>2 (2.2%)</w:t>
            </w:r>
          </w:p>
        </w:tc>
        <w:tc>
          <w:tcPr>
            <w:tcW w:w="1937" w:type="dxa"/>
          </w:tcPr>
          <w:p w14:paraId="0CABB000" w14:textId="77777777" w:rsidR="00960AE8" w:rsidRPr="00DD476C" w:rsidRDefault="00960AE8" w:rsidP="00960AE8">
            <w:pPr>
              <w:jc w:val="both"/>
              <w:rPr>
                <w:rFonts w:cs="Times New Roman"/>
                <w:sz w:val="24"/>
                <w:szCs w:val="24"/>
              </w:rPr>
            </w:pPr>
            <w:r w:rsidRPr="00DD476C">
              <w:rPr>
                <w:rFonts w:cs="Times New Roman"/>
                <w:sz w:val="24"/>
                <w:szCs w:val="24"/>
              </w:rPr>
              <w:t>3 (3.13%)</w:t>
            </w:r>
          </w:p>
        </w:tc>
        <w:tc>
          <w:tcPr>
            <w:tcW w:w="851" w:type="dxa"/>
            <w:vMerge/>
          </w:tcPr>
          <w:p w14:paraId="318BA9EC" w14:textId="77777777" w:rsidR="00960AE8" w:rsidRPr="00DD476C" w:rsidRDefault="00960AE8" w:rsidP="00960AE8">
            <w:pPr>
              <w:jc w:val="both"/>
              <w:rPr>
                <w:rFonts w:cs="Times New Roman"/>
                <w:sz w:val="24"/>
                <w:szCs w:val="24"/>
              </w:rPr>
            </w:pPr>
          </w:p>
        </w:tc>
        <w:tc>
          <w:tcPr>
            <w:tcW w:w="1606" w:type="dxa"/>
            <w:vMerge/>
          </w:tcPr>
          <w:p w14:paraId="560285DE" w14:textId="77777777" w:rsidR="00960AE8" w:rsidRPr="00DD476C" w:rsidRDefault="00960AE8" w:rsidP="00960AE8">
            <w:pPr>
              <w:jc w:val="both"/>
              <w:rPr>
                <w:rFonts w:cs="Times New Roman"/>
                <w:sz w:val="24"/>
                <w:szCs w:val="24"/>
              </w:rPr>
            </w:pPr>
          </w:p>
        </w:tc>
      </w:tr>
      <w:tr w:rsidR="002B136D" w:rsidRPr="00DD476C" w14:paraId="2695FF73" w14:textId="77777777" w:rsidTr="00DD476C">
        <w:trPr>
          <w:trHeight w:val="237"/>
        </w:trPr>
        <w:tc>
          <w:tcPr>
            <w:tcW w:w="2268" w:type="dxa"/>
            <w:vMerge w:val="restart"/>
          </w:tcPr>
          <w:p w14:paraId="76CFAE6B" w14:textId="279569CD" w:rsidR="00960AE8" w:rsidRPr="00DD476C" w:rsidRDefault="00960AE8" w:rsidP="00960AE8">
            <w:pPr>
              <w:jc w:val="both"/>
              <w:rPr>
                <w:rFonts w:cs="Times New Roman"/>
                <w:sz w:val="24"/>
                <w:szCs w:val="24"/>
              </w:rPr>
            </w:pPr>
            <w:r w:rsidRPr="00DD476C">
              <w:rPr>
                <w:rFonts w:cs="Times New Roman"/>
                <w:sz w:val="24"/>
                <w:szCs w:val="24"/>
              </w:rPr>
              <w:t>Рецессивная модель</w:t>
            </w:r>
          </w:p>
        </w:tc>
        <w:tc>
          <w:tcPr>
            <w:tcW w:w="1134" w:type="dxa"/>
          </w:tcPr>
          <w:p w14:paraId="18633509" w14:textId="77777777" w:rsidR="00960AE8" w:rsidRPr="00DD476C" w:rsidRDefault="00960AE8" w:rsidP="00960AE8">
            <w:pPr>
              <w:jc w:val="both"/>
              <w:rPr>
                <w:rFonts w:cs="Times New Roman"/>
                <w:sz w:val="24"/>
                <w:szCs w:val="24"/>
              </w:rPr>
            </w:pPr>
            <w:r w:rsidRPr="00DD476C">
              <w:rPr>
                <w:rFonts w:cs="Times New Roman"/>
                <w:sz w:val="24"/>
                <w:szCs w:val="24"/>
              </w:rPr>
              <w:t>CC+</w:t>
            </w:r>
            <w:proofErr w:type="gramStart"/>
            <w:r w:rsidRPr="00DD476C">
              <w:rPr>
                <w:rFonts w:cs="Times New Roman"/>
                <w:sz w:val="24"/>
                <w:szCs w:val="24"/>
              </w:rPr>
              <w:t>СТ</w:t>
            </w:r>
            <w:proofErr w:type="gramEnd"/>
          </w:p>
        </w:tc>
        <w:tc>
          <w:tcPr>
            <w:tcW w:w="1843" w:type="dxa"/>
          </w:tcPr>
          <w:p w14:paraId="30F65EFB" w14:textId="77777777" w:rsidR="00960AE8" w:rsidRPr="00DD476C" w:rsidRDefault="00960AE8" w:rsidP="00960AE8">
            <w:pPr>
              <w:jc w:val="both"/>
              <w:rPr>
                <w:rFonts w:cs="Times New Roman"/>
                <w:sz w:val="24"/>
                <w:szCs w:val="24"/>
              </w:rPr>
            </w:pPr>
            <w:r w:rsidRPr="00DD476C">
              <w:rPr>
                <w:rFonts w:cs="Times New Roman"/>
                <w:sz w:val="24"/>
                <w:szCs w:val="24"/>
              </w:rPr>
              <w:t>89 (97,8%)</w:t>
            </w:r>
          </w:p>
        </w:tc>
        <w:tc>
          <w:tcPr>
            <w:tcW w:w="1937" w:type="dxa"/>
          </w:tcPr>
          <w:p w14:paraId="76A68C50" w14:textId="77777777" w:rsidR="00960AE8" w:rsidRPr="00DD476C" w:rsidRDefault="00960AE8" w:rsidP="00960AE8">
            <w:pPr>
              <w:jc w:val="both"/>
              <w:rPr>
                <w:rFonts w:cs="Times New Roman"/>
                <w:sz w:val="24"/>
                <w:szCs w:val="24"/>
              </w:rPr>
            </w:pPr>
            <w:r w:rsidRPr="00DD476C">
              <w:rPr>
                <w:rFonts w:cs="Times New Roman"/>
                <w:sz w:val="24"/>
                <w:szCs w:val="24"/>
              </w:rPr>
              <w:t>93 (96.87%)</w:t>
            </w:r>
          </w:p>
        </w:tc>
        <w:tc>
          <w:tcPr>
            <w:tcW w:w="851" w:type="dxa"/>
            <w:vMerge w:val="restart"/>
          </w:tcPr>
          <w:p w14:paraId="6E61BDB0" w14:textId="77777777" w:rsidR="00960AE8" w:rsidRPr="00DD476C" w:rsidRDefault="00960AE8" w:rsidP="00960AE8">
            <w:pPr>
              <w:jc w:val="both"/>
              <w:rPr>
                <w:rFonts w:cs="Times New Roman"/>
                <w:sz w:val="24"/>
                <w:szCs w:val="24"/>
              </w:rPr>
            </w:pPr>
            <w:r w:rsidRPr="00DD476C">
              <w:rPr>
                <w:rFonts w:cs="Times New Roman"/>
                <w:sz w:val="24"/>
                <w:szCs w:val="24"/>
              </w:rPr>
              <w:t>0.7</w:t>
            </w:r>
          </w:p>
        </w:tc>
        <w:tc>
          <w:tcPr>
            <w:tcW w:w="1606" w:type="dxa"/>
            <w:vMerge w:val="restart"/>
          </w:tcPr>
          <w:p w14:paraId="36B7070B" w14:textId="77777777" w:rsidR="00960AE8" w:rsidRPr="00DD476C" w:rsidRDefault="00960AE8" w:rsidP="00960AE8">
            <w:pPr>
              <w:jc w:val="both"/>
              <w:rPr>
                <w:rFonts w:cs="Times New Roman"/>
                <w:sz w:val="24"/>
                <w:szCs w:val="24"/>
              </w:rPr>
            </w:pPr>
            <w:r w:rsidRPr="00DD476C">
              <w:rPr>
                <w:rFonts w:cs="Times New Roman"/>
                <w:sz w:val="24"/>
                <w:szCs w:val="24"/>
              </w:rPr>
              <w:t>0.7 (0.1; 4.2)</w:t>
            </w:r>
          </w:p>
        </w:tc>
      </w:tr>
      <w:tr w:rsidR="002B136D" w:rsidRPr="00DD476C" w14:paraId="71486EB9" w14:textId="77777777" w:rsidTr="00DD476C">
        <w:trPr>
          <w:trHeight w:val="247"/>
        </w:trPr>
        <w:tc>
          <w:tcPr>
            <w:tcW w:w="2268" w:type="dxa"/>
            <w:vMerge/>
          </w:tcPr>
          <w:p w14:paraId="63759912" w14:textId="77777777" w:rsidR="00960AE8" w:rsidRPr="00DD476C" w:rsidRDefault="00960AE8" w:rsidP="00960AE8">
            <w:pPr>
              <w:jc w:val="both"/>
              <w:rPr>
                <w:rFonts w:cs="Times New Roman"/>
                <w:sz w:val="24"/>
                <w:szCs w:val="24"/>
              </w:rPr>
            </w:pPr>
          </w:p>
        </w:tc>
        <w:tc>
          <w:tcPr>
            <w:tcW w:w="1134" w:type="dxa"/>
          </w:tcPr>
          <w:p w14:paraId="317E2D85" w14:textId="77777777" w:rsidR="00960AE8" w:rsidRPr="00DD476C" w:rsidRDefault="00960AE8" w:rsidP="00960AE8">
            <w:pPr>
              <w:jc w:val="both"/>
              <w:rPr>
                <w:rFonts w:cs="Times New Roman"/>
                <w:sz w:val="24"/>
                <w:szCs w:val="24"/>
              </w:rPr>
            </w:pPr>
            <w:r w:rsidRPr="00DD476C">
              <w:rPr>
                <w:rFonts w:cs="Times New Roman"/>
                <w:sz w:val="24"/>
                <w:szCs w:val="24"/>
              </w:rPr>
              <w:t>TT</w:t>
            </w:r>
          </w:p>
        </w:tc>
        <w:tc>
          <w:tcPr>
            <w:tcW w:w="1843" w:type="dxa"/>
          </w:tcPr>
          <w:p w14:paraId="50A502F5" w14:textId="77777777" w:rsidR="00960AE8" w:rsidRPr="00DD476C" w:rsidRDefault="00960AE8" w:rsidP="00960AE8">
            <w:pPr>
              <w:jc w:val="both"/>
              <w:rPr>
                <w:rFonts w:cs="Times New Roman"/>
                <w:sz w:val="24"/>
                <w:szCs w:val="24"/>
              </w:rPr>
            </w:pPr>
            <w:r w:rsidRPr="00DD476C">
              <w:rPr>
                <w:rFonts w:cs="Times New Roman"/>
                <w:sz w:val="24"/>
                <w:szCs w:val="24"/>
              </w:rPr>
              <w:t>2 (2.2 %)</w:t>
            </w:r>
          </w:p>
        </w:tc>
        <w:tc>
          <w:tcPr>
            <w:tcW w:w="1937" w:type="dxa"/>
          </w:tcPr>
          <w:p w14:paraId="656F6152" w14:textId="77777777" w:rsidR="00960AE8" w:rsidRPr="00DD476C" w:rsidRDefault="00960AE8" w:rsidP="00960AE8">
            <w:pPr>
              <w:jc w:val="both"/>
              <w:rPr>
                <w:rFonts w:cs="Times New Roman"/>
                <w:sz w:val="24"/>
                <w:szCs w:val="24"/>
              </w:rPr>
            </w:pPr>
            <w:r w:rsidRPr="00DD476C">
              <w:rPr>
                <w:rFonts w:cs="Times New Roman"/>
                <w:sz w:val="24"/>
                <w:szCs w:val="24"/>
              </w:rPr>
              <w:t>3 (3.13 %)</w:t>
            </w:r>
          </w:p>
        </w:tc>
        <w:tc>
          <w:tcPr>
            <w:tcW w:w="851" w:type="dxa"/>
            <w:vMerge/>
          </w:tcPr>
          <w:p w14:paraId="7CF56B57" w14:textId="77777777" w:rsidR="00960AE8" w:rsidRPr="00DD476C" w:rsidRDefault="00960AE8" w:rsidP="00960AE8">
            <w:pPr>
              <w:jc w:val="both"/>
              <w:rPr>
                <w:rFonts w:cs="Times New Roman"/>
                <w:sz w:val="24"/>
                <w:szCs w:val="24"/>
              </w:rPr>
            </w:pPr>
          </w:p>
        </w:tc>
        <w:tc>
          <w:tcPr>
            <w:tcW w:w="1606" w:type="dxa"/>
            <w:vMerge/>
          </w:tcPr>
          <w:p w14:paraId="6E23DFAA" w14:textId="77777777" w:rsidR="00960AE8" w:rsidRPr="00DD476C" w:rsidRDefault="00960AE8" w:rsidP="00960AE8">
            <w:pPr>
              <w:jc w:val="both"/>
              <w:rPr>
                <w:rFonts w:cs="Times New Roman"/>
                <w:sz w:val="24"/>
                <w:szCs w:val="24"/>
              </w:rPr>
            </w:pPr>
          </w:p>
        </w:tc>
      </w:tr>
      <w:tr w:rsidR="002B136D" w:rsidRPr="00DD476C" w14:paraId="6382E14D" w14:textId="77777777" w:rsidTr="00DD476C">
        <w:trPr>
          <w:trHeight w:val="247"/>
        </w:trPr>
        <w:tc>
          <w:tcPr>
            <w:tcW w:w="2268" w:type="dxa"/>
            <w:vMerge w:val="restart"/>
          </w:tcPr>
          <w:p w14:paraId="02CC93B1" w14:textId="038F6AB6" w:rsidR="00960AE8" w:rsidRPr="00DD476C" w:rsidRDefault="00960AE8" w:rsidP="00960AE8">
            <w:pPr>
              <w:jc w:val="both"/>
              <w:rPr>
                <w:rFonts w:cs="Times New Roman"/>
                <w:sz w:val="24"/>
                <w:szCs w:val="24"/>
                <w:lang w:val="en-GB"/>
              </w:rPr>
            </w:pPr>
            <w:r w:rsidRPr="00DD476C">
              <w:rPr>
                <w:rFonts w:cs="Times New Roman"/>
                <w:sz w:val="24"/>
                <w:szCs w:val="24"/>
                <w:lang w:val="kk-KZ"/>
              </w:rPr>
              <w:t>А</w:t>
            </w:r>
            <w:r w:rsidRPr="00DD476C">
              <w:rPr>
                <w:rFonts w:cs="Times New Roman"/>
                <w:sz w:val="24"/>
                <w:szCs w:val="24"/>
              </w:rPr>
              <w:t>ллель</w:t>
            </w:r>
          </w:p>
        </w:tc>
        <w:tc>
          <w:tcPr>
            <w:tcW w:w="1134" w:type="dxa"/>
          </w:tcPr>
          <w:p w14:paraId="7D4A90BD" w14:textId="77777777" w:rsidR="00960AE8" w:rsidRPr="00DD476C" w:rsidRDefault="00960AE8" w:rsidP="00960AE8">
            <w:pPr>
              <w:jc w:val="both"/>
              <w:rPr>
                <w:rFonts w:cs="Times New Roman"/>
                <w:sz w:val="24"/>
                <w:szCs w:val="24"/>
              </w:rPr>
            </w:pPr>
            <w:r w:rsidRPr="00DD476C">
              <w:rPr>
                <w:rFonts w:cs="Times New Roman"/>
                <w:sz w:val="24"/>
                <w:szCs w:val="24"/>
              </w:rPr>
              <w:t>С</w:t>
            </w:r>
            <w:r w:rsidRPr="00DD476C">
              <w:rPr>
                <w:rFonts w:cs="Times New Roman"/>
                <w:sz w:val="24"/>
                <w:szCs w:val="24"/>
                <w:vertAlign w:val="superscript"/>
              </w:rPr>
              <w:t>*</w:t>
            </w:r>
          </w:p>
        </w:tc>
        <w:tc>
          <w:tcPr>
            <w:tcW w:w="1843" w:type="dxa"/>
          </w:tcPr>
          <w:p w14:paraId="309F9FA5" w14:textId="77777777" w:rsidR="00960AE8" w:rsidRPr="00DD476C" w:rsidRDefault="00960AE8" w:rsidP="00960AE8">
            <w:pPr>
              <w:jc w:val="both"/>
              <w:rPr>
                <w:rFonts w:cs="Times New Roman"/>
                <w:sz w:val="24"/>
                <w:szCs w:val="24"/>
              </w:rPr>
            </w:pPr>
            <w:r w:rsidRPr="00DD476C">
              <w:rPr>
                <w:rFonts w:cs="Times New Roman"/>
                <w:sz w:val="24"/>
                <w:szCs w:val="24"/>
              </w:rPr>
              <w:t>154 (85%)</w:t>
            </w:r>
          </w:p>
        </w:tc>
        <w:tc>
          <w:tcPr>
            <w:tcW w:w="1937" w:type="dxa"/>
          </w:tcPr>
          <w:p w14:paraId="76BC4671" w14:textId="77777777" w:rsidR="00960AE8" w:rsidRPr="00DD476C" w:rsidRDefault="00960AE8" w:rsidP="00960AE8">
            <w:pPr>
              <w:jc w:val="both"/>
              <w:rPr>
                <w:rFonts w:cs="Times New Roman"/>
                <w:sz w:val="24"/>
                <w:szCs w:val="24"/>
              </w:rPr>
            </w:pPr>
            <w:r w:rsidRPr="00DD476C">
              <w:rPr>
                <w:rFonts w:cs="Times New Roman"/>
                <w:sz w:val="24"/>
                <w:szCs w:val="24"/>
              </w:rPr>
              <w:t>160 (83.33%)</w:t>
            </w:r>
          </w:p>
        </w:tc>
        <w:tc>
          <w:tcPr>
            <w:tcW w:w="851" w:type="dxa"/>
            <w:vMerge w:val="restart"/>
          </w:tcPr>
          <w:p w14:paraId="2FE76486" w14:textId="77777777" w:rsidR="00960AE8" w:rsidRPr="00DD476C" w:rsidRDefault="00960AE8" w:rsidP="00960AE8">
            <w:pPr>
              <w:jc w:val="both"/>
              <w:rPr>
                <w:rFonts w:cs="Times New Roman"/>
                <w:sz w:val="24"/>
                <w:szCs w:val="24"/>
              </w:rPr>
            </w:pPr>
            <w:r w:rsidRPr="00DD476C">
              <w:rPr>
                <w:rFonts w:cs="Times New Roman"/>
                <w:sz w:val="24"/>
                <w:szCs w:val="24"/>
              </w:rPr>
              <w:t>0.7</w:t>
            </w:r>
          </w:p>
        </w:tc>
        <w:tc>
          <w:tcPr>
            <w:tcW w:w="1606" w:type="dxa"/>
            <w:vMerge w:val="restart"/>
          </w:tcPr>
          <w:p w14:paraId="5B082BBD" w14:textId="77777777" w:rsidR="00960AE8" w:rsidRPr="00DD476C" w:rsidRDefault="00960AE8" w:rsidP="00960AE8">
            <w:pPr>
              <w:jc w:val="both"/>
              <w:rPr>
                <w:rFonts w:cs="Times New Roman"/>
                <w:sz w:val="24"/>
                <w:szCs w:val="24"/>
              </w:rPr>
            </w:pPr>
            <w:r w:rsidRPr="00DD476C">
              <w:rPr>
                <w:rFonts w:cs="Times New Roman"/>
                <w:sz w:val="24"/>
                <w:szCs w:val="24"/>
              </w:rPr>
              <w:t>0.9 (0.5; 1.6)</w:t>
            </w:r>
          </w:p>
        </w:tc>
      </w:tr>
      <w:tr w:rsidR="002B136D" w:rsidRPr="00DD476C" w14:paraId="7348EF87" w14:textId="77777777" w:rsidTr="00DD476C">
        <w:trPr>
          <w:trHeight w:val="247"/>
        </w:trPr>
        <w:tc>
          <w:tcPr>
            <w:tcW w:w="2268" w:type="dxa"/>
            <w:vMerge/>
          </w:tcPr>
          <w:p w14:paraId="2F0A398A" w14:textId="77777777" w:rsidR="00960AE8" w:rsidRPr="00DD476C" w:rsidRDefault="00960AE8" w:rsidP="00960AE8">
            <w:pPr>
              <w:jc w:val="both"/>
              <w:rPr>
                <w:rFonts w:cs="Times New Roman"/>
                <w:sz w:val="24"/>
                <w:szCs w:val="24"/>
              </w:rPr>
            </w:pPr>
          </w:p>
        </w:tc>
        <w:tc>
          <w:tcPr>
            <w:tcW w:w="1134" w:type="dxa"/>
          </w:tcPr>
          <w:p w14:paraId="364E328F" w14:textId="77777777" w:rsidR="00960AE8" w:rsidRPr="00DD476C" w:rsidRDefault="00960AE8" w:rsidP="00960AE8">
            <w:pPr>
              <w:jc w:val="both"/>
              <w:rPr>
                <w:rFonts w:cs="Times New Roman"/>
                <w:sz w:val="24"/>
                <w:szCs w:val="24"/>
              </w:rPr>
            </w:pPr>
            <w:r w:rsidRPr="00DD476C">
              <w:rPr>
                <w:rFonts w:cs="Times New Roman"/>
                <w:sz w:val="24"/>
                <w:szCs w:val="24"/>
              </w:rPr>
              <w:t>Т</w:t>
            </w:r>
          </w:p>
        </w:tc>
        <w:tc>
          <w:tcPr>
            <w:tcW w:w="1843" w:type="dxa"/>
          </w:tcPr>
          <w:p w14:paraId="70F6601A" w14:textId="77777777" w:rsidR="00960AE8" w:rsidRPr="00DD476C" w:rsidRDefault="00960AE8" w:rsidP="00960AE8">
            <w:pPr>
              <w:jc w:val="both"/>
              <w:rPr>
                <w:rFonts w:cs="Times New Roman"/>
                <w:sz w:val="24"/>
                <w:szCs w:val="24"/>
              </w:rPr>
            </w:pPr>
            <w:r w:rsidRPr="00DD476C">
              <w:rPr>
                <w:rFonts w:cs="Times New Roman"/>
                <w:sz w:val="24"/>
                <w:szCs w:val="24"/>
              </w:rPr>
              <w:t>28 (15%)</w:t>
            </w:r>
          </w:p>
        </w:tc>
        <w:tc>
          <w:tcPr>
            <w:tcW w:w="1937" w:type="dxa"/>
          </w:tcPr>
          <w:p w14:paraId="36D1C294" w14:textId="77777777" w:rsidR="00960AE8" w:rsidRPr="00DD476C" w:rsidRDefault="00960AE8" w:rsidP="00960AE8">
            <w:pPr>
              <w:jc w:val="both"/>
              <w:rPr>
                <w:rFonts w:cs="Times New Roman"/>
                <w:sz w:val="24"/>
                <w:szCs w:val="24"/>
              </w:rPr>
            </w:pPr>
            <w:r w:rsidRPr="00DD476C">
              <w:rPr>
                <w:rFonts w:cs="Times New Roman"/>
                <w:sz w:val="24"/>
                <w:szCs w:val="24"/>
              </w:rPr>
              <w:t>32 (16.67%)</w:t>
            </w:r>
          </w:p>
        </w:tc>
        <w:tc>
          <w:tcPr>
            <w:tcW w:w="851" w:type="dxa"/>
            <w:vMerge/>
          </w:tcPr>
          <w:p w14:paraId="28226848" w14:textId="77777777" w:rsidR="00960AE8" w:rsidRPr="00DD476C" w:rsidRDefault="00960AE8" w:rsidP="00960AE8">
            <w:pPr>
              <w:jc w:val="both"/>
              <w:rPr>
                <w:rFonts w:cs="Times New Roman"/>
                <w:sz w:val="24"/>
                <w:szCs w:val="24"/>
              </w:rPr>
            </w:pPr>
          </w:p>
        </w:tc>
        <w:tc>
          <w:tcPr>
            <w:tcW w:w="1606" w:type="dxa"/>
            <w:vMerge/>
          </w:tcPr>
          <w:p w14:paraId="4B0754B1" w14:textId="77777777" w:rsidR="00960AE8" w:rsidRPr="00DD476C" w:rsidRDefault="00960AE8" w:rsidP="00960AE8">
            <w:pPr>
              <w:jc w:val="both"/>
              <w:rPr>
                <w:rFonts w:cs="Times New Roman"/>
                <w:sz w:val="24"/>
                <w:szCs w:val="24"/>
              </w:rPr>
            </w:pPr>
          </w:p>
        </w:tc>
      </w:tr>
      <w:tr w:rsidR="002B136D" w:rsidRPr="00DD476C" w14:paraId="0F292086" w14:textId="77777777" w:rsidTr="00DD476C">
        <w:trPr>
          <w:trHeight w:val="237"/>
        </w:trPr>
        <w:tc>
          <w:tcPr>
            <w:tcW w:w="9639" w:type="dxa"/>
            <w:gridSpan w:val="6"/>
          </w:tcPr>
          <w:p w14:paraId="5019F717" w14:textId="77777777" w:rsidR="00960AE8" w:rsidRPr="00DD476C" w:rsidRDefault="00960AE8" w:rsidP="00960AE8">
            <w:pPr>
              <w:jc w:val="both"/>
              <w:rPr>
                <w:rFonts w:cs="Times New Roman"/>
                <w:sz w:val="24"/>
                <w:szCs w:val="24"/>
              </w:rPr>
            </w:pPr>
            <w:r w:rsidRPr="00DD476C">
              <w:rPr>
                <w:rFonts w:cs="Times New Roman"/>
                <w:sz w:val="24"/>
                <w:szCs w:val="24"/>
              </w:rPr>
              <w:t>rs3811058 / IL1F10</w:t>
            </w:r>
          </w:p>
        </w:tc>
      </w:tr>
      <w:tr w:rsidR="002B136D" w:rsidRPr="00DD476C" w14:paraId="77388283" w14:textId="77777777" w:rsidTr="00DD476C">
        <w:trPr>
          <w:trHeight w:val="247"/>
        </w:trPr>
        <w:tc>
          <w:tcPr>
            <w:tcW w:w="2268" w:type="dxa"/>
            <w:vMerge w:val="restart"/>
          </w:tcPr>
          <w:p w14:paraId="37D16F20" w14:textId="5DA2AA20" w:rsidR="00960AE8" w:rsidRPr="00DD476C" w:rsidRDefault="00960AE8" w:rsidP="00960AE8">
            <w:pPr>
              <w:jc w:val="both"/>
              <w:rPr>
                <w:rFonts w:cs="Times New Roman"/>
                <w:sz w:val="24"/>
                <w:szCs w:val="24"/>
              </w:rPr>
            </w:pPr>
            <w:r w:rsidRPr="00DD476C">
              <w:rPr>
                <w:rFonts w:cs="Times New Roman"/>
                <w:sz w:val="24"/>
                <w:szCs w:val="24"/>
              </w:rPr>
              <w:t>Генотип</w:t>
            </w:r>
          </w:p>
        </w:tc>
        <w:tc>
          <w:tcPr>
            <w:tcW w:w="1134" w:type="dxa"/>
          </w:tcPr>
          <w:p w14:paraId="78A0EC2C" w14:textId="77777777" w:rsidR="00960AE8" w:rsidRPr="00DD476C" w:rsidRDefault="00960AE8" w:rsidP="00960AE8">
            <w:pPr>
              <w:jc w:val="both"/>
              <w:rPr>
                <w:rFonts w:cs="Times New Roman"/>
                <w:sz w:val="24"/>
                <w:szCs w:val="24"/>
              </w:rPr>
            </w:pPr>
            <w:r w:rsidRPr="00DD476C">
              <w:rPr>
                <w:rFonts w:cs="Times New Roman"/>
                <w:sz w:val="24"/>
                <w:szCs w:val="24"/>
              </w:rPr>
              <w:t>CC</w:t>
            </w:r>
          </w:p>
        </w:tc>
        <w:tc>
          <w:tcPr>
            <w:tcW w:w="1843" w:type="dxa"/>
          </w:tcPr>
          <w:p w14:paraId="5091541C" w14:textId="77777777" w:rsidR="00960AE8" w:rsidRPr="00DD476C" w:rsidRDefault="00960AE8" w:rsidP="00960AE8">
            <w:pPr>
              <w:jc w:val="both"/>
              <w:rPr>
                <w:rFonts w:cs="Times New Roman"/>
                <w:sz w:val="24"/>
                <w:szCs w:val="24"/>
              </w:rPr>
            </w:pPr>
            <w:r w:rsidRPr="00DD476C">
              <w:rPr>
                <w:rFonts w:cs="Times New Roman"/>
                <w:sz w:val="24"/>
                <w:szCs w:val="24"/>
              </w:rPr>
              <w:t>50 (54.95%)</w:t>
            </w:r>
          </w:p>
        </w:tc>
        <w:tc>
          <w:tcPr>
            <w:tcW w:w="1937" w:type="dxa"/>
          </w:tcPr>
          <w:p w14:paraId="7254A73C" w14:textId="77777777" w:rsidR="00960AE8" w:rsidRPr="00DD476C" w:rsidRDefault="00960AE8" w:rsidP="00960AE8">
            <w:pPr>
              <w:jc w:val="both"/>
              <w:rPr>
                <w:rFonts w:cs="Times New Roman"/>
                <w:sz w:val="24"/>
                <w:szCs w:val="24"/>
              </w:rPr>
            </w:pPr>
            <w:r w:rsidRPr="00DD476C">
              <w:rPr>
                <w:rFonts w:cs="Times New Roman"/>
                <w:sz w:val="24"/>
                <w:szCs w:val="24"/>
              </w:rPr>
              <w:t>58 (60.42%)</w:t>
            </w:r>
          </w:p>
        </w:tc>
        <w:tc>
          <w:tcPr>
            <w:tcW w:w="851" w:type="dxa"/>
            <w:vMerge w:val="restart"/>
          </w:tcPr>
          <w:p w14:paraId="34A0ACAC" w14:textId="77777777" w:rsidR="00960AE8" w:rsidRPr="00DD476C" w:rsidRDefault="00960AE8" w:rsidP="00960AE8">
            <w:pPr>
              <w:jc w:val="both"/>
              <w:rPr>
                <w:rFonts w:cs="Times New Roman"/>
                <w:sz w:val="24"/>
                <w:szCs w:val="24"/>
              </w:rPr>
            </w:pPr>
            <w:r w:rsidRPr="00DD476C">
              <w:rPr>
                <w:rFonts w:cs="Times New Roman"/>
                <w:sz w:val="24"/>
                <w:szCs w:val="24"/>
              </w:rPr>
              <w:t>0.4</w:t>
            </w:r>
          </w:p>
        </w:tc>
        <w:tc>
          <w:tcPr>
            <w:tcW w:w="1606" w:type="dxa"/>
            <w:vMerge w:val="restart"/>
          </w:tcPr>
          <w:p w14:paraId="130D1057" w14:textId="28AB78AA" w:rsidR="00960AE8" w:rsidRPr="00DD476C" w:rsidRDefault="00F35C00" w:rsidP="00960AE8">
            <w:pPr>
              <w:jc w:val="both"/>
              <w:rPr>
                <w:rFonts w:cs="Times New Roman"/>
                <w:sz w:val="24"/>
                <w:szCs w:val="24"/>
              </w:rPr>
            </w:pPr>
            <w:r>
              <w:rPr>
                <w:rFonts w:cs="Times New Roman"/>
                <w:sz w:val="24"/>
                <w:szCs w:val="24"/>
              </w:rPr>
              <w:t xml:space="preserve">0.7 </w:t>
            </w:r>
            <w:r w:rsidR="00960AE8" w:rsidRPr="00DD476C">
              <w:rPr>
                <w:rFonts w:cs="Times New Roman"/>
                <w:sz w:val="24"/>
                <w:szCs w:val="24"/>
              </w:rPr>
              <w:t>(0.4; 1.4)</w:t>
            </w:r>
          </w:p>
        </w:tc>
      </w:tr>
      <w:tr w:rsidR="002B136D" w:rsidRPr="00DD476C" w14:paraId="6D613FE0" w14:textId="77777777" w:rsidTr="00DD476C">
        <w:trPr>
          <w:trHeight w:val="237"/>
        </w:trPr>
        <w:tc>
          <w:tcPr>
            <w:tcW w:w="2268" w:type="dxa"/>
            <w:vMerge/>
          </w:tcPr>
          <w:p w14:paraId="4DF3E289" w14:textId="77777777" w:rsidR="00960AE8" w:rsidRPr="00DD476C" w:rsidRDefault="00960AE8" w:rsidP="00960AE8">
            <w:pPr>
              <w:jc w:val="both"/>
              <w:rPr>
                <w:rFonts w:cs="Times New Roman"/>
                <w:sz w:val="24"/>
                <w:szCs w:val="24"/>
              </w:rPr>
            </w:pPr>
          </w:p>
        </w:tc>
        <w:tc>
          <w:tcPr>
            <w:tcW w:w="1134" w:type="dxa"/>
          </w:tcPr>
          <w:p w14:paraId="204680DB" w14:textId="77777777" w:rsidR="00960AE8" w:rsidRPr="00DD476C" w:rsidRDefault="00960AE8" w:rsidP="00960AE8">
            <w:pPr>
              <w:jc w:val="both"/>
              <w:rPr>
                <w:rFonts w:cs="Times New Roman"/>
                <w:sz w:val="24"/>
                <w:szCs w:val="24"/>
              </w:rPr>
            </w:pPr>
            <w:r w:rsidRPr="00DD476C">
              <w:rPr>
                <w:rFonts w:cs="Times New Roman"/>
                <w:sz w:val="24"/>
                <w:szCs w:val="24"/>
              </w:rPr>
              <w:t>TT</w:t>
            </w:r>
          </w:p>
        </w:tc>
        <w:tc>
          <w:tcPr>
            <w:tcW w:w="1843" w:type="dxa"/>
          </w:tcPr>
          <w:p w14:paraId="4BCA184A" w14:textId="77777777" w:rsidR="00960AE8" w:rsidRPr="00DD476C" w:rsidRDefault="00960AE8" w:rsidP="00960AE8">
            <w:pPr>
              <w:jc w:val="both"/>
              <w:rPr>
                <w:rFonts w:cs="Times New Roman"/>
                <w:sz w:val="24"/>
                <w:szCs w:val="24"/>
              </w:rPr>
            </w:pPr>
            <w:r w:rsidRPr="00DD476C">
              <w:rPr>
                <w:rFonts w:cs="Times New Roman"/>
                <w:sz w:val="24"/>
                <w:szCs w:val="24"/>
              </w:rPr>
              <w:t>41 (45.05%)</w:t>
            </w:r>
          </w:p>
        </w:tc>
        <w:tc>
          <w:tcPr>
            <w:tcW w:w="1937" w:type="dxa"/>
          </w:tcPr>
          <w:p w14:paraId="2312BAB5" w14:textId="77777777" w:rsidR="00960AE8" w:rsidRPr="00DD476C" w:rsidRDefault="00960AE8" w:rsidP="00960AE8">
            <w:pPr>
              <w:jc w:val="both"/>
              <w:rPr>
                <w:rFonts w:cs="Times New Roman"/>
                <w:sz w:val="24"/>
                <w:szCs w:val="24"/>
              </w:rPr>
            </w:pPr>
            <w:r w:rsidRPr="00DD476C">
              <w:rPr>
                <w:rFonts w:cs="Times New Roman"/>
                <w:sz w:val="24"/>
                <w:szCs w:val="24"/>
              </w:rPr>
              <w:t>38 (39.58%)</w:t>
            </w:r>
          </w:p>
        </w:tc>
        <w:tc>
          <w:tcPr>
            <w:tcW w:w="851" w:type="dxa"/>
            <w:vMerge/>
          </w:tcPr>
          <w:p w14:paraId="209173D8" w14:textId="77777777" w:rsidR="00960AE8" w:rsidRPr="00DD476C" w:rsidRDefault="00960AE8" w:rsidP="00960AE8">
            <w:pPr>
              <w:jc w:val="both"/>
              <w:rPr>
                <w:rFonts w:cs="Times New Roman"/>
                <w:sz w:val="24"/>
                <w:szCs w:val="24"/>
              </w:rPr>
            </w:pPr>
          </w:p>
        </w:tc>
        <w:tc>
          <w:tcPr>
            <w:tcW w:w="1606" w:type="dxa"/>
            <w:vMerge/>
          </w:tcPr>
          <w:p w14:paraId="0715E0E4" w14:textId="77777777" w:rsidR="00960AE8" w:rsidRPr="00DD476C" w:rsidRDefault="00960AE8" w:rsidP="00960AE8">
            <w:pPr>
              <w:jc w:val="both"/>
              <w:rPr>
                <w:rFonts w:cs="Times New Roman"/>
                <w:sz w:val="24"/>
                <w:szCs w:val="24"/>
              </w:rPr>
            </w:pPr>
          </w:p>
        </w:tc>
      </w:tr>
      <w:tr w:rsidR="002B136D" w:rsidRPr="00DD476C" w14:paraId="6AD3CE18" w14:textId="77777777" w:rsidTr="00DD476C">
        <w:trPr>
          <w:trHeight w:val="237"/>
        </w:trPr>
        <w:tc>
          <w:tcPr>
            <w:tcW w:w="2268" w:type="dxa"/>
            <w:vMerge w:val="restart"/>
          </w:tcPr>
          <w:p w14:paraId="46DC654B" w14:textId="2975CAA9" w:rsidR="00960AE8" w:rsidRPr="00DD476C" w:rsidRDefault="00960AE8" w:rsidP="00960AE8">
            <w:pPr>
              <w:jc w:val="both"/>
              <w:rPr>
                <w:rFonts w:cs="Times New Roman"/>
                <w:sz w:val="24"/>
                <w:szCs w:val="24"/>
                <w:lang w:val="en-GB"/>
              </w:rPr>
            </w:pPr>
            <w:r w:rsidRPr="00DD476C">
              <w:rPr>
                <w:rFonts w:cs="Times New Roman"/>
                <w:sz w:val="24"/>
                <w:szCs w:val="24"/>
                <w:lang w:val="kk-KZ"/>
              </w:rPr>
              <w:t>А</w:t>
            </w:r>
            <w:r w:rsidRPr="00DD476C">
              <w:rPr>
                <w:rFonts w:cs="Times New Roman"/>
                <w:sz w:val="24"/>
                <w:szCs w:val="24"/>
              </w:rPr>
              <w:t>ллель</w:t>
            </w:r>
          </w:p>
        </w:tc>
        <w:tc>
          <w:tcPr>
            <w:tcW w:w="1134" w:type="dxa"/>
          </w:tcPr>
          <w:p w14:paraId="1026BDE6" w14:textId="77777777" w:rsidR="00960AE8" w:rsidRPr="00DD476C" w:rsidRDefault="00960AE8" w:rsidP="00960AE8">
            <w:pPr>
              <w:jc w:val="both"/>
              <w:rPr>
                <w:rFonts w:cs="Times New Roman"/>
                <w:sz w:val="24"/>
                <w:szCs w:val="24"/>
              </w:rPr>
            </w:pPr>
            <w:r w:rsidRPr="00DD476C">
              <w:rPr>
                <w:rFonts w:cs="Times New Roman"/>
                <w:sz w:val="24"/>
                <w:szCs w:val="24"/>
              </w:rPr>
              <w:t>С</w:t>
            </w:r>
          </w:p>
        </w:tc>
        <w:tc>
          <w:tcPr>
            <w:tcW w:w="1843" w:type="dxa"/>
          </w:tcPr>
          <w:p w14:paraId="394FD741" w14:textId="77777777" w:rsidR="00960AE8" w:rsidRPr="00DD476C" w:rsidRDefault="00960AE8" w:rsidP="00960AE8">
            <w:pPr>
              <w:jc w:val="both"/>
              <w:rPr>
                <w:rFonts w:cs="Times New Roman"/>
                <w:sz w:val="24"/>
                <w:szCs w:val="24"/>
              </w:rPr>
            </w:pPr>
            <w:r w:rsidRPr="00DD476C">
              <w:rPr>
                <w:rFonts w:cs="Times New Roman"/>
                <w:sz w:val="24"/>
                <w:szCs w:val="24"/>
              </w:rPr>
              <w:t>100 (54.95%)</w:t>
            </w:r>
          </w:p>
        </w:tc>
        <w:tc>
          <w:tcPr>
            <w:tcW w:w="1937" w:type="dxa"/>
          </w:tcPr>
          <w:p w14:paraId="4701A304" w14:textId="77777777" w:rsidR="00960AE8" w:rsidRPr="00DD476C" w:rsidRDefault="00960AE8" w:rsidP="00960AE8">
            <w:pPr>
              <w:jc w:val="both"/>
              <w:rPr>
                <w:rFonts w:cs="Times New Roman"/>
                <w:sz w:val="24"/>
                <w:szCs w:val="24"/>
              </w:rPr>
            </w:pPr>
            <w:r w:rsidRPr="00DD476C">
              <w:rPr>
                <w:rFonts w:cs="Times New Roman"/>
                <w:sz w:val="24"/>
                <w:szCs w:val="24"/>
              </w:rPr>
              <w:t>116 (60.42%)</w:t>
            </w:r>
          </w:p>
        </w:tc>
        <w:tc>
          <w:tcPr>
            <w:tcW w:w="851" w:type="dxa"/>
            <w:vMerge w:val="restart"/>
          </w:tcPr>
          <w:p w14:paraId="24D7B875" w14:textId="77777777" w:rsidR="00960AE8" w:rsidRPr="00DD476C" w:rsidRDefault="00960AE8" w:rsidP="00960AE8">
            <w:pPr>
              <w:jc w:val="both"/>
              <w:rPr>
                <w:rFonts w:cs="Times New Roman"/>
                <w:sz w:val="24"/>
                <w:szCs w:val="24"/>
              </w:rPr>
            </w:pPr>
            <w:r w:rsidRPr="00DD476C">
              <w:rPr>
                <w:rFonts w:cs="Times New Roman"/>
                <w:sz w:val="24"/>
                <w:szCs w:val="24"/>
              </w:rPr>
              <w:t>0.3</w:t>
            </w:r>
          </w:p>
        </w:tc>
        <w:tc>
          <w:tcPr>
            <w:tcW w:w="1606" w:type="dxa"/>
            <w:vMerge w:val="restart"/>
          </w:tcPr>
          <w:p w14:paraId="02CC187B" w14:textId="77777777" w:rsidR="00960AE8" w:rsidRPr="00DD476C" w:rsidRDefault="00960AE8" w:rsidP="00960AE8">
            <w:pPr>
              <w:jc w:val="both"/>
              <w:rPr>
                <w:rFonts w:cs="Times New Roman"/>
                <w:sz w:val="24"/>
                <w:szCs w:val="24"/>
              </w:rPr>
            </w:pPr>
            <w:r w:rsidRPr="00DD476C">
              <w:rPr>
                <w:rFonts w:cs="Times New Roman"/>
                <w:sz w:val="24"/>
                <w:szCs w:val="24"/>
              </w:rPr>
              <w:t>0.7 (0.5; 1.2)</w:t>
            </w:r>
          </w:p>
        </w:tc>
      </w:tr>
      <w:tr w:rsidR="002B136D" w:rsidRPr="00DD476C" w14:paraId="40EA3581" w14:textId="77777777" w:rsidTr="00DD476C">
        <w:trPr>
          <w:trHeight w:val="237"/>
        </w:trPr>
        <w:tc>
          <w:tcPr>
            <w:tcW w:w="2268" w:type="dxa"/>
            <w:vMerge/>
          </w:tcPr>
          <w:p w14:paraId="5A965D64" w14:textId="77777777" w:rsidR="00960AE8" w:rsidRPr="00DD476C" w:rsidRDefault="00960AE8" w:rsidP="00960AE8">
            <w:pPr>
              <w:rPr>
                <w:rFonts w:eastAsia="Calibri" w:cs="Times New Roman"/>
                <w:sz w:val="24"/>
                <w:szCs w:val="24"/>
              </w:rPr>
            </w:pPr>
          </w:p>
        </w:tc>
        <w:tc>
          <w:tcPr>
            <w:tcW w:w="1134" w:type="dxa"/>
          </w:tcPr>
          <w:p w14:paraId="55899AAC" w14:textId="77777777" w:rsidR="00960AE8" w:rsidRPr="00DD476C" w:rsidRDefault="00960AE8" w:rsidP="00960AE8">
            <w:pPr>
              <w:jc w:val="both"/>
              <w:rPr>
                <w:rFonts w:cs="Times New Roman"/>
                <w:sz w:val="24"/>
                <w:szCs w:val="24"/>
              </w:rPr>
            </w:pPr>
            <w:r w:rsidRPr="00DD476C">
              <w:rPr>
                <w:rFonts w:cs="Times New Roman"/>
                <w:sz w:val="24"/>
                <w:szCs w:val="24"/>
              </w:rPr>
              <w:t>Т</w:t>
            </w:r>
            <w:r w:rsidRPr="00DD476C">
              <w:rPr>
                <w:rFonts w:cs="Times New Roman"/>
                <w:sz w:val="24"/>
                <w:szCs w:val="24"/>
                <w:vertAlign w:val="superscript"/>
              </w:rPr>
              <w:t>*</w:t>
            </w:r>
          </w:p>
        </w:tc>
        <w:tc>
          <w:tcPr>
            <w:tcW w:w="1843" w:type="dxa"/>
          </w:tcPr>
          <w:p w14:paraId="1AFF8E0E" w14:textId="77777777" w:rsidR="00960AE8" w:rsidRPr="00DD476C" w:rsidRDefault="00960AE8" w:rsidP="00960AE8">
            <w:pPr>
              <w:jc w:val="both"/>
              <w:rPr>
                <w:rFonts w:cs="Times New Roman"/>
                <w:sz w:val="24"/>
                <w:szCs w:val="24"/>
              </w:rPr>
            </w:pPr>
            <w:r w:rsidRPr="00DD476C">
              <w:rPr>
                <w:rFonts w:cs="Times New Roman"/>
                <w:sz w:val="24"/>
                <w:szCs w:val="24"/>
              </w:rPr>
              <w:t>82 (45.05%)</w:t>
            </w:r>
          </w:p>
        </w:tc>
        <w:tc>
          <w:tcPr>
            <w:tcW w:w="1937" w:type="dxa"/>
          </w:tcPr>
          <w:p w14:paraId="58F97332" w14:textId="77777777" w:rsidR="00960AE8" w:rsidRPr="00DD476C" w:rsidRDefault="00960AE8" w:rsidP="00960AE8">
            <w:pPr>
              <w:jc w:val="both"/>
              <w:rPr>
                <w:rFonts w:cs="Times New Roman"/>
                <w:sz w:val="24"/>
                <w:szCs w:val="24"/>
              </w:rPr>
            </w:pPr>
            <w:r w:rsidRPr="00DD476C">
              <w:rPr>
                <w:rFonts w:cs="Times New Roman"/>
                <w:sz w:val="24"/>
                <w:szCs w:val="24"/>
              </w:rPr>
              <w:t>76 (39.58%)</w:t>
            </w:r>
          </w:p>
        </w:tc>
        <w:tc>
          <w:tcPr>
            <w:tcW w:w="851" w:type="dxa"/>
            <w:vMerge/>
          </w:tcPr>
          <w:p w14:paraId="74C52345" w14:textId="77777777" w:rsidR="00960AE8" w:rsidRPr="00DD476C" w:rsidRDefault="00960AE8" w:rsidP="00960AE8">
            <w:pPr>
              <w:rPr>
                <w:rFonts w:eastAsia="Calibri" w:cs="Times New Roman"/>
                <w:sz w:val="24"/>
                <w:szCs w:val="24"/>
              </w:rPr>
            </w:pPr>
          </w:p>
        </w:tc>
        <w:tc>
          <w:tcPr>
            <w:tcW w:w="1606" w:type="dxa"/>
            <w:vMerge/>
          </w:tcPr>
          <w:p w14:paraId="49E713AA" w14:textId="77777777" w:rsidR="00960AE8" w:rsidRPr="00DD476C" w:rsidRDefault="00960AE8" w:rsidP="00960AE8">
            <w:pPr>
              <w:rPr>
                <w:rFonts w:eastAsia="Calibri" w:cs="Times New Roman"/>
                <w:sz w:val="24"/>
                <w:szCs w:val="24"/>
              </w:rPr>
            </w:pPr>
          </w:p>
        </w:tc>
      </w:tr>
      <w:tr w:rsidR="002B136D" w:rsidRPr="00DD476C" w14:paraId="25726371" w14:textId="77777777" w:rsidTr="00DD476C">
        <w:trPr>
          <w:trHeight w:val="237"/>
        </w:trPr>
        <w:tc>
          <w:tcPr>
            <w:tcW w:w="9639" w:type="dxa"/>
            <w:gridSpan w:val="6"/>
          </w:tcPr>
          <w:p w14:paraId="74135A0C" w14:textId="77777777" w:rsidR="00960AE8" w:rsidRPr="00DD476C" w:rsidRDefault="00960AE8" w:rsidP="00960AE8">
            <w:pPr>
              <w:jc w:val="both"/>
              <w:rPr>
                <w:rFonts w:cs="Times New Roman"/>
                <w:sz w:val="24"/>
                <w:szCs w:val="24"/>
              </w:rPr>
            </w:pPr>
            <w:r w:rsidRPr="00DD476C">
              <w:rPr>
                <w:rFonts w:cs="Times New Roman"/>
                <w:sz w:val="24"/>
                <w:szCs w:val="24"/>
              </w:rPr>
              <w:t>rs7570267 / IL1F10</w:t>
            </w:r>
          </w:p>
        </w:tc>
      </w:tr>
      <w:tr w:rsidR="002B136D" w:rsidRPr="00DD476C" w14:paraId="704D44AC" w14:textId="77777777" w:rsidTr="00DD476C">
        <w:trPr>
          <w:trHeight w:val="247"/>
        </w:trPr>
        <w:tc>
          <w:tcPr>
            <w:tcW w:w="2268" w:type="dxa"/>
            <w:vMerge w:val="restart"/>
          </w:tcPr>
          <w:p w14:paraId="305D9AE0" w14:textId="01E00AAA" w:rsidR="00960AE8" w:rsidRPr="00DD476C" w:rsidRDefault="00960AE8" w:rsidP="00960AE8">
            <w:pPr>
              <w:jc w:val="both"/>
              <w:rPr>
                <w:rFonts w:cs="Times New Roman"/>
                <w:sz w:val="24"/>
                <w:szCs w:val="24"/>
              </w:rPr>
            </w:pPr>
            <w:r w:rsidRPr="00DD476C">
              <w:rPr>
                <w:rFonts w:cs="Times New Roman"/>
                <w:sz w:val="24"/>
                <w:szCs w:val="24"/>
              </w:rPr>
              <w:t>Генотип</w:t>
            </w:r>
          </w:p>
        </w:tc>
        <w:tc>
          <w:tcPr>
            <w:tcW w:w="1134" w:type="dxa"/>
          </w:tcPr>
          <w:p w14:paraId="120B5F64" w14:textId="77777777" w:rsidR="00960AE8" w:rsidRPr="00DD476C" w:rsidRDefault="00960AE8" w:rsidP="00960AE8">
            <w:pPr>
              <w:jc w:val="both"/>
              <w:rPr>
                <w:rFonts w:cs="Times New Roman"/>
                <w:sz w:val="24"/>
                <w:szCs w:val="24"/>
              </w:rPr>
            </w:pPr>
            <w:r w:rsidRPr="00DD476C">
              <w:rPr>
                <w:rFonts w:cs="Times New Roman"/>
                <w:sz w:val="24"/>
                <w:szCs w:val="24"/>
              </w:rPr>
              <w:t>AA</w:t>
            </w:r>
          </w:p>
        </w:tc>
        <w:tc>
          <w:tcPr>
            <w:tcW w:w="1843" w:type="dxa"/>
          </w:tcPr>
          <w:p w14:paraId="595734E7" w14:textId="77777777" w:rsidR="00960AE8" w:rsidRPr="00DD476C" w:rsidRDefault="00960AE8" w:rsidP="00960AE8">
            <w:pPr>
              <w:jc w:val="both"/>
              <w:rPr>
                <w:rFonts w:cs="Times New Roman"/>
                <w:sz w:val="24"/>
                <w:szCs w:val="24"/>
              </w:rPr>
            </w:pPr>
            <w:r w:rsidRPr="00DD476C">
              <w:rPr>
                <w:rFonts w:cs="Times New Roman"/>
                <w:sz w:val="24"/>
                <w:szCs w:val="24"/>
              </w:rPr>
              <w:t>43 (47.25%)</w:t>
            </w:r>
          </w:p>
        </w:tc>
        <w:tc>
          <w:tcPr>
            <w:tcW w:w="1937" w:type="dxa"/>
          </w:tcPr>
          <w:p w14:paraId="019556E4" w14:textId="77777777" w:rsidR="00960AE8" w:rsidRPr="00DD476C" w:rsidRDefault="00960AE8" w:rsidP="00960AE8">
            <w:pPr>
              <w:jc w:val="both"/>
              <w:rPr>
                <w:rFonts w:cs="Times New Roman"/>
                <w:sz w:val="24"/>
                <w:szCs w:val="24"/>
              </w:rPr>
            </w:pPr>
            <w:r w:rsidRPr="00DD476C">
              <w:rPr>
                <w:rFonts w:cs="Times New Roman"/>
                <w:sz w:val="24"/>
                <w:szCs w:val="24"/>
              </w:rPr>
              <w:t>53 (55.21%)</w:t>
            </w:r>
          </w:p>
        </w:tc>
        <w:tc>
          <w:tcPr>
            <w:tcW w:w="851" w:type="dxa"/>
            <w:vMerge w:val="restart"/>
          </w:tcPr>
          <w:p w14:paraId="59331B8E" w14:textId="77777777" w:rsidR="00960AE8" w:rsidRPr="00DD476C" w:rsidRDefault="00960AE8" w:rsidP="00960AE8">
            <w:pPr>
              <w:jc w:val="both"/>
              <w:rPr>
                <w:rFonts w:cs="Times New Roman"/>
                <w:sz w:val="24"/>
                <w:szCs w:val="24"/>
              </w:rPr>
            </w:pPr>
            <w:r w:rsidRPr="00DD476C">
              <w:rPr>
                <w:rFonts w:cs="Times New Roman"/>
                <w:sz w:val="24"/>
                <w:szCs w:val="24"/>
              </w:rPr>
              <w:t>0.3</w:t>
            </w:r>
          </w:p>
        </w:tc>
        <w:tc>
          <w:tcPr>
            <w:tcW w:w="1606" w:type="dxa"/>
            <w:vMerge w:val="restart"/>
          </w:tcPr>
          <w:p w14:paraId="18B4EF4E" w14:textId="77777777" w:rsidR="00960AE8" w:rsidRPr="00DD476C" w:rsidRDefault="00960AE8" w:rsidP="00960AE8">
            <w:pPr>
              <w:jc w:val="both"/>
              <w:rPr>
                <w:rFonts w:cs="Times New Roman"/>
                <w:sz w:val="24"/>
                <w:szCs w:val="24"/>
              </w:rPr>
            </w:pPr>
            <w:r w:rsidRPr="00DD476C">
              <w:rPr>
                <w:rFonts w:cs="Times New Roman"/>
                <w:sz w:val="24"/>
                <w:szCs w:val="24"/>
              </w:rPr>
              <w:t>0.8(0.6;1.2)</w:t>
            </w:r>
          </w:p>
        </w:tc>
      </w:tr>
      <w:tr w:rsidR="002B136D" w:rsidRPr="00DD476C" w14:paraId="22EA163A" w14:textId="77777777" w:rsidTr="00DD476C">
        <w:trPr>
          <w:trHeight w:val="247"/>
        </w:trPr>
        <w:tc>
          <w:tcPr>
            <w:tcW w:w="2268" w:type="dxa"/>
            <w:vMerge/>
          </w:tcPr>
          <w:p w14:paraId="5F50634F" w14:textId="77777777" w:rsidR="00960AE8" w:rsidRPr="00DD476C" w:rsidRDefault="00960AE8" w:rsidP="00960AE8">
            <w:pPr>
              <w:jc w:val="both"/>
              <w:rPr>
                <w:rFonts w:cs="Times New Roman"/>
                <w:sz w:val="24"/>
                <w:szCs w:val="24"/>
              </w:rPr>
            </w:pPr>
          </w:p>
        </w:tc>
        <w:tc>
          <w:tcPr>
            <w:tcW w:w="1134" w:type="dxa"/>
          </w:tcPr>
          <w:p w14:paraId="29FEAC09" w14:textId="77777777" w:rsidR="00960AE8" w:rsidRPr="00DD476C" w:rsidRDefault="00960AE8" w:rsidP="00960AE8">
            <w:pPr>
              <w:jc w:val="both"/>
              <w:rPr>
                <w:rFonts w:cs="Times New Roman"/>
                <w:sz w:val="24"/>
                <w:szCs w:val="24"/>
              </w:rPr>
            </w:pPr>
            <w:r w:rsidRPr="00DD476C">
              <w:rPr>
                <w:rFonts w:cs="Times New Roman"/>
                <w:sz w:val="24"/>
                <w:szCs w:val="24"/>
              </w:rPr>
              <w:t>AG</w:t>
            </w:r>
          </w:p>
        </w:tc>
        <w:tc>
          <w:tcPr>
            <w:tcW w:w="1843" w:type="dxa"/>
          </w:tcPr>
          <w:p w14:paraId="2A1AA30C" w14:textId="77777777" w:rsidR="00960AE8" w:rsidRPr="00DD476C" w:rsidRDefault="00960AE8" w:rsidP="00960AE8">
            <w:pPr>
              <w:jc w:val="both"/>
              <w:rPr>
                <w:rFonts w:cs="Times New Roman"/>
                <w:sz w:val="24"/>
                <w:szCs w:val="24"/>
              </w:rPr>
            </w:pPr>
            <w:r w:rsidRPr="00DD476C">
              <w:rPr>
                <w:rFonts w:cs="Times New Roman"/>
                <w:sz w:val="24"/>
                <w:szCs w:val="24"/>
              </w:rPr>
              <w:t>38 (41.76 %)</w:t>
            </w:r>
          </w:p>
        </w:tc>
        <w:tc>
          <w:tcPr>
            <w:tcW w:w="1937" w:type="dxa"/>
          </w:tcPr>
          <w:p w14:paraId="5AEDCBAA" w14:textId="77777777" w:rsidR="00960AE8" w:rsidRPr="00DD476C" w:rsidRDefault="00960AE8" w:rsidP="00960AE8">
            <w:pPr>
              <w:jc w:val="both"/>
              <w:rPr>
                <w:rFonts w:cs="Times New Roman"/>
                <w:sz w:val="24"/>
                <w:szCs w:val="24"/>
              </w:rPr>
            </w:pPr>
            <w:r w:rsidRPr="00DD476C">
              <w:rPr>
                <w:rFonts w:cs="Times New Roman"/>
                <w:sz w:val="24"/>
                <w:szCs w:val="24"/>
              </w:rPr>
              <w:t>35 (36.46%)</w:t>
            </w:r>
          </w:p>
        </w:tc>
        <w:tc>
          <w:tcPr>
            <w:tcW w:w="851" w:type="dxa"/>
            <w:vMerge/>
          </w:tcPr>
          <w:p w14:paraId="6FAB1D75" w14:textId="77777777" w:rsidR="00960AE8" w:rsidRPr="00DD476C" w:rsidRDefault="00960AE8" w:rsidP="00960AE8">
            <w:pPr>
              <w:jc w:val="both"/>
              <w:rPr>
                <w:rFonts w:cs="Times New Roman"/>
                <w:sz w:val="24"/>
                <w:szCs w:val="24"/>
              </w:rPr>
            </w:pPr>
          </w:p>
        </w:tc>
        <w:tc>
          <w:tcPr>
            <w:tcW w:w="1606" w:type="dxa"/>
            <w:vMerge/>
          </w:tcPr>
          <w:p w14:paraId="12961681" w14:textId="77777777" w:rsidR="00960AE8" w:rsidRPr="00DD476C" w:rsidRDefault="00960AE8" w:rsidP="00960AE8">
            <w:pPr>
              <w:jc w:val="both"/>
              <w:rPr>
                <w:rFonts w:cs="Times New Roman"/>
                <w:sz w:val="24"/>
                <w:szCs w:val="24"/>
              </w:rPr>
            </w:pPr>
          </w:p>
        </w:tc>
      </w:tr>
      <w:tr w:rsidR="002B136D" w:rsidRPr="00DD476C" w14:paraId="3292BF3E" w14:textId="77777777" w:rsidTr="00DD476C">
        <w:trPr>
          <w:trHeight w:val="247"/>
        </w:trPr>
        <w:tc>
          <w:tcPr>
            <w:tcW w:w="2268" w:type="dxa"/>
            <w:vMerge/>
            <w:tcBorders>
              <w:bottom w:val="single" w:sz="4" w:space="0" w:color="auto"/>
            </w:tcBorders>
          </w:tcPr>
          <w:p w14:paraId="09636DDD" w14:textId="77777777" w:rsidR="00960AE8" w:rsidRPr="00DD476C" w:rsidRDefault="00960AE8" w:rsidP="00960AE8">
            <w:pPr>
              <w:jc w:val="both"/>
              <w:rPr>
                <w:rFonts w:cs="Times New Roman"/>
                <w:sz w:val="24"/>
                <w:szCs w:val="24"/>
              </w:rPr>
            </w:pPr>
          </w:p>
        </w:tc>
        <w:tc>
          <w:tcPr>
            <w:tcW w:w="1134" w:type="dxa"/>
            <w:tcBorders>
              <w:bottom w:val="single" w:sz="4" w:space="0" w:color="auto"/>
            </w:tcBorders>
          </w:tcPr>
          <w:p w14:paraId="467A7301" w14:textId="77777777" w:rsidR="00960AE8" w:rsidRPr="00DD476C" w:rsidRDefault="00960AE8" w:rsidP="00960AE8">
            <w:pPr>
              <w:jc w:val="both"/>
              <w:rPr>
                <w:rFonts w:cs="Times New Roman"/>
                <w:sz w:val="24"/>
                <w:szCs w:val="24"/>
              </w:rPr>
            </w:pPr>
            <w:r w:rsidRPr="00DD476C">
              <w:rPr>
                <w:rFonts w:cs="Times New Roman"/>
                <w:sz w:val="24"/>
                <w:szCs w:val="24"/>
              </w:rPr>
              <w:t>GG</w:t>
            </w:r>
          </w:p>
        </w:tc>
        <w:tc>
          <w:tcPr>
            <w:tcW w:w="1843" w:type="dxa"/>
            <w:tcBorders>
              <w:bottom w:val="single" w:sz="4" w:space="0" w:color="auto"/>
            </w:tcBorders>
          </w:tcPr>
          <w:p w14:paraId="629ABE49" w14:textId="77777777" w:rsidR="00960AE8" w:rsidRPr="00DD476C" w:rsidRDefault="00960AE8" w:rsidP="00960AE8">
            <w:pPr>
              <w:jc w:val="both"/>
              <w:rPr>
                <w:rFonts w:cs="Times New Roman"/>
                <w:sz w:val="24"/>
                <w:szCs w:val="24"/>
              </w:rPr>
            </w:pPr>
            <w:r w:rsidRPr="00DD476C">
              <w:rPr>
                <w:rFonts w:cs="Times New Roman"/>
                <w:sz w:val="24"/>
                <w:szCs w:val="24"/>
              </w:rPr>
              <w:t>10 (10.99%)</w:t>
            </w:r>
          </w:p>
        </w:tc>
        <w:tc>
          <w:tcPr>
            <w:tcW w:w="1937" w:type="dxa"/>
            <w:tcBorders>
              <w:bottom w:val="single" w:sz="4" w:space="0" w:color="auto"/>
            </w:tcBorders>
          </w:tcPr>
          <w:p w14:paraId="6582D6F3" w14:textId="77777777" w:rsidR="00960AE8" w:rsidRPr="00DD476C" w:rsidRDefault="00960AE8" w:rsidP="00960AE8">
            <w:pPr>
              <w:jc w:val="both"/>
              <w:rPr>
                <w:rFonts w:cs="Times New Roman"/>
                <w:sz w:val="24"/>
                <w:szCs w:val="24"/>
              </w:rPr>
            </w:pPr>
            <w:r w:rsidRPr="00DD476C">
              <w:rPr>
                <w:rFonts w:cs="Times New Roman"/>
                <w:sz w:val="24"/>
                <w:szCs w:val="24"/>
              </w:rPr>
              <w:t>8 (8.33%)</w:t>
            </w:r>
          </w:p>
        </w:tc>
        <w:tc>
          <w:tcPr>
            <w:tcW w:w="851" w:type="dxa"/>
            <w:vMerge/>
            <w:tcBorders>
              <w:bottom w:val="single" w:sz="4" w:space="0" w:color="auto"/>
            </w:tcBorders>
          </w:tcPr>
          <w:p w14:paraId="677D1FB6" w14:textId="77777777" w:rsidR="00960AE8" w:rsidRPr="00DD476C" w:rsidRDefault="00960AE8" w:rsidP="00960AE8">
            <w:pPr>
              <w:jc w:val="both"/>
              <w:rPr>
                <w:rFonts w:cs="Times New Roman"/>
                <w:sz w:val="24"/>
                <w:szCs w:val="24"/>
              </w:rPr>
            </w:pPr>
          </w:p>
        </w:tc>
        <w:tc>
          <w:tcPr>
            <w:tcW w:w="1606" w:type="dxa"/>
            <w:vMerge/>
            <w:tcBorders>
              <w:bottom w:val="single" w:sz="4" w:space="0" w:color="auto"/>
            </w:tcBorders>
          </w:tcPr>
          <w:p w14:paraId="4636777D" w14:textId="77777777" w:rsidR="00960AE8" w:rsidRPr="00DD476C" w:rsidRDefault="00960AE8" w:rsidP="00960AE8">
            <w:pPr>
              <w:jc w:val="both"/>
              <w:rPr>
                <w:rFonts w:cs="Times New Roman"/>
                <w:sz w:val="24"/>
                <w:szCs w:val="24"/>
              </w:rPr>
            </w:pPr>
          </w:p>
        </w:tc>
      </w:tr>
      <w:tr w:rsidR="002B136D" w:rsidRPr="00DD476C" w14:paraId="1F58AD1D" w14:textId="77777777" w:rsidTr="00DD476C">
        <w:trPr>
          <w:trHeight w:val="247"/>
        </w:trPr>
        <w:tc>
          <w:tcPr>
            <w:tcW w:w="2268" w:type="dxa"/>
            <w:vMerge w:val="restart"/>
          </w:tcPr>
          <w:p w14:paraId="42BF7647" w14:textId="2E39D8FC" w:rsidR="00960AE8" w:rsidRPr="00DD476C" w:rsidRDefault="00960AE8" w:rsidP="00960AE8">
            <w:pPr>
              <w:jc w:val="both"/>
              <w:rPr>
                <w:rFonts w:cs="Times New Roman"/>
                <w:sz w:val="24"/>
                <w:szCs w:val="24"/>
              </w:rPr>
            </w:pPr>
            <w:r w:rsidRPr="00DD476C">
              <w:rPr>
                <w:rFonts w:cs="Times New Roman"/>
                <w:sz w:val="24"/>
                <w:szCs w:val="24"/>
              </w:rPr>
              <w:t>Рецессивная модель</w:t>
            </w:r>
          </w:p>
        </w:tc>
        <w:tc>
          <w:tcPr>
            <w:tcW w:w="1134" w:type="dxa"/>
          </w:tcPr>
          <w:p w14:paraId="462969F1" w14:textId="77777777" w:rsidR="00960AE8" w:rsidRPr="00DD476C" w:rsidRDefault="00960AE8" w:rsidP="00960AE8">
            <w:pPr>
              <w:jc w:val="both"/>
              <w:rPr>
                <w:rFonts w:cs="Times New Roman"/>
                <w:sz w:val="24"/>
                <w:szCs w:val="24"/>
              </w:rPr>
            </w:pPr>
            <w:r w:rsidRPr="00DD476C">
              <w:rPr>
                <w:rFonts w:cs="Times New Roman"/>
                <w:sz w:val="24"/>
                <w:szCs w:val="24"/>
              </w:rPr>
              <w:t>AA</w:t>
            </w:r>
          </w:p>
        </w:tc>
        <w:tc>
          <w:tcPr>
            <w:tcW w:w="1843" w:type="dxa"/>
          </w:tcPr>
          <w:p w14:paraId="3DD22ED3" w14:textId="77777777" w:rsidR="00960AE8" w:rsidRPr="00DD476C" w:rsidRDefault="00960AE8" w:rsidP="00960AE8">
            <w:pPr>
              <w:jc w:val="both"/>
              <w:rPr>
                <w:rFonts w:cs="Times New Roman"/>
                <w:sz w:val="24"/>
                <w:szCs w:val="24"/>
              </w:rPr>
            </w:pPr>
            <w:r w:rsidRPr="00DD476C">
              <w:rPr>
                <w:rFonts w:cs="Times New Roman"/>
                <w:sz w:val="24"/>
                <w:szCs w:val="24"/>
              </w:rPr>
              <w:t>43 (47.25%)</w:t>
            </w:r>
          </w:p>
        </w:tc>
        <w:tc>
          <w:tcPr>
            <w:tcW w:w="1937" w:type="dxa"/>
          </w:tcPr>
          <w:p w14:paraId="435B1A30" w14:textId="77777777" w:rsidR="00960AE8" w:rsidRPr="00DD476C" w:rsidRDefault="00960AE8" w:rsidP="00960AE8">
            <w:pPr>
              <w:jc w:val="both"/>
              <w:rPr>
                <w:rFonts w:cs="Times New Roman"/>
                <w:sz w:val="24"/>
                <w:szCs w:val="24"/>
              </w:rPr>
            </w:pPr>
            <w:r w:rsidRPr="00DD476C">
              <w:rPr>
                <w:rFonts w:cs="Times New Roman"/>
                <w:sz w:val="24"/>
                <w:szCs w:val="24"/>
              </w:rPr>
              <w:t>53 (55.21 %)</w:t>
            </w:r>
          </w:p>
        </w:tc>
        <w:tc>
          <w:tcPr>
            <w:tcW w:w="851" w:type="dxa"/>
            <w:vMerge w:val="restart"/>
            <w:tcBorders>
              <w:bottom w:val="nil"/>
            </w:tcBorders>
          </w:tcPr>
          <w:p w14:paraId="19086C7F" w14:textId="77777777" w:rsidR="00960AE8" w:rsidRPr="00DD476C" w:rsidRDefault="00960AE8" w:rsidP="00960AE8">
            <w:pPr>
              <w:jc w:val="both"/>
              <w:rPr>
                <w:rFonts w:cs="Times New Roman"/>
                <w:sz w:val="24"/>
                <w:szCs w:val="24"/>
              </w:rPr>
            </w:pPr>
            <w:r w:rsidRPr="00DD476C">
              <w:rPr>
                <w:rFonts w:cs="Times New Roman"/>
                <w:sz w:val="24"/>
                <w:szCs w:val="24"/>
              </w:rPr>
              <w:t>0.2</w:t>
            </w:r>
          </w:p>
        </w:tc>
        <w:tc>
          <w:tcPr>
            <w:tcW w:w="1606" w:type="dxa"/>
            <w:vMerge w:val="restart"/>
            <w:tcBorders>
              <w:bottom w:val="nil"/>
            </w:tcBorders>
          </w:tcPr>
          <w:p w14:paraId="7336FB6E" w14:textId="77777777" w:rsidR="00960AE8" w:rsidRPr="00DD476C" w:rsidRDefault="00960AE8" w:rsidP="00960AE8">
            <w:pPr>
              <w:jc w:val="both"/>
              <w:rPr>
                <w:rFonts w:cs="Times New Roman"/>
                <w:sz w:val="24"/>
                <w:szCs w:val="24"/>
              </w:rPr>
            </w:pPr>
            <w:r w:rsidRPr="00DD476C">
              <w:rPr>
                <w:rFonts w:cs="Times New Roman"/>
                <w:sz w:val="24"/>
                <w:szCs w:val="24"/>
              </w:rPr>
              <w:t>0.7 (0.4; 1.2)</w:t>
            </w:r>
          </w:p>
        </w:tc>
      </w:tr>
      <w:tr w:rsidR="002B136D" w:rsidRPr="00DD476C" w14:paraId="32B75DE1" w14:textId="77777777" w:rsidTr="00DD476C">
        <w:trPr>
          <w:trHeight w:val="247"/>
        </w:trPr>
        <w:tc>
          <w:tcPr>
            <w:tcW w:w="2268" w:type="dxa"/>
            <w:vMerge/>
            <w:tcBorders>
              <w:bottom w:val="nil"/>
            </w:tcBorders>
          </w:tcPr>
          <w:p w14:paraId="27F5F8A5" w14:textId="77777777" w:rsidR="00960AE8" w:rsidRPr="00DD476C" w:rsidRDefault="00960AE8" w:rsidP="00960AE8">
            <w:pPr>
              <w:jc w:val="both"/>
              <w:rPr>
                <w:rFonts w:cs="Times New Roman"/>
                <w:sz w:val="24"/>
                <w:szCs w:val="24"/>
              </w:rPr>
            </w:pPr>
          </w:p>
        </w:tc>
        <w:tc>
          <w:tcPr>
            <w:tcW w:w="1134" w:type="dxa"/>
            <w:tcBorders>
              <w:bottom w:val="nil"/>
            </w:tcBorders>
          </w:tcPr>
          <w:p w14:paraId="225093E1" w14:textId="77777777" w:rsidR="00960AE8" w:rsidRPr="00DD476C" w:rsidRDefault="00960AE8" w:rsidP="00960AE8">
            <w:pPr>
              <w:jc w:val="both"/>
              <w:rPr>
                <w:rFonts w:cs="Times New Roman"/>
                <w:sz w:val="24"/>
                <w:szCs w:val="24"/>
              </w:rPr>
            </w:pPr>
            <w:r w:rsidRPr="00DD476C">
              <w:rPr>
                <w:rFonts w:cs="Times New Roman"/>
                <w:sz w:val="24"/>
                <w:szCs w:val="24"/>
              </w:rPr>
              <w:t>GG+ AG</w:t>
            </w:r>
          </w:p>
        </w:tc>
        <w:tc>
          <w:tcPr>
            <w:tcW w:w="1843" w:type="dxa"/>
            <w:tcBorders>
              <w:bottom w:val="nil"/>
            </w:tcBorders>
          </w:tcPr>
          <w:p w14:paraId="0845F296" w14:textId="77777777" w:rsidR="00960AE8" w:rsidRPr="00DD476C" w:rsidRDefault="00960AE8" w:rsidP="00960AE8">
            <w:pPr>
              <w:jc w:val="both"/>
              <w:rPr>
                <w:rFonts w:cs="Times New Roman"/>
                <w:sz w:val="24"/>
                <w:szCs w:val="24"/>
              </w:rPr>
            </w:pPr>
            <w:r w:rsidRPr="00DD476C">
              <w:rPr>
                <w:rFonts w:cs="Times New Roman"/>
                <w:sz w:val="24"/>
                <w:szCs w:val="24"/>
              </w:rPr>
              <w:t>48 (52.75%)</w:t>
            </w:r>
          </w:p>
        </w:tc>
        <w:tc>
          <w:tcPr>
            <w:tcW w:w="1937" w:type="dxa"/>
            <w:tcBorders>
              <w:bottom w:val="nil"/>
            </w:tcBorders>
          </w:tcPr>
          <w:p w14:paraId="7E7821C8" w14:textId="77777777" w:rsidR="00960AE8" w:rsidRPr="00DD476C" w:rsidRDefault="00960AE8" w:rsidP="00960AE8">
            <w:pPr>
              <w:jc w:val="both"/>
              <w:rPr>
                <w:rFonts w:cs="Times New Roman"/>
                <w:sz w:val="24"/>
                <w:szCs w:val="24"/>
              </w:rPr>
            </w:pPr>
            <w:r w:rsidRPr="00DD476C">
              <w:rPr>
                <w:rFonts w:cs="Times New Roman"/>
                <w:sz w:val="24"/>
                <w:szCs w:val="24"/>
              </w:rPr>
              <w:t>43 (44.79%)</w:t>
            </w:r>
          </w:p>
        </w:tc>
        <w:tc>
          <w:tcPr>
            <w:tcW w:w="851" w:type="dxa"/>
            <w:vMerge/>
            <w:tcBorders>
              <w:bottom w:val="nil"/>
            </w:tcBorders>
          </w:tcPr>
          <w:p w14:paraId="61B4E5D2" w14:textId="77777777" w:rsidR="00960AE8" w:rsidRPr="00DD476C" w:rsidRDefault="00960AE8" w:rsidP="00960AE8">
            <w:pPr>
              <w:jc w:val="both"/>
              <w:rPr>
                <w:rFonts w:cs="Times New Roman"/>
                <w:sz w:val="24"/>
                <w:szCs w:val="24"/>
              </w:rPr>
            </w:pPr>
          </w:p>
        </w:tc>
        <w:tc>
          <w:tcPr>
            <w:tcW w:w="1606" w:type="dxa"/>
            <w:vMerge/>
            <w:tcBorders>
              <w:bottom w:val="nil"/>
            </w:tcBorders>
          </w:tcPr>
          <w:p w14:paraId="73E1A657" w14:textId="77777777" w:rsidR="00960AE8" w:rsidRPr="00DD476C" w:rsidRDefault="00960AE8" w:rsidP="00960AE8">
            <w:pPr>
              <w:jc w:val="both"/>
              <w:rPr>
                <w:rFonts w:cs="Times New Roman"/>
                <w:sz w:val="24"/>
                <w:szCs w:val="24"/>
              </w:rPr>
            </w:pPr>
          </w:p>
        </w:tc>
      </w:tr>
    </w:tbl>
    <w:p w14:paraId="6F47D18D" w14:textId="6D2168EB" w:rsidR="00DD476C" w:rsidRDefault="00DD476C" w:rsidP="00DD476C">
      <w:pPr>
        <w:spacing w:after="0" w:line="240" w:lineRule="auto"/>
      </w:pPr>
      <w:r>
        <w:lastRenderedPageBreak/>
        <w:t>Продолжение таблицы 2</w:t>
      </w:r>
      <w:r w:rsidR="0076161A">
        <w:t>0</w:t>
      </w:r>
    </w:p>
    <w:p w14:paraId="7ECB2D5D" w14:textId="77777777" w:rsidR="00DD476C" w:rsidRDefault="00DD476C" w:rsidP="00DD476C">
      <w:pPr>
        <w:spacing w:after="0" w:line="240" w:lineRule="auto"/>
      </w:pPr>
    </w:p>
    <w:tbl>
      <w:tblPr>
        <w:tblStyle w:val="ac"/>
        <w:tblW w:w="9639" w:type="dxa"/>
        <w:tblInd w:w="108" w:type="dxa"/>
        <w:tblLook w:val="04A0" w:firstRow="1" w:lastRow="0" w:firstColumn="1" w:lastColumn="0" w:noHBand="0" w:noVBand="1"/>
      </w:tblPr>
      <w:tblGrid>
        <w:gridCol w:w="2268"/>
        <w:gridCol w:w="1134"/>
        <w:gridCol w:w="1843"/>
        <w:gridCol w:w="1937"/>
        <w:gridCol w:w="851"/>
        <w:gridCol w:w="1606"/>
      </w:tblGrid>
      <w:tr w:rsidR="00DD476C" w:rsidRPr="00DD476C" w14:paraId="3D4E7636" w14:textId="77777777" w:rsidTr="00DD476C">
        <w:trPr>
          <w:trHeight w:val="247"/>
        </w:trPr>
        <w:tc>
          <w:tcPr>
            <w:tcW w:w="2268" w:type="dxa"/>
          </w:tcPr>
          <w:p w14:paraId="0FE46381" w14:textId="09097ADE" w:rsidR="00DD476C" w:rsidRPr="00DD476C" w:rsidRDefault="00DD476C" w:rsidP="00DD476C">
            <w:pPr>
              <w:jc w:val="center"/>
              <w:rPr>
                <w:rFonts w:cs="Times New Roman"/>
                <w:sz w:val="24"/>
                <w:szCs w:val="24"/>
                <w:lang w:val="kk-KZ"/>
              </w:rPr>
            </w:pPr>
            <w:r>
              <w:rPr>
                <w:rFonts w:cs="Times New Roman"/>
                <w:sz w:val="24"/>
                <w:szCs w:val="24"/>
              </w:rPr>
              <w:t>1</w:t>
            </w:r>
          </w:p>
        </w:tc>
        <w:tc>
          <w:tcPr>
            <w:tcW w:w="1134" w:type="dxa"/>
          </w:tcPr>
          <w:p w14:paraId="47CA0E06" w14:textId="4BBB3AFD" w:rsidR="00DD476C" w:rsidRPr="00DD476C" w:rsidRDefault="00DD476C" w:rsidP="00DD476C">
            <w:pPr>
              <w:jc w:val="center"/>
              <w:rPr>
                <w:rFonts w:cs="Times New Roman"/>
                <w:sz w:val="24"/>
                <w:szCs w:val="24"/>
              </w:rPr>
            </w:pPr>
            <w:r>
              <w:rPr>
                <w:rFonts w:cs="Times New Roman"/>
                <w:sz w:val="24"/>
                <w:szCs w:val="24"/>
              </w:rPr>
              <w:t>2</w:t>
            </w:r>
          </w:p>
        </w:tc>
        <w:tc>
          <w:tcPr>
            <w:tcW w:w="1843" w:type="dxa"/>
          </w:tcPr>
          <w:p w14:paraId="2D88E4EE" w14:textId="68D2D96B" w:rsidR="00DD476C" w:rsidRPr="00DD476C" w:rsidRDefault="00DD476C" w:rsidP="00DD476C">
            <w:pPr>
              <w:jc w:val="center"/>
              <w:rPr>
                <w:rFonts w:cs="Times New Roman"/>
                <w:sz w:val="24"/>
                <w:szCs w:val="24"/>
              </w:rPr>
            </w:pPr>
            <w:r>
              <w:rPr>
                <w:rFonts w:cs="Times New Roman"/>
                <w:sz w:val="24"/>
                <w:szCs w:val="24"/>
              </w:rPr>
              <w:t>3</w:t>
            </w:r>
          </w:p>
        </w:tc>
        <w:tc>
          <w:tcPr>
            <w:tcW w:w="1937" w:type="dxa"/>
          </w:tcPr>
          <w:p w14:paraId="77C355C0" w14:textId="7BEBD215" w:rsidR="00DD476C" w:rsidRPr="00DD476C" w:rsidRDefault="00DD476C" w:rsidP="00DD476C">
            <w:pPr>
              <w:jc w:val="center"/>
              <w:rPr>
                <w:rFonts w:cs="Times New Roman"/>
                <w:sz w:val="24"/>
                <w:szCs w:val="24"/>
              </w:rPr>
            </w:pPr>
            <w:r>
              <w:rPr>
                <w:rFonts w:cs="Times New Roman"/>
                <w:sz w:val="24"/>
                <w:szCs w:val="24"/>
              </w:rPr>
              <w:t>4</w:t>
            </w:r>
          </w:p>
        </w:tc>
        <w:tc>
          <w:tcPr>
            <w:tcW w:w="851" w:type="dxa"/>
          </w:tcPr>
          <w:p w14:paraId="1BBD980B" w14:textId="20E76545" w:rsidR="00DD476C" w:rsidRPr="00DD476C" w:rsidRDefault="00DD476C" w:rsidP="00DD476C">
            <w:pPr>
              <w:jc w:val="center"/>
              <w:rPr>
                <w:rFonts w:cs="Times New Roman"/>
                <w:sz w:val="24"/>
                <w:szCs w:val="24"/>
              </w:rPr>
            </w:pPr>
            <w:r>
              <w:rPr>
                <w:rFonts w:cs="Times New Roman"/>
                <w:sz w:val="24"/>
                <w:szCs w:val="24"/>
              </w:rPr>
              <w:t>5</w:t>
            </w:r>
          </w:p>
        </w:tc>
        <w:tc>
          <w:tcPr>
            <w:tcW w:w="1606" w:type="dxa"/>
          </w:tcPr>
          <w:p w14:paraId="537EAA0C" w14:textId="6824C26F" w:rsidR="00DD476C" w:rsidRPr="00DD476C" w:rsidRDefault="00DD476C" w:rsidP="00DD476C">
            <w:pPr>
              <w:jc w:val="center"/>
              <w:rPr>
                <w:rFonts w:cs="Times New Roman"/>
                <w:sz w:val="24"/>
                <w:szCs w:val="24"/>
              </w:rPr>
            </w:pPr>
            <w:r>
              <w:rPr>
                <w:rFonts w:cs="Times New Roman"/>
                <w:sz w:val="24"/>
                <w:szCs w:val="24"/>
              </w:rPr>
              <w:t>6</w:t>
            </w:r>
          </w:p>
        </w:tc>
      </w:tr>
      <w:tr w:rsidR="00DD476C" w:rsidRPr="00DD476C" w14:paraId="68D5495C" w14:textId="77777777" w:rsidTr="00DD476C">
        <w:trPr>
          <w:trHeight w:val="247"/>
        </w:trPr>
        <w:tc>
          <w:tcPr>
            <w:tcW w:w="2268" w:type="dxa"/>
            <w:vMerge w:val="restart"/>
          </w:tcPr>
          <w:p w14:paraId="3F994765" w14:textId="1B282CB5" w:rsidR="00DD476C" w:rsidRPr="00DD476C" w:rsidRDefault="00DD476C" w:rsidP="00DD476C">
            <w:pPr>
              <w:jc w:val="both"/>
              <w:rPr>
                <w:rFonts w:cs="Times New Roman"/>
                <w:sz w:val="24"/>
                <w:szCs w:val="24"/>
                <w:lang w:val="en-GB"/>
              </w:rPr>
            </w:pPr>
            <w:r w:rsidRPr="00DD476C">
              <w:rPr>
                <w:rFonts w:cs="Times New Roman"/>
                <w:sz w:val="24"/>
                <w:szCs w:val="24"/>
                <w:lang w:val="kk-KZ"/>
              </w:rPr>
              <w:t>А</w:t>
            </w:r>
            <w:r w:rsidRPr="00DD476C">
              <w:rPr>
                <w:rFonts w:cs="Times New Roman"/>
                <w:sz w:val="24"/>
                <w:szCs w:val="24"/>
              </w:rPr>
              <w:t>ллель</w:t>
            </w:r>
          </w:p>
        </w:tc>
        <w:tc>
          <w:tcPr>
            <w:tcW w:w="1134" w:type="dxa"/>
          </w:tcPr>
          <w:p w14:paraId="7654D28B" w14:textId="77777777" w:rsidR="00DD476C" w:rsidRPr="00DD476C" w:rsidRDefault="00DD476C" w:rsidP="00DD476C">
            <w:pPr>
              <w:jc w:val="both"/>
              <w:rPr>
                <w:rFonts w:cs="Times New Roman"/>
                <w:sz w:val="24"/>
                <w:szCs w:val="24"/>
              </w:rPr>
            </w:pPr>
            <w:r w:rsidRPr="00DD476C">
              <w:rPr>
                <w:rFonts w:cs="Times New Roman"/>
                <w:sz w:val="24"/>
                <w:szCs w:val="24"/>
              </w:rPr>
              <w:t>A</w:t>
            </w:r>
          </w:p>
        </w:tc>
        <w:tc>
          <w:tcPr>
            <w:tcW w:w="1843" w:type="dxa"/>
          </w:tcPr>
          <w:p w14:paraId="2F1E0B12" w14:textId="77777777" w:rsidR="00DD476C" w:rsidRPr="00DD476C" w:rsidRDefault="00DD476C" w:rsidP="00DD476C">
            <w:pPr>
              <w:jc w:val="both"/>
              <w:rPr>
                <w:rFonts w:cs="Times New Roman"/>
                <w:sz w:val="24"/>
                <w:szCs w:val="24"/>
              </w:rPr>
            </w:pPr>
            <w:r w:rsidRPr="00DD476C">
              <w:rPr>
                <w:rFonts w:cs="Times New Roman"/>
                <w:sz w:val="24"/>
                <w:szCs w:val="24"/>
              </w:rPr>
              <w:t>124 (68.13%)</w:t>
            </w:r>
          </w:p>
        </w:tc>
        <w:tc>
          <w:tcPr>
            <w:tcW w:w="1937" w:type="dxa"/>
          </w:tcPr>
          <w:p w14:paraId="2E9B6CA9" w14:textId="77777777" w:rsidR="00DD476C" w:rsidRPr="00DD476C" w:rsidRDefault="00DD476C" w:rsidP="00DD476C">
            <w:pPr>
              <w:jc w:val="both"/>
              <w:rPr>
                <w:rFonts w:cs="Times New Roman"/>
                <w:sz w:val="24"/>
                <w:szCs w:val="24"/>
              </w:rPr>
            </w:pPr>
            <w:r w:rsidRPr="00DD476C">
              <w:rPr>
                <w:rFonts w:cs="Times New Roman"/>
                <w:sz w:val="24"/>
                <w:szCs w:val="24"/>
              </w:rPr>
              <w:t>141 (73.44%)</w:t>
            </w:r>
          </w:p>
        </w:tc>
        <w:tc>
          <w:tcPr>
            <w:tcW w:w="851" w:type="dxa"/>
            <w:vMerge w:val="restart"/>
          </w:tcPr>
          <w:p w14:paraId="1BA44EF0" w14:textId="77777777" w:rsidR="00DD476C" w:rsidRPr="00DD476C" w:rsidRDefault="00DD476C" w:rsidP="00DD476C">
            <w:pPr>
              <w:jc w:val="both"/>
              <w:rPr>
                <w:rFonts w:cs="Times New Roman"/>
                <w:sz w:val="24"/>
                <w:szCs w:val="24"/>
              </w:rPr>
            </w:pPr>
            <w:r w:rsidRPr="00DD476C">
              <w:rPr>
                <w:rFonts w:cs="Times New Roman"/>
                <w:sz w:val="24"/>
                <w:szCs w:val="24"/>
              </w:rPr>
              <w:t>0.3</w:t>
            </w:r>
          </w:p>
        </w:tc>
        <w:tc>
          <w:tcPr>
            <w:tcW w:w="1606" w:type="dxa"/>
            <w:vMerge w:val="restart"/>
          </w:tcPr>
          <w:p w14:paraId="097501DE" w14:textId="77777777" w:rsidR="00DD476C" w:rsidRPr="00DD476C" w:rsidRDefault="00DD476C" w:rsidP="00DD476C">
            <w:pPr>
              <w:jc w:val="both"/>
              <w:rPr>
                <w:rFonts w:cs="Times New Roman"/>
                <w:sz w:val="24"/>
                <w:szCs w:val="24"/>
              </w:rPr>
            </w:pPr>
            <w:r w:rsidRPr="00DD476C">
              <w:rPr>
                <w:rFonts w:cs="Times New Roman"/>
                <w:sz w:val="24"/>
                <w:szCs w:val="24"/>
              </w:rPr>
              <w:t>0.7</w:t>
            </w:r>
            <w:r w:rsidRPr="00DD476C">
              <w:rPr>
                <w:rFonts w:cs="Times New Roman"/>
                <w:sz w:val="24"/>
                <w:szCs w:val="24"/>
                <w:lang w:val="en-GB"/>
              </w:rPr>
              <w:t xml:space="preserve"> </w:t>
            </w:r>
            <w:r w:rsidRPr="00DD476C">
              <w:rPr>
                <w:rFonts w:cs="Times New Roman"/>
                <w:sz w:val="24"/>
                <w:szCs w:val="24"/>
              </w:rPr>
              <w:t>(0.4; 1.2)</w:t>
            </w:r>
          </w:p>
        </w:tc>
      </w:tr>
      <w:tr w:rsidR="00DD476C" w:rsidRPr="00DD476C" w14:paraId="7017FC1A" w14:textId="77777777" w:rsidTr="00DD476C">
        <w:trPr>
          <w:trHeight w:val="247"/>
        </w:trPr>
        <w:tc>
          <w:tcPr>
            <w:tcW w:w="2268" w:type="dxa"/>
            <w:vMerge/>
          </w:tcPr>
          <w:p w14:paraId="596C329A" w14:textId="77777777" w:rsidR="00DD476C" w:rsidRPr="00DD476C" w:rsidRDefault="00DD476C" w:rsidP="00DD476C">
            <w:pPr>
              <w:jc w:val="both"/>
              <w:rPr>
                <w:rFonts w:cs="Times New Roman"/>
                <w:sz w:val="24"/>
                <w:szCs w:val="24"/>
              </w:rPr>
            </w:pPr>
          </w:p>
        </w:tc>
        <w:tc>
          <w:tcPr>
            <w:tcW w:w="1134" w:type="dxa"/>
          </w:tcPr>
          <w:p w14:paraId="26DE122B" w14:textId="77777777" w:rsidR="00DD476C" w:rsidRPr="00DD476C" w:rsidRDefault="00DD476C" w:rsidP="00DD476C">
            <w:pPr>
              <w:jc w:val="both"/>
              <w:rPr>
                <w:rFonts w:cs="Times New Roman"/>
                <w:sz w:val="24"/>
                <w:szCs w:val="24"/>
              </w:rPr>
            </w:pPr>
            <w:r w:rsidRPr="00DD476C">
              <w:rPr>
                <w:rFonts w:cs="Times New Roman"/>
                <w:sz w:val="24"/>
                <w:szCs w:val="24"/>
              </w:rPr>
              <w:t>G</w:t>
            </w:r>
            <w:r w:rsidRPr="00DD476C">
              <w:rPr>
                <w:rFonts w:cs="Times New Roman"/>
                <w:sz w:val="24"/>
                <w:szCs w:val="24"/>
                <w:vertAlign w:val="superscript"/>
              </w:rPr>
              <w:t>*</w:t>
            </w:r>
          </w:p>
        </w:tc>
        <w:tc>
          <w:tcPr>
            <w:tcW w:w="1843" w:type="dxa"/>
          </w:tcPr>
          <w:p w14:paraId="306BB564" w14:textId="77777777" w:rsidR="00DD476C" w:rsidRPr="00DD476C" w:rsidRDefault="00DD476C" w:rsidP="00DD476C">
            <w:pPr>
              <w:jc w:val="both"/>
              <w:rPr>
                <w:rFonts w:cs="Times New Roman"/>
                <w:sz w:val="24"/>
                <w:szCs w:val="24"/>
              </w:rPr>
            </w:pPr>
            <w:r w:rsidRPr="00DD476C">
              <w:rPr>
                <w:rFonts w:cs="Times New Roman"/>
                <w:sz w:val="24"/>
                <w:szCs w:val="24"/>
              </w:rPr>
              <w:t>58 (31.87%)</w:t>
            </w:r>
          </w:p>
        </w:tc>
        <w:tc>
          <w:tcPr>
            <w:tcW w:w="1937" w:type="dxa"/>
          </w:tcPr>
          <w:p w14:paraId="2F1A98E4" w14:textId="77777777" w:rsidR="00DD476C" w:rsidRPr="00DD476C" w:rsidRDefault="00DD476C" w:rsidP="00DD476C">
            <w:pPr>
              <w:jc w:val="both"/>
              <w:rPr>
                <w:rFonts w:cs="Times New Roman"/>
                <w:sz w:val="24"/>
                <w:szCs w:val="24"/>
              </w:rPr>
            </w:pPr>
            <w:r w:rsidRPr="00DD476C">
              <w:rPr>
                <w:rFonts w:cs="Times New Roman"/>
                <w:sz w:val="24"/>
                <w:szCs w:val="24"/>
              </w:rPr>
              <w:t>51 (26.56%)</w:t>
            </w:r>
          </w:p>
        </w:tc>
        <w:tc>
          <w:tcPr>
            <w:tcW w:w="851" w:type="dxa"/>
            <w:vMerge/>
          </w:tcPr>
          <w:p w14:paraId="2A683B52" w14:textId="77777777" w:rsidR="00DD476C" w:rsidRPr="00DD476C" w:rsidRDefault="00DD476C" w:rsidP="00DD476C">
            <w:pPr>
              <w:jc w:val="both"/>
              <w:rPr>
                <w:rFonts w:cs="Times New Roman"/>
                <w:sz w:val="24"/>
                <w:szCs w:val="24"/>
              </w:rPr>
            </w:pPr>
          </w:p>
        </w:tc>
        <w:tc>
          <w:tcPr>
            <w:tcW w:w="1606" w:type="dxa"/>
            <w:vMerge/>
          </w:tcPr>
          <w:p w14:paraId="7BB8801E" w14:textId="77777777" w:rsidR="00DD476C" w:rsidRPr="00DD476C" w:rsidRDefault="00DD476C" w:rsidP="00DD476C">
            <w:pPr>
              <w:jc w:val="both"/>
              <w:rPr>
                <w:rFonts w:cs="Times New Roman"/>
                <w:sz w:val="24"/>
                <w:szCs w:val="24"/>
              </w:rPr>
            </w:pPr>
          </w:p>
        </w:tc>
      </w:tr>
      <w:tr w:rsidR="00DD476C" w:rsidRPr="00DD476C" w14:paraId="2A2E3D04" w14:textId="77777777" w:rsidTr="002B5069">
        <w:trPr>
          <w:trHeight w:val="247"/>
        </w:trPr>
        <w:tc>
          <w:tcPr>
            <w:tcW w:w="9639" w:type="dxa"/>
            <w:gridSpan w:val="6"/>
          </w:tcPr>
          <w:p w14:paraId="5417A553" w14:textId="0D763D60" w:rsidR="00DD476C" w:rsidRPr="00DD476C" w:rsidRDefault="00DD476C" w:rsidP="00DD476C">
            <w:pPr>
              <w:ind w:firstLine="462"/>
              <w:jc w:val="both"/>
              <w:rPr>
                <w:rFonts w:cs="Times New Roman"/>
                <w:sz w:val="24"/>
                <w:szCs w:val="24"/>
              </w:rPr>
            </w:pPr>
            <w:r>
              <w:rPr>
                <w:rFonts w:cs="Times New Roman"/>
                <w:sz w:val="24"/>
                <w:szCs w:val="24"/>
                <w:lang w:val="kk-KZ"/>
              </w:rPr>
              <w:t xml:space="preserve">Примечание - </w:t>
            </w:r>
            <w:r w:rsidRPr="00DD476C">
              <w:rPr>
                <w:rFonts w:cs="Times New Roman"/>
                <w:sz w:val="24"/>
                <w:szCs w:val="24"/>
                <w:lang w:val="kk-KZ"/>
              </w:rPr>
              <w:t>* аллель рассматривается как референтный аллель</w:t>
            </w:r>
          </w:p>
        </w:tc>
      </w:tr>
    </w:tbl>
    <w:p w14:paraId="4E17142A" w14:textId="77777777" w:rsidR="00DD476C" w:rsidRPr="00DD476C" w:rsidRDefault="00DD476C" w:rsidP="006D06D7">
      <w:pPr>
        <w:spacing w:after="0" w:line="240" w:lineRule="auto"/>
        <w:ind w:firstLine="709"/>
        <w:contextualSpacing/>
        <w:jc w:val="both"/>
        <w:rPr>
          <w:rFonts w:cs="Times New Roman"/>
          <w:szCs w:val="28"/>
          <w:lang w:val="kk-KZ"/>
        </w:rPr>
      </w:pPr>
    </w:p>
    <w:p w14:paraId="115654A0" w14:textId="1207BC6E" w:rsidR="00E54478" w:rsidRPr="002B136D" w:rsidRDefault="00AC01A5" w:rsidP="00DD476C">
      <w:pPr>
        <w:spacing w:after="0" w:line="240" w:lineRule="auto"/>
        <w:ind w:firstLine="567"/>
        <w:contextualSpacing/>
        <w:jc w:val="both"/>
        <w:rPr>
          <w:rFonts w:cs="Times New Roman"/>
          <w:i/>
          <w:szCs w:val="28"/>
        </w:rPr>
      </w:pPr>
      <w:proofErr w:type="gramStart"/>
      <w:r w:rsidRPr="002B136D">
        <w:rPr>
          <w:rFonts w:cs="Times New Roman"/>
          <w:szCs w:val="28"/>
        </w:rPr>
        <w:t>Также, мы изучили</w:t>
      </w:r>
      <w:r w:rsidR="00E54478" w:rsidRPr="002B136D">
        <w:rPr>
          <w:rFonts w:cs="Times New Roman"/>
          <w:szCs w:val="28"/>
        </w:rPr>
        <w:t xml:space="preserve"> ассоциаций полиморфизмов в генах IL-17 и IL-38 с активными и неактивными формами эндокринной офтальмопатии (ЭОП), чтобы выявить потенциальные генетические маркеры активности забол</w:t>
      </w:r>
      <w:r w:rsidRPr="002B136D">
        <w:rPr>
          <w:rFonts w:cs="Times New Roman"/>
          <w:szCs w:val="28"/>
        </w:rPr>
        <w:t xml:space="preserve">евания </w:t>
      </w:r>
      <w:r w:rsidR="0067708D">
        <w:rPr>
          <w:rFonts w:cs="Times New Roman"/>
          <w:szCs w:val="28"/>
        </w:rPr>
        <w:t xml:space="preserve">(таблица </w:t>
      </w:r>
      <w:r w:rsidRPr="002B136D">
        <w:rPr>
          <w:rFonts w:cs="Times New Roman"/>
          <w:szCs w:val="28"/>
        </w:rPr>
        <w:t>2</w:t>
      </w:r>
      <w:r w:rsidR="0076161A">
        <w:rPr>
          <w:rFonts w:cs="Times New Roman"/>
          <w:szCs w:val="28"/>
          <w:lang w:val="kk-KZ"/>
        </w:rPr>
        <w:t>1</w:t>
      </w:r>
      <w:r w:rsidRPr="002B136D">
        <w:rPr>
          <w:rFonts w:cs="Times New Roman"/>
          <w:szCs w:val="28"/>
        </w:rPr>
        <w:t>) с участием 8</w:t>
      </w:r>
      <w:r w:rsidR="00E54478" w:rsidRPr="002B136D">
        <w:rPr>
          <w:rFonts w:cs="Times New Roman"/>
          <w:szCs w:val="28"/>
        </w:rPr>
        <w:t>4 паци</w:t>
      </w:r>
      <w:r w:rsidRPr="002B136D">
        <w:rPr>
          <w:rFonts w:cs="Times New Roman"/>
          <w:szCs w:val="28"/>
        </w:rPr>
        <w:t>ентов с активной формой ЭОП и 48</w:t>
      </w:r>
      <w:r w:rsidR="00E54478" w:rsidRPr="002B136D">
        <w:rPr>
          <w:rFonts w:cs="Times New Roman"/>
          <w:szCs w:val="28"/>
        </w:rPr>
        <w:t xml:space="preserve"> пациентов с неактивной формой где, анализировались частоты генотипов rs9463772 /</w:t>
      </w:r>
      <w:r w:rsidR="00E54478" w:rsidRPr="002B136D">
        <w:rPr>
          <w:rFonts w:cs="Times New Roman"/>
          <w:i/>
          <w:szCs w:val="28"/>
        </w:rPr>
        <w:t xml:space="preserve">IL17F </w:t>
      </w:r>
      <w:r w:rsidR="00E54478" w:rsidRPr="002B136D">
        <w:rPr>
          <w:rFonts w:cs="Times New Roman"/>
          <w:szCs w:val="28"/>
        </w:rPr>
        <w:t xml:space="preserve">и rs3811058 / </w:t>
      </w:r>
      <w:r w:rsidR="00E54478" w:rsidRPr="002B136D">
        <w:rPr>
          <w:rFonts w:cs="Times New Roman"/>
          <w:i/>
          <w:szCs w:val="28"/>
        </w:rPr>
        <w:t>IL38</w:t>
      </w:r>
      <w:r w:rsidR="00E54478" w:rsidRPr="002B136D">
        <w:rPr>
          <w:rFonts w:cs="Times New Roman"/>
          <w:szCs w:val="28"/>
        </w:rPr>
        <w:t xml:space="preserve">, rs7570267 / </w:t>
      </w:r>
      <w:r w:rsidR="00E54478" w:rsidRPr="002B136D">
        <w:rPr>
          <w:rFonts w:cs="Times New Roman"/>
          <w:i/>
          <w:szCs w:val="28"/>
        </w:rPr>
        <w:t>IL38.</w:t>
      </w:r>
      <w:proofErr w:type="gramEnd"/>
    </w:p>
    <w:p w14:paraId="1425C22A" w14:textId="76DF5C27" w:rsidR="00E54478" w:rsidRPr="002B136D" w:rsidRDefault="00E54478" w:rsidP="00DD476C">
      <w:pPr>
        <w:spacing w:after="0" w:line="240" w:lineRule="auto"/>
        <w:ind w:firstLine="567"/>
        <w:contextualSpacing/>
        <w:jc w:val="both"/>
        <w:rPr>
          <w:rFonts w:cs="Times New Roman"/>
          <w:szCs w:val="28"/>
        </w:rPr>
      </w:pPr>
      <w:r w:rsidRPr="002B136D">
        <w:rPr>
          <w:rFonts w:cs="Times New Roman"/>
          <w:szCs w:val="28"/>
        </w:rPr>
        <w:t>Показало</w:t>
      </w:r>
      <w:r w:rsidR="00095DF0" w:rsidRPr="002B136D">
        <w:rPr>
          <w:rFonts w:cs="Times New Roman"/>
          <w:szCs w:val="28"/>
        </w:rPr>
        <w:t>,</w:t>
      </w:r>
      <w:r w:rsidRPr="002B136D">
        <w:rPr>
          <w:rFonts w:cs="Times New Roman"/>
          <w:szCs w:val="28"/>
        </w:rPr>
        <w:t xml:space="preserve"> что</w:t>
      </w:r>
      <w:r w:rsidR="00AF0EC7" w:rsidRPr="002B136D">
        <w:rPr>
          <w:rFonts w:cs="Times New Roman"/>
          <w:szCs w:val="28"/>
        </w:rPr>
        <w:t xml:space="preserve"> частоты (Полиморфизм rs9463772</w:t>
      </w:r>
      <w:r w:rsidRPr="002B136D">
        <w:rPr>
          <w:rFonts w:cs="Times New Roman"/>
          <w:szCs w:val="28"/>
        </w:rPr>
        <w:t>/</w:t>
      </w:r>
      <w:r w:rsidRPr="002B136D">
        <w:rPr>
          <w:rFonts w:cs="Times New Roman"/>
          <w:i/>
          <w:szCs w:val="28"/>
        </w:rPr>
        <w:t>IL17F)</w:t>
      </w:r>
      <w:r w:rsidRPr="002B136D">
        <w:rPr>
          <w:rFonts w:cs="Times New Roman"/>
          <w:szCs w:val="28"/>
        </w:rPr>
        <w:t xml:space="preserve"> генотипа C</w:t>
      </w:r>
      <w:r w:rsidR="00810DAF" w:rsidRPr="002B136D">
        <w:rPr>
          <w:rFonts w:cs="Times New Roman"/>
          <w:szCs w:val="28"/>
        </w:rPr>
        <w:t>C были схожи в обеих группах (71% против 79</w:t>
      </w:r>
      <w:r w:rsidRPr="002B136D">
        <w:rPr>
          <w:rFonts w:cs="Times New Roman"/>
          <w:szCs w:val="28"/>
        </w:rPr>
        <w:t>%), и не наблюдалось статистически значимых различий (p</w:t>
      </w:r>
      <w:r w:rsidR="00810DAF" w:rsidRPr="002B136D">
        <w:rPr>
          <w:rFonts w:cs="Times New Roman"/>
          <w:szCs w:val="28"/>
        </w:rPr>
        <w:t>&gt;0,05</w:t>
      </w:r>
      <w:r w:rsidRPr="002B136D">
        <w:rPr>
          <w:rFonts w:cs="Times New Roman"/>
          <w:szCs w:val="28"/>
        </w:rPr>
        <w:t>). Отношение шансов (OR) было близко к единице, что указывает на отсутствие ассоциации этого генотипа с активностью ЭОП.</w:t>
      </w:r>
    </w:p>
    <w:p w14:paraId="0BEDC0E3" w14:textId="095A5EF6" w:rsidR="00E54478" w:rsidRPr="002B136D" w:rsidRDefault="00E54478" w:rsidP="00DD476C">
      <w:pPr>
        <w:spacing w:after="0" w:line="240" w:lineRule="auto"/>
        <w:ind w:firstLine="567"/>
        <w:contextualSpacing/>
        <w:jc w:val="both"/>
        <w:rPr>
          <w:rFonts w:cs="Times New Roman"/>
          <w:szCs w:val="28"/>
        </w:rPr>
      </w:pPr>
      <w:r w:rsidRPr="002B136D">
        <w:rPr>
          <w:rFonts w:cs="Times New Roman"/>
          <w:szCs w:val="28"/>
        </w:rPr>
        <w:t>Различия в частотах (Полиморфизм rs3811058/</w:t>
      </w:r>
      <w:r w:rsidR="005C2139" w:rsidRPr="002B136D">
        <w:rPr>
          <w:rFonts w:cs="Times New Roman"/>
          <w:i/>
          <w:szCs w:val="28"/>
        </w:rPr>
        <w:t>IL1F10</w:t>
      </w:r>
      <w:r w:rsidRPr="002B136D">
        <w:rPr>
          <w:rFonts w:cs="Times New Roman"/>
          <w:szCs w:val="28"/>
        </w:rPr>
        <w:t xml:space="preserve">) генотипов CC и TT между группами с активной и неактивной ЭОП также не достигли статистической значимости </w:t>
      </w:r>
      <w:r w:rsidR="00810DAF" w:rsidRPr="002B136D">
        <w:rPr>
          <w:rFonts w:cs="Times New Roman"/>
          <w:szCs w:val="28"/>
        </w:rPr>
        <w:t>(p&gt;0,05)</w:t>
      </w:r>
      <w:r w:rsidRPr="002B136D">
        <w:rPr>
          <w:rFonts w:cs="Times New Roman"/>
          <w:szCs w:val="28"/>
        </w:rPr>
        <w:t xml:space="preserve">, с OR, </w:t>
      </w:r>
      <w:proofErr w:type="gramStart"/>
      <w:r w:rsidRPr="002B136D">
        <w:rPr>
          <w:rFonts w:cs="Times New Roman"/>
          <w:szCs w:val="28"/>
        </w:rPr>
        <w:t>указывающим</w:t>
      </w:r>
      <w:proofErr w:type="gramEnd"/>
      <w:r w:rsidRPr="002B136D">
        <w:rPr>
          <w:rFonts w:cs="Times New Roman"/>
          <w:szCs w:val="28"/>
        </w:rPr>
        <w:t xml:space="preserve"> на отсутствие значимой связи.</w:t>
      </w:r>
    </w:p>
    <w:p w14:paraId="5157ECF1" w14:textId="30E396B6" w:rsidR="00AF0EC7" w:rsidRPr="002B136D" w:rsidRDefault="005C2139" w:rsidP="00DD476C">
      <w:pPr>
        <w:spacing w:after="0" w:line="240" w:lineRule="auto"/>
        <w:ind w:firstLine="567"/>
        <w:contextualSpacing/>
        <w:jc w:val="both"/>
        <w:rPr>
          <w:rFonts w:cs="Times New Roman"/>
          <w:szCs w:val="28"/>
        </w:rPr>
      </w:pPr>
      <w:r w:rsidRPr="002B136D">
        <w:rPr>
          <w:rFonts w:cs="Times New Roman"/>
          <w:szCs w:val="28"/>
        </w:rPr>
        <w:t>Исследование rs7570267 в гене IL1F10 показало значительные различия (OR=0,47, 95%CI (0,2; 0,8), p=0,002) в активности аутоиммунного процесса между группами. Однако различия в частотах аллелей для изучаемых полиморфизмов и частота генотипа AA по сравнению с GG+AG для рецессивной модели не достигли статистической значимости (p=0,1).</w:t>
      </w:r>
    </w:p>
    <w:p w14:paraId="03FD9023" w14:textId="716317F4" w:rsidR="00E54478" w:rsidRPr="002B136D" w:rsidRDefault="00E54478" w:rsidP="00DD476C">
      <w:pPr>
        <w:spacing w:after="0" w:line="240" w:lineRule="auto"/>
        <w:ind w:firstLine="567"/>
        <w:contextualSpacing/>
        <w:jc w:val="both"/>
        <w:rPr>
          <w:rFonts w:cs="Times New Roman"/>
          <w:szCs w:val="28"/>
        </w:rPr>
      </w:pPr>
      <w:r w:rsidRPr="002B136D">
        <w:rPr>
          <w:rFonts w:cs="Times New Roman"/>
          <w:szCs w:val="28"/>
        </w:rPr>
        <w:t>Наличие статистически</w:t>
      </w:r>
      <w:r w:rsidR="00174C1E" w:rsidRPr="002B136D">
        <w:rPr>
          <w:rFonts w:cs="Times New Roman"/>
          <w:szCs w:val="28"/>
        </w:rPr>
        <w:t xml:space="preserve"> значимой ассоциации </w:t>
      </w:r>
      <w:r w:rsidRPr="002B136D">
        <w:rPr>
          <w:rFonts w:cs="Times New Roman"/>
          <w:szCs w:val="28"/>
        </w:rPr>
        <w:t>полиморфизма rs7570267</w:t>
      </w:r>
      <w:r w:rsidR="005C2139" w:rsidRPr="002B136D">
        <w:rPr>
          <w:rFonts w:cs="Times New Roman"/>
          <w:szCs w:val="28"/>
        </w:rPr>
        <w:t>/</w:t>
      </w:r>
      <w:r w:rsidR="005C2139" w:rsidRPr="002B136D">
        <w:rPr>
          <w:rFonts w:cs="Times New Roman"/>
          <w:i/>
          <w:szCs w:val="28"/>
        </w:rPr>
        <w:t>IL1F10</w:t>
      </w:r>
      <w:r w:rsidRPr="002B136D">
        <w:rPr>
          <w:rFonts w:cs="Times New Roman"/>
          <w:szCs w:val="28"/>
        </w:rPr>
        <w:t xml:space="preserve"> с активной формой ЭОП поднимает вопрос о роли этого варианта в патогенезе или прогрессировании ЭОП. Важно отметить, что генотип AG может быть связан с меньшей вероятностью развития активной формы ЭОП.</w:t>
      </w:r>
    </w:p>
    <w:p w14:paraId="3074B526" w14:textId="33DFA61D" w:rsidR="00CF548C" w:rsidRPr="002B136D" w:rsidRDefault="00E54478" w:rsidP="00DD476C">
      <w:pPr>
        <w:spacing w:after="0" w:line="240" w:lineRule="auto"/>
        <w:ind w:firstLine="567"/>
        <w:contextualSpacing/>
        <w:jc w:val="both"/>
        <w:rPr>
          <w:rFonts w:cs="Times New Roman"/>
          <w:szCs w:val="28"/>
        </w:rPr>
      </w:pPr>
      <w:r w:rsidRPr="002B136D">
        <w:rPr>
          <w:rFonts w:cs="Times New Roman"/>
          <w:szCs w:val="28"/>
        </w:rPr>
        <w:t>Таким образом, ген</w:t>
      </w:r>
      <w:r w:rsidR="00AF0EC7" w:rsidRPr="002B136D">
        <w:rPr>
          <w:rFonts w:cs="Times New Roman"/>
          <w:szCs w:val="28"/>
        </w:rPr>
        <w:t>етический полиморфизм rs7570267</w:t>
      </w:r>
      <w:r w:rsidRPr="002B136D">
        <w:rPr>
          <w:rFonts w:cs="Times New Roman"/>
          <w:szCs w:val="28"/>
        </w:rPr>
        <w:t>/</w:t>
      </w:r>
      <w:r w:rsidRPr="002B136D">
        <w:rPr>
          <w:rFonts w:cs="Times New Roman"/>
          <w:i/>
          <w:szCs w:val="28"/>
        </w:rPr>
        <w:t>IL38</w:t>
      </w:r>
      <w:r w:rsidRPr="002B136D">
        <w:rPr>
          <w:rFonts w:cs="Times New Roman"/>
          <w:szCs w:val="28"/>
        </w:rPr>
        <w:t xml:space="preserve"> может быть ассоциирован с активностью ЭОП, что предполагает его потенциальное значение для прогнозирования течения заболевания.</w:t>
      </w:r>
    </w:p>
    <w:p w14:paraId="6DB0D6AF" w14:textId="28D2FC10" w:rsidR="00CF548C" w:rsidRPr="002B136D" w:rsidRDefault="00CF548C" w:rsidP="006D06D7">
      <w:pPr>
        <w:spacing w:after="0" w:line="240" w:lineRule="auto"/>
        <w:ind w:firstLine="709"/>
        <w:contextualSpacing/>
        <w:jc w:val="both"/>
        <w:rPr>
          <w:rFonts w:cs="Times New Roman"/>
          <w:b/>
          <w:szCs w:val="28"/>
        </w:rPr>
      </w:pPr>
    </w:p>
    <w:p w14:paraId="0C8C6708" w14:textId="6C22E2C3" w:rsidR="00143D08" w:rsidRDefault="00143D08" w:rsidP="008D2F2C">
      <w:pPr>
        <w:spacing w:after="0" w:line="240" w:lineRule="auto"/>
        <w:contextualSpacing/>
        <w:jc w:val="both"/>
        <w:rPr>
          <w:rFonts w:cs="Times New Roman"/>
          <w:bCs/>
          <w:szCs w:val="28"/>
        </w:rPr>
      </w:pPr>
      <w:bookmarkStart w:id="20" w:name="_Hlk150599678"/>
      <w:r w:rsidRPr="008D2F2C">
        <w:rPr>
          <w:rFonts w:cs="Times New Roman"/>
          <w:bCs/>
          <w:szCs w:val="28"/>
        </w:rPr>
        <w:t>Таб</w:t>
      </w:r>
      <w:r w:rsidR="00835DE9" w:rsidRPr="008D2F2C">
        <w:rPr>
          <w:rFonts w:cs="Times New Roman"/>
          <w:bCs/>
          <w:szCs w:val="28"/>
        </w:rPr>
        <w:t xml:space="preserve">лица </w:t>
      </w:r>
      <w:r w:rsidR="00F77244" w:rsidRPr="008D2F2C">
        <w:rPr>
          <w:rFonts w:cs="Times New Roman"/>
          <w:bCs/>
          <w:szCs w:val="28"/>
        </w:rPr>
        <w:t>2</w:t>
      </w:r>
      <w:r w:rsidR="0076161A">
        <w:rPr>
          <w:rFonts w:cs="Times New Roman"/>
          <w:bCs/>
          <w:szCs w:val="28"/>
          <w:lang w:val="kk-KZ"/>
        </w:rPr>
        <w:t>1</w:t>
      </w:r>
      <w:r w:rsidR="00DD476C" w:rsidRPr="008D2F2C">
        <w:rPr>
          <w:rFonts w:cs="Times New Roman"/>
          <w:bCs/>
          <w:szCs w:val="28"/>
          <w:lang w:val="kk-KZ"/>
        </w:rPr>
        <w:t xml:space="preserve"> -</w:t>
      </w:r>
      <w:r w:rsidRPr="008D2F2C">
        <w:rPr>
          <w:rFonts w:cs="Times New Roman"/>
          <w:bCs/>
          <w:szCs w:val="28"/>
        </w:rPr>
        <w:t xml:space="preserve"> Анализ ассоциаций</w:t>
      </w:r>
      <w:r w:rsidR="00C6238C" w:rsidRPr="008D2F2C">
        <w:rPr>
          <w:rFonts w:cs="Times New Roman"/>
          <w:bCs/>
          <w:szCs w:val="28"/>
        </w:rPr>
        <w:t xml:space="preserve"> </w:t>
      </w:r>
      <w:r w:rsidRPr="008D2F2C">
        <w:rPr>
          <w:rFonts w:cs="Times New Roman"/>
          <w:bCs/>
          <w:szCs w:val="28"/>
        </w:rPr>
        <w:t xml:space="preserve">полиморфизма в генах </w:t>
      </w:r>
      <w:r w:rsidRPr="008D2F2C">
        <w:rPr>
          <w:rFonts w:cs="Times New Roman"/>
          <w:bCs/>
          <w:szCs w:val="28"/>
          <w:lang w:val="en-US"/>
        </w:rPr>
        <w:t>IL</w:t>
      </w:r>
      <w:r w:rsidRPr="008D2F2C">
        <w:rPr>
          <w:rFonts w:cs="Times New Roman"/>
          <w:bCs/>
          <w:szCs w:val="28"/>
        </w:rPr>
        <w:t xml:space="preserve">-17, </w:t>
      </w:r>
      <w:r w:rsidRPr="008D2F2C">
        <w:rPr>
          <w:rFonts w:cs="Times New Roman"/>
          <w:bCs/>
          <w:szCs w:val="28"/>
          <w:lang w:val="en-US"/>
        </w:rPr>
        <w:t>IL</w:t>
      </w:r>
      <w:r w:rsidRPr="008D2F2C">
        <w:rPr>
          <w:rFonts w:cs="Times New Roman"/>
          <w:bCs/>
          <w:szCs w:val="28"/>
        </w:rPr>
        <w:t>-38 у пациентов с ЭОП активной и неактивной формами</w:t>
      </w:r>
    </w:p>
    <w:p w14:paraId="3FBA2EC5" w14:textId="77777777" w:rsidR="008D2F2C" w:rsidRPr="008D2F2C" w:rsidRDefault="008D2F2C" w:rsidP="008D2F2C">
      <w:pPr>
        <w:spacing w:after="0" w:line="240" w:lineRule="auto"/>
        <w:contextualSpacing/>
        <w:jc w:val="both"/>
        <w:rPr>
          <w:rFonts w:cs="Times New Roman"/>
          <w:bCs/>
          <w:szCs w:val="28"/>
        </w:rPr>
      </w:pPr>
    </w:p>
    <w:tbl>
      <w:tblPr>
        <w:tblStyle w:val="110"/>
        <w:tblW w:w="9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92"/>
        <w:gridCol w:w="2410"/>
        <w:gridCol w:w="2409"/>
        <w:gridCol w:w="851"/>
        <w:gridCol w:w="1530"/>
      </w:tblGrid>
      <w:tr w:rsidR="002B136D" w:rsidRPr="008D2F2C" w14:paraId="29E4717C" w14:textId="77777777" w:rsidTr="008D2F2C">
        <w:trPr>
          <w:trHeight w:val="284"/>
        </w:trPr>
        <w:tc>
          <w:tcPr>
            <w:tcW w:w="2484" w:type="dxa"/>
            <w:gridSpan w:val="2"/>
            <w:noWrap/>
            <w:hideMark/>
          </w:tcPr>
          <w:bookmarkEnd w:id="20"/>
          <w:p w14:paraId="1FE16ADA" w14:textId="31DBE852" w:rsidR="00960AE8" w:rsidRPr="008D2F2C" w:rsidRDefault="00DE31AC" w:rsidP="00960AE8">
            <w:pPr>
              <w:jc w:val="both"/>
              <w:rPr>
                <w:rFonts w:cs="Times New Roman"/>
                <w:sz w:val="24"/>
                <w:szCs w:val="24"/>
              </w:rPr>
            </w:pPr>
            <w:r w:rsidRPr="008D2F2C">
              <w:rPr>
                <w:rFonts w:cs="Times New Roman"/>
                <w:sz w:val="24"/>
                <w:szCs w:val="24"/>
                <w:lang w:val="kk-KZ"/>
              </w:rPr>
              <w:t>П</w:t>
            </w:r>
            <w:r w:rsidRPr="008D2F2C">
              <w:rPr>
                <w:rFonts w:cs="Times New Roman"/>
                <w:sz w:val="24"/>
                <w:szCs w:val="24"/>
                <w:lang w:val="ru-RU"/>
              </w:rPr>
              <w:t>олиморфизм/ген</w:t>
            </w:r>
          </w:p>
        </w:tc>
        <w:tc>
          <w:tcPr>
            <w:tcW w:w="2410" w:type="dxa"/>
            <w:noWrap/>
            <w:hideMark/>
          </w:tcPr>
          <w:p w14:paraId="25CCE70B" w14:textId="0AEAE139" w:rsidR="00960AE8" w:rsidRPr="008D2F2C" w:rsidRDefault="00960AE8" w:rsidP="00960AE8">
            <w:pPr>
              <w:jc w:val="both"/>
              <w:rPr>
                <w:rFonts w:cs="Times New Roman"/>
                <w:sz w:val="24"/>
                <w:szCs w:val="24"/>
                <w:lang w:val="ru-RU"/>
              </w:rPr>
            </w:pPr>
            <w:r w:rsidRPr="008D2F2C">
              <w:rPr>
                <w:rFonts w:cs="Times New Roman"/>
                <w:sz w:val="24"/>
                <w:szCs w:val="24"/>
                <w:lang w:val="ru-RU"/>
              </w:rPr>
              <w:t xml:space="preserve">Пациенты с </w:t>
            </w:r>
            <w:proofErr w:type="gramStart"/>
            <w:r w:rsidRPr="008D2F2C">
              <w:rPr>
                <w:rFonts w:cs="Times New Roman"/>
                <w:sz w:val="24"/>
                <w:szCs w:val="24"/>
                <w:lang w:val="ru-RU"/>
              </w:rPr>
              <w:t>активной</w:t>
            </w:r>
            <w:proofErr w:type="gramEnd"/>
            <w:r w:rsidRPr="008D2F2C">
              <w:rPr>
                <w:rFonts w:cs="Times New Roman"/>
                <w:sz w:val="24"/>
                <w:szCs w:val="24"/>
                <w:lang w:val="ru-RU"/>
              </w:rPr>
              <w:t xml:space="preserve"> ЭОП (n=84)</w:t>
            </w:r>
          </w:p>
        </w:tc>
        <w:tc>
          <w:tcPr>
            <w:tcW w:w="2409" w:type="dxa"/>
            <w:noWrap/>
            <w:hideMark/>
          </w:tcPr>
          <w:p w14:paraId="40C84D2A" w14:textId="78A07D5B" w:rsidR="00960AE8" w:rsidRPr="008D2F2C" w:rsidRDefault="00960AE8" w:rsidP="00960AE8">
            <w:pPr>
              <w:jc w:val="both"/>
              <w:rPr>
                <w:rFonts w:cs="Times New Roman"/>
                <w:sz w:val="24"/>
                <w:szCs w:val="24"/>
                <w:lang w:val="ru-RU"/>
              </w:rPr>
            </w:pPr>
            <w:r w:rsidRPr="008D2F2C">
              <w:rPr>
                <w:rFonts w:cs="Times New Roman"/>
                <w:sz w:val="24"/>
                <w:szCs w:val="24"/>
                <w:lang w:val="ru-RU"/>
              </w:rPr>
              <w:t xml:space="preserve">Пациенты с </w:t>
            </w:r>
            <w:proofErr w:type="gramStart"/>
            <w:r w:rsidRPr="008D2F2C">
              <w:rPr>
                <w:rFonts w:cs="Times New Roman"/>
                <w:sz w:val="24"/>
                <w:szCs w:val="24"/>
                <w:lang w:val="ru-RU"/>
              </w:rPr>
              <w:t>неактивной</w:t>
            </w:r>
            <w:proofErr w:type="gramEnd"/>
            <w:r w:rsidRPr="008D2F2C">
              <w:rPr>
                <w:rFonts w:cs="Times New Roman"/>
                <w:sz w:val="24"/>
                <w:szCs w:val="24"/>
                <w:lang w:val="ru-RU"/>
              </w:rPr>
              <w:t xml:space="preserve"> ЭОП  (n=48)</w:t>
            </w:r>
          </w:p>
        </w:tc>
        <w:tc>
          <w:tcPr>
            <w:tcW w:w="851" w:type="dxa"/>
            <w:noWrap/>
            <w:hideMark/>
          </w:tcPr>
          <w:p w14:paraId="5F4518A0" w14:textId="77777777" w:rsidR="00960AE8" w:rsidRPr="008D2F2C" w:rsidRDefault="00960AE8" w:rsidP="00960AE8">
            <w:pPr>
              <w:jc w:val="both"/>
              <w:rPr>
                <w:rFonts w:cs="Times New Roman"/>
                <w:sz w:val="24"/>
                <w:szCs w:val="24"/>
              </w:rPr>
            </w:pPr>
            <w:r w:rsidRPr="008D2F2C">
              <w:rPr>
                <w:rFonts w:cs="Times New Roman"/>
                <w:sz w:val="24"/>
                <w:szCs w:val="24"/>
              </w:rPr>
              <w:t>p-value</w:t>
            </w:r>
          </w:p>
        </w:tc>
        <w:tc>
          <w:tcPr>
            <w:tcW w:w="1530" w:type="dxa"/>
            <w:noWrap/>
            <w:hideMark/>
          </w:tcPr>
          <w:p w14:paraId="78CEA031" w14:textId="77777777" w:rsidR="00960AE8" w:rsidRPr="008D2F2C" w:rsidRDefault="00960AE8" w:rsidP="00960AE8">
            <w:pPr>
              <w:jc w:val="both"/>
              <w:rPr>
                <w:rFonts w:cs="Times New Roman"/>
                <w:sz w:val="24"/>
                <w:szCs w:val="24"/>
                <w:lang w:val="ru-RU"/>
              </w:rPr>
            </w:pPr>
            <w:r w:rsidRPr="008D2F2C">
              <w:rPr>
                <w:rFonts w:cs="Times New Roman"/>
                <w:sz w:val="24"/>
                <w:szCs w:val="24"/>
              </w:rPr>
              <w:t xml:space="preserve">OR </w:t>
            </w:r>
            <w:r w:rsidRPr="008D2F2C">
              <w:rPr>
                <w:rFonts w:cs="Times New Roman"/>
                <w:sz w:val="24"/>
                <w:szCs w:val="24"/>
                <w:lang w:val="ru-RU"/>
              </w:rPr>
              <w:t>(</w:t>
            </w:r>
            <w:r w:rsidRPr="008D2F2C">
              <w:rPr>
                <w:rFonts w:cs="Times New Roman"/>
                <w:sz w:val="24"/>
                <w:szCs w:val="24"/>
              </w:rPr>
              <w:t>CI 95%</w:t>
            </w:r>
            <w:r w:rsidRPr="008D2F2C">
              <w:rPr>
                <w:rFonts w:cs="Times New Roman"/>
                <w:sz w:val="24"/>
                <w:szCs w:val="24"/>
                <w:lang w:val="ru-RU"/>
              </w:rPr>
              <w:t>)</w:t>
            </w:r>
          </w:p>
        </w:tc>
      </w:tr>
      <w:tr w:rsidR="002B136D" w:rsidRPr="008D2F2C" w14:paraId="7AA0862B" w14:textId="77777777" w:rsidTr="008D2F2C">
        <w:trPr>
          <w:trHeight w:val="284"/>
        </w:trPr>
        <w:tc>
          <w:tcPr>
            <w:tcW w:w="9684" w:type="dxa"/>
            <w:gridSpan w:val="6"/>
            <w:noWrap/>
            <w:hideMark/>
          </w:tcPr>
          <w:p w14:paraId="3BE27B49" w14:textId="77777777" w:rsidR="00960AE8" w:rsidRPr="008D2F2C" w:rsidRDefault="00960AE8" w:rsidP="00960AE8">
            <w:pPr>
              <w:jc w:val="both"/>
              <w:rPr>
                <w:rFonts w:cs="Times New Roman"/>
                <w:sz w:val="24"/>
                <w:szCs w:val="24"/>
              </w:rPr>
            </w:pPr>
            <w:r w:rsidRPr="008D2F2C">
              <w:rPr>
                <w:rFonts w:cs="Times New Roman"/>
                <w:sz w:val="24"/>
                <w:szCs w:val="24"/>
              </w:rPr>
              <w:t>rs9463772 /IL17F</w:t>
            </w:r>
          </w:p>
        </w:tc>
      </w:tr>
      <w:tr w:rsidR="008D2F2C" w:rsidRPr="008D2F2C" w14:paraId="53290ABB" w14:textId="77777777" w:rsidTr="008D2F2C">
        <w:trPr>
          <w:trHeight w:val="284"/>
        </w:trPr>
        <w:tc>
          <w:tcPr>
            <w:tcW w:w="1492" w:type="dxa"/>
            <w:tcBorders>
              <w:bottom w:val="single" w:sz="4" w:space="0" w:color="auto"/>
            </w:tcBorders>
            <w:noWrap/>
          </w:tcPr>
          <w:p w14:paraId="26FC3018" w14:textId="688D7E66" w:rsidR="008D2F2C" w:rsidRPr="008D2F2C" w:rsidRDefault="008D2F2C" w:rsidP="008D2F2C">
            <w:pPr>
              <w:jc w:val="center"/>
              <w:rPr>
                <w:rFonts w:cs="Times New Roman"/>
                <w:sz w:val="24"/>
                <w:szCs w:val="24"/>
                <w:lang w:val="ru-RU"/>
              </w:rPr>
            </w:pPr>
            <w:r>
              <w:rPr>
                <w:rFonts w:cs="Times New Roman"/>
                <w:sz w:val="24"/>
                <w:szCs w:val="24"/>
                <w:lang w:val="ru-RU"/>
              </w:rPr>
              <w:t>1</w:t>
            </w:r>
          </w:p>
        </w:tc>
        <w:tc>
          <w:tcPr>
            <w:tcW w:w="992" w:type="dxa"/>
            <w:tcBorders>
              <w:bottom w:val="single" w:sz="4" w:space="0" w:color="auto"/>
            </w:tcBorders>
            <w:noWrap/>
          </w:tcPr>
          <w:p w14:paraId="33CDCE2E" w14:textId="1737006D" w:rsidR="008D2F2C" w:rsidRPr="008D2F2C" w:rsidRDefault="008D2F2C" w:rsidP="008D2F2C">
            <w:pPr>
              <w:jc w:val="center"/>
              <w:rPr>
                <w:rFonts w:cs="Times New Roman"/>
                <w:sz w:val="24"/>
                <w:szCs w:val="24"/>
                <w:lang w:val="ru-RU"/>
              </w:rPr>
            </w:pPr>
            <w:r>
              <w:rPr>
                <w:rFonts w:cs="Times New Roman"/>
                <w:sz w:val="24"/>
                <w:szCs w:val="24"/>
                <w:lang w:val="ru-RU"/>
              </w:rPr>
              <w:t>2</w:t>
            </w:r>
          </w:p>
        </w:tc>
        <w:tc>
          <w:tcPr>
            <w:tcW w:w="2410" w:type="dxa"/>
            <w:tcBorders>
              <w:bottom w:val="single" w:sz="4" w:space="0" w:color="auto"/>
            </w:tcBorders>
            <w:noWrap/>
          </w:tcPr>
          <w:p w14:paraId="796B7CCB" w14:textId="34180242" w:rsidR="008D2F2C" w:rsidRPr="008D2F2C" w:rsidRDefault="008D2F2C" w:rsidP="008D2F2C">
            <w:pPr>
              <w:jc w:val="center"/>
              <w:rPr>
                <w:rFonts w:cs="Times New Roman"/>
                <w:sz w:val="24"/>
                <w:szCs w:val="24"/>
                <w:lang w:val="ru-RU"/>
              </w:rPr>
            </w:pPr>
            <w:r>
              <w:rPr>
                <w:rFonts w:cs="Times New Roman"/>
                <w:sz w:val="24"/>
                <w:szCs w:val="24"/>
                <w:lang w:val="ru-RU"/>
              </w:rPr>
              <w:t>3</w:t>
            </w:r>
          </w:p>
        </w:tc>
        <w:tc>
          <w:tcPr>
            <w:tcW w:w="2409" w:type="dxa"/>
            <w:tcBorders>
              <w:bottom w:val="single" w:sz="4" w:space="0" w:color="auto"/>
            </w:tcBorders>
            <w:noWrap/>
          </w:tcPr>
          <w:p w14:paraId="2B9F7FE4" w14:textId="181B5B58" w:rsidR="008D2F2C" w:rsidRPr="008D2F2C" w:rsidRDefault="008D2F2C" w:rsidP="008D2F2C">
            <w:pPr>
              <w:jc w:val="center"/>
              <w:rPr>
                <w:rFonts w:cs="Times New Roman"/>
                <w:sz w:val="24"/>
                <w:szCs w:val="24"/>
                <w:lang w:val="ru-RU"/>
              </w:rPr>
            </w:pPr>
            <w:r>
              <w:rPr>
                <w:rFonts w:cs="Times New Roman"/>
                <w:sz w:val="24"/>
                <w:szCs w:val="24"/>
                <w:lang w:val="ru-RU"/>
              </w:rPr>
              <w:t>4</w:t>
            </w:r>
          </w:p>
        </w:tc>
        <w:tc>
          <w:tcPr>
            <w:tcW w:w="851" w:type="dxa"/>
            <w:tcBorders>
              <w:bottom w:val="single" w:sz="4" w:space="0" w:color="auto"/>
            </w:tcBorders>
            <w:noWrap/>
          </w:tcPr>
          <w:p w14:paraId="20FA2951" w14:textId="6C8C0FBD" w:rsidR="008D2F2C" w:rsidRPr="008D2F2C" w:rsidRDefault="008D2F2C" w:rsidP="008D2F2C">
            <w:pPr>
              <w:jc w:val="center"/>
              <w:rPr>
                <w:rFonts w:cs="Times New Roman"/>
                <w:sz w:val="24"/>
                <w:szCs w:val="24"/>
                <w:lang w:val="ru-RU"/>
              </w:rPr>
            </w:pPr>
            <w:r>
              <w:rPr>
                <w:rFonts w:cs="Times New Roman"/>
                <w:sz w:val="24"/>
                <w:szCs w:val="24"/>
                <w:lang w:val="ru-RU"/>
              </w:rPr>
              <w:t>5</w:t>
            </w:r>
          </w:p>
        </w:tc>
        <w:tc>
          <w:tcPr>
            <w:tcW w:w="1530" w:type="dxa"/>
            <w:tcBorders>
              <w:bottom w:val="single" w:sz="4" w:space="0" w:color="auto"/>
            </w:tcBorders>
            <w:noWrap/>
          </w:tcPr>
          <w:p w14:paraId="380FD9F3" w14:textId="5444BE85" w:rsidR="008D2F2C" w:rsidRPr="008D2F2C" w:rsidRDefault="008D2F2C" w:rsidP="008D2F2C">
            <w:pPr>
              <w:jc w:val="center"/>
              <w:rPr>
                <w:rFonts w:cs="Times New Roman"/>
                <w:sz w:val="24"/>
                <w:szCs w:val="24"/>
                <w:lang w:val="ru-RU"/>
              </w:rPr>
            </w:pPr>
            <w:r>
              <w:rPr>
                <w:rFonts w:cs="Times New Roman"/>
                <w:sz w:val="24"/>
                <w:szCs w:val="24"/>
                <w:lang w:val="ru-RU"/>
              </w:rPr>
              <w:t>6</w:t>
            </w:r>
          </w:p>
        </w:tc>
      </w:tr>
      <w:tr w:rsidR="002B136D" w:rsidRPr="008D2F2C" w14:paraId="4B0D2214" w14:textId="77777777" w:rsidTr="008D2F2C">
        <w:trPr>
          <w:trHeight w:val="284"/>
        </w:trPr>
        <w:tc>
          <w:tcPr>
            <w:tcW w:w="1492" w:type="dxa"/>
            <w:vMerge w:val="restart"/>
            <w:noWrap/>
          </w:tcPr>
          <w:p w14:paraId="7B4819FA" w14:textId="33616837" w:rsidR="00960AE8" w:rsidRPr="008D2F2C" w:rsidRDefault="00DE31AC" w:rsidP="00960AE8">
            <w:pPr>
              <w:jc w:val="both"/>
              <w:rPr>
                <w:rFonts w:cs="Times New Roman"/>
                <w:sz w:val="24"/>
                <w:szCs w:val="24"/>
              </w:rPr>
            </w:pPr>
            <w:r w:rsidRPr="008D2F2C">
              <w:rPr>
                <w:rFonts w:cs="Times New Roman"/>
                <w:sz w:val="24"/>
                <w:szCs w:val="24"/>
              </w:rPr>
              <w:t>Генотип</w:t>
            </w:r>
          </w:p>
        </w:tc>
        <w:tc>
          <w:tcPr>
            <w:tcW w:w="992" w:type="dxa"/>
            <w:noWrap/>
          </w:tcPr>
          <w:p w14:paraId="18197D7D" w14:textId="77777777" w:rsidR="00960AE8" w:rsidRPr="008D2F2C" w:rsidRDefault="00960AE8" w:rsidP="00960AE8">
            <w:pPr>
              <w:jc w:val="both"/>
              <w:rPr>
                <w:rFonts w:cs="Times New Roman"/>
                <w:sz w:val="24"/>
                <w:szCs w:val="24"/>
              </w:rPr>
            </w:pPr>
            <w:r w:rsidRPr="008D2F2C">
              <w:rPr>
                <w:rFonts w:cs="Times New Roman"/>
                <w:sz w:val="24"/>
                <w:szCs w:val="24"/>
              </w:rPr>
              <w:t>CC</w:t>
            </w:r>
          </w:p>
        </w:tc>
        <w:tc>
          <w:tcPr>
            <w:tcW w:w="2410" w:type="dxa"/>
            <w:noWrap/>
          </w:tcPr>
          <w:p w14:paraId="24EFED05" w14:textId="77777777" w:rsidR="00960AE8" w:rsidRPr="008D2F2C" w:rsidRDefault="00960AE8" w:rsidP="00960AE8">
            <w:pPr>
              <w:jc w:val="both"/>
              <w:rPr>
                <w:rFonts w:cs="Times New Roman"/>
                <w:sz w:val="24"/>
                <w:szCs w:val="24"/>
              </w:rPr>
            </w:pPr>
            <w:r w:rsidRPr="008D2F2C">
              <w:rPr>
                <w:rFonts w:cs="Times New Roman"/>
                <w:sz w:val="24"/>
                <w:szCs w:val="24"/>
              </w:rPr>
              <w:t>60 (71.43%)</w:t>
            </w:r>
          </w:p>
        </w:tc>
        <w:tc>
          <w:tcPr>
            <w:tcW w:w="2409" w:type="dxa"/>
            <w:noWrap/>
          </w:tcPr>
          <w:p w14:paraId="23648CAB" w14:textId="77777777" w:rsidR="00960AE8" w:rsidRPr="008D2F2C" w:rsidRDefault="00960AE8" w:rsidP="00960AE8">
            <w:pPr>
              <w:jc w:val="both"/>
              <w:rPr>
                <w:rFonts w:cs="Times New Roman"/>
                <w:sz w:val="24"/>
                <w:szCs w:val="24"/>
              </w:rPr>
            </w:pPr>
            <w:r w:rsidRPr="008D2F2C">
              <w:rPr>
                <w:rFonts w:cs="Times New Roman"/>
                <w:sz w:val="24"/>
                <w:szCs w:val="24"/>
              </w:rPr>
              <w:t>38 (79.17%)</w:t>
            </w:r>
          </w:p>
        </w:tc>
        <w:tc>
          <w:tcPr>
            <w:tcW w:w="851" w:type="dxa"/>
            <w:vMerge w:val="restart"/>
            <w:tcBorders>
              <w:bottom w:val="nil"/>
            </w:tcBorders>
            <w:noWrap/>
          </w:tcPr>
          <w:p w14:paraId="63754A45" w14:textId="77777777" w:rsidR="00960AE8" w:rsidRPr="008D2F2C" w:rsidRDefault="00960AE8" w:rsidP="00960AE8">
            <w:pPr>
              <w:jc w:val="both"/>
              <w:rPr>
                <w:rFonts w:cs="Times New Roman"/>
                <w:sz w:val="24"/>
                <w:szCs w:val="24"/>
              </w:rPr>
            </w:pPr>
            <w:r w:rsidRPr="008D2F2C">
              <w:rPr>
                <w:rFonts w:cs="Times New Roman"/>
                <w:sz w:val="24"/>
                <w:szCs w:val="24"/>
              </w:rPr>
              <w:t>0.3</w:t>
            </w:r>
          </w:p>
        </w:tc>
        <w:tc>
          <w:tcPr>
            <w:tcW w:w="1530" w:type="dxa"/>
            <w:vMerge w:val="restart"/>
            <w:tcBorders>
              <w:bottom w:val="nil"/>
            </w:tcBorders>
            <w:noWrap/>
          </w:tcPr>
          <w:p w14:paraId="25AF2437" w14:textId="77777777" w:rsidR="00960AE8" w:rsidRPr="008D2F2C" w:rsidRDefault="00960AE8" w:rsidP="00960AE8">
            <w:pPr>
              <w:jc w:val="both"/>
              <w:rPr>
                <w:rFonts w:cs="Times New Roman"/>
                <w:sz w:val="24"/>
                <w:szCs w:val="24"/>
                <w:lang w:val="ru-RU"/>
              </w:rPr>
            </w:pPr>
            <w:r w:rsidRPr="008D2F2C">
              <w:rPr>
                <w:rFonts w:cs="Times New Roman"/>
                <w:sz w:val="24"/>
                <w:szCs w:val="24"/>
              </w:rPr>
              <w:t>1.2 (0.7</w:t>
            </w:r>
            <w:r w:rsidRPr="008D2F2C">
              <w:rPr>
                <w:rFonts w:cs="Times New Roman"/>
                <w:sz w:val="24"/>
                <w:szCs w:val="24"/>
                <w:lang w:val="ru-RU"/>
              </w:rPr>
              <w:t>;</w:t>
            </w:r>
            <w:r w:rsidRPr="008D2F2C">
              <w:rPr>
                <w:rFonts w:cs="Times New Roman"/>
                <w:sz w:val="24"/>
                <w:szCs w:val="24"/>
              </w:rPr>
              <w:t xml:space="preserve"> </w:t>
            </w:r>
            <w:r w:rsidRPr="008D2F2C">
              <w:rPr>
                <w:rFonts w:cs="Times New Roman"/>
                <w:sz w:val="24"/>
                <w:szCs w:val="24"/>
                <w:lang w:val="ru-RU"/>
              </w:rPr>
              <w:t>1,9)</w:t>
            </w:r>
          </w:p>
        </w:tc>
      </w:tr>
      <w:tr w:rsidR="002B136D" w:rsidRPr="008D2F2C" w14:paraId="7F94C3A0" w14:textId="77777777" w:rsidTr="008D2F2C">
        <w:trPr>
          <w:trHeight w:val="284"/>
        </w:trPr>
        <w:tc>
          <w:tcPr>
            <w:tcW w:w="1492" w:type="dxa"/>
            <w:vMerge/>
            <w:tcBorders>
              <w:bottom w:val="nil"/>
            </w:tcBorders>
            <w:noWrap/>
          </w:tcPr>
          <w:p w14:paraId="51E139C6" w14:textId="77777777" w:rsidR="00960AE8" w:rsidRPr="008D2F2C" w:rsidRDefault="00960AE8" w:rsidP="00960AE8">
            <w:pPr>
              <w:jc w:val="both"/>
              <w:rPr>
                <w:rFonts w:cs="Times New Roman"/>
                <w:sz w:val="24"/>
                <w:szCs w:val="24"/>
              </w:rPr>
            </w:pPr>
          </w:p>
        </w:tc>
        <w:tc>
          <w:tcPr>
            <w:tcW w:w="992" w:type="dxa"/>
            <w:tcBorders>
              <w:bottom w:val="nil"/>
            </w:tcBorders>
            <w:noWrap/>
          </w:tcPr>
          <w:p w14:paraId="487238F8" w14:textId="77777777" w:rsidR="00960AE8" w:rsidRPr="008D2F2C" w:rsidRDefault="00960AE8" w:rsidP="00960AE8">
            <w:pPr>
              <w:jc w:val="both"/>
              <w:rPr>
                <w:rFonts w:cs="Times New Roman"/>
                <w:sz w:val="24"/>
                <w:szCs w:val="24"/>
              </w:rPr>
            </w:pPr>
            <w:r w:rsidRPr="008D2F2C">
              <w:rPr>
                <w:rFonts w:cs="Times New Roman"/>
                <w:sz w:val="24"/>
                <w:szCs w:val="24"/>
              </w:rPr>
              <w:t>CT</w:t>
            </w:r>
          </w:p>
        </w:tc>
        <w:tc>
          <w:tcPr>
            <w:tcW w:w="2410" w:type="dxa"/>
            <w:tcBorders>
              <w:bottom w:val="nil"/>
            </w:tcBorders>
            <w:noWrap/>
          </w:tcPr>
          <w:p w14:paraId="61006C57" w14:textId="77777777" w:rsidR="00960AE8" w:rsidRPr="008D2F2C" w:rsidRDefault="00960AE8" w:rsidP="00960AE8">
            <w:pPr>
              <w:jc w:val="both"/>
              <w:rPr>
                <w:rFonts w:cs="Times New Roman"/>
                <w:sz w:val="24"/>
                <w:szCs w:val="24"/>
              </w:rPr>
            </w:pPr>
            <w:r w:rsidRPr="008D2F2C">
              <w:rPr>
                <w:rFonts w:cs="Times New Roman"/>
                <w:sz w:val="24"/>
                <w:szCs w:val="24"/>
              </w:rPr>
              <w:t>23 (27.38%)</w:t>
            </w:r>
          </w:p>
        </w:tc>
        <w:tc>
          <w:tcPr>
            <w:tcW w:w="2409" w:type="dxa"/>
            <w:tcBorders>
              <w:bottom w:val="nil"/>
            </w:tcBorders>
            <w:noWrap/>
          </w:tcPr>
          <w:p w14:paraId="6849352C" w14:textId="77777777" w:rsidR="00960AE8" w:rsidRPr="008D2F2C" w:rsidRDefault="00960AE8" w:rsidP="00960AE8">
            <w:pPr>
              <w:jc w:val="both"/>
              <w:rPr>
                <w:rFonts w:cs="Times New Roman"/>
                <w:sz w:val="24"/>
                <w:szCs w:val="24"/>
              </w:rPr>
            </w:pPr>
            <w:r w:rsidRPr="008D2F2C">
              <w:rPr>
                <w:rFonts w:cs="Times New Roman"/>
                <w:sz w:val="24"/>
                <w:szCs w:val="24"/>
              </w:rPr>
              <w:t>9 (18.75%)</w:t>
            </w:r>
          </w:p>
        </w:tc>
        <w:tc>
          <w:tcPr>
            <w:tcW w:w="851" w:type="dxa"/>
            <w:vMerge/>
            <w:tcBorders>
              <w:bottom w:val="nil"/>
            </w:tcBorders>
            <w:noWrap/>
          </w:tcPr>
          <w:p w14:paraId="5B89C494" w14:textId="77777777" w:rsidR="00960AE8" w:rsidRPr="008D2F2C" w:rsidRDefault="00960AE8" w:rsidP="00960AE8">
            <w:pPr>
              <w:jc w:val="both"/>
              <w:rPr>
                <w:rFonts w:cs="Times New Roman"/>
                <w:sz w:val="24"/>
                <w:szCs w:val="24"/>
              </w:rPr>
            </w:pPr>
          </w:p>
        </w:tc>
        <w:tc>
          <w:tcPr>
            <w:tcW w:w="1530" w:type="dxa"/>
            <w:vMerge/>
            <w:tcBorders>
              <w:bottom w:val="nil"/>
            </w:tcBorders>
            <w:noWrap/>
          </w:tcPr>
          <w:p w14:paraId="4F475BAC" w14:textId="77777777" w:rsidR="00960AE8" w:rsidRPr="008D2F2C" w:rsidRDefault="00960AE8" w:rsidP="00960AE8">
            <w:pPr>
              <w:jc w:val="both"/>
              <w:rPr>
                <w:rFonts w:cs="Times New Roman"/>
                <w:sz w:val="24"/>
                <w:szCs w:val="24"/>
                <w:lang w:val="ru-RU"/>
              </w:rPr>
            </w:pPr>
          </w:p>
        </w:tc>
      </w:tr>
    </w:tbl>
    <w:p w14:paraId="556B623F" w14:textId="01471F22" w:rsidR="008D2F2C" w:rsidRDefault="008D2F2C" w:rsidP="008D2F2C">
      <w:pPr>
        <w:spacing w:after="0" w:line="240" w:lineRule="auto"/>
      </w:pPr>
      <w:r>
        <w:lastRenderedPageBreak/>
        <w:t>Продолжение таблицы 2</w:t>
      </w:r>
      <w:r w:rsidR="0076161A">
        <w:t>1</w:t>
      </w:r>
    </w:p>
    <w:p w14:paraId="5FE527BC" w14:textId="77777777" w:rsidR="008D2F2C" w:rsidRDefault="008D2F2C" w:rsidP="008D2F2C">
      <w:pPr>
        <w:spacing w:after="0" w:line="240" w:lineRule="auto"/>
      </w:pPr>
    </w:p>
    <w:tbl>
      <w:tblPr>
        <w:tblStyle w:val="110"/>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92"/>
        <w:gridCol w:w="2410"/>
        <w:gridCol w:w="2409"/>
        <w:gridCol w:w="851"/>
        <w:gridCol w:w="1485"/>
      </w:tblGrid>
      <w:tr w:rsidR="008D2F2C" w:rsidRPr="008D2F2C" w14:paraId="28FC1AE3" w14:textId="77777777" w:rsidTr="008D2F2C">
        <w:trPr>
          <w:trHeight w:val="284"/>
        </w:trPr>
        <w:tc>
          <w:tcPr>
            <w:tcW w:w="1492" w:type="dxa"/>
            <w:noWrap/>
          </w:tcPr>
          <w:p w14:paraId="5BA41921" w14:textId="0473052C" w:rsidR="008D2F2C" w:rsidRPr="008D2F2C" w:rsidRDefault="008D2F2C" w:rsidP="008D2F2C">
            <w:pPr>
              <w:jc w:val="center"/>
              <w:rPr>
                <w:rFonts w:cs="Times New Roman"/>
                <w:sz w:val="24"/>
                <w:szCs w:val="24"/>
              </w:rPr>
            </w:pPr>
            <w:r>
              <w:rPr>
                <w:rFonts w:cs="Times New Roman"/>
                <w:sz w:val="24"/>
                <w:szCs w:val="24"/>
                <w:lang w:val="ru-RU"/>
              </w:rPr>
              <w:t>1</w:t>
            </w:r>
          </w:p>
        </w:tc>
        <w:tc>
          <w:tcPr>
            <w:tcW w:w="992" w:type="dxa"/>
            <w:noWrap/>
          </w:tcPr>
          <w:p w14:paraId="4164DC55" w14:textId="4B9A2706" w:rsidR="008D2F2C" w:rsidRPr="008D2F2C" w:rsidRDefault="008D2F2C" w:rsidP="008D2F2C">
            <w:pPr>
              <w:jc w:val="center"/>
              <w:rPr>
                <w:rFonts w:cs="Times New Roman"/>
                <w:sz w:val="24"/>
                <w:szCs w:val="24"/>
              </w:rPr>
            </w:pPr>
            <w:r>
              <w:rPr>
                <w:rFonts w:cs="Times New Roman"/>
                <w:sz w:val="24"/>
                <w:szCs w:val="24"/>
                <w:lang w:val="ru-RU"/>
              </w:rPr>
              <w:t>2</w:t>
            </w:r>
          </w:p>
        </w:tc>
        <w:tc>
          <w:tcPr>
            <w:tcW w:w="2410" w:type="dxa"/>
            <w:noWrap/>
          </w:tcPr>
          <w:p w14:paraId="55657E72" w14:textId="73D7FA4D" w:rsidR="008D2F2C" w:rsidRPr="008D2F2C" w:rsidRDefault="008D2F2C" w:rsidP="008D2F2C">
            <w:pPr>
              <w:jc w:val="center"/>
              <w:rPr>
                <w:rFonts w:cs="Times New Roman"/>
                <w:sz w:val="24"/>
                <w:szCs w:val="24"/>
              </w:rPr>
            </w:pPr>
            <w:r>
              <w:rPr>
                <w:rFonts w:cs="Times New Roman"/>
                <w:sz w:val="24"/>
                <w:szCs w:val="24"/>
                <w:lang w:val="ru-RU"/>
              </w:rPr>
              <w:t>3</w:t>
            </w:r>
          </w:p>
        </w:tc>
        <w:tc>
          <w:tcPr>
            <w:tcW w:w="2409" w:type="dxa"/>
            <w:noWrap/>
          </w:tcPr>
          <w:p w14:paraId="31B0C5E3" w14:textId="3FAA561B" w:rsidR="008D2F2C" w:rsidRPr="008D2F2C" w:rsidRDefault="008D2F2C" w:rsidP="008D2F2C">
            <w:pPr>
              <w:jc w:val="center"/>
              <w:rPr>
                <w:rFonts w:cs="Times New Roman"/>
                <w:sz w:val="24"/>
                <w:szCs w:val="24"/>
              </w:rPr>
            </w:pPr>
            <w:r>
              <w:rPr>
                <w:rFonts w:cs="Times New Roman"/>
                <w:sz w:val="24"/>
                <w:szCs w:val="24"/>
                <w:lang w:val="ru-RU"/>
              </w:rPr>
              <w:t>4</w:t>
            </w:r>
          </w:p>
        </w:tc>
        <w:tc>
          <w:tcPr>
            <w:tcW w:w="851" w:type="dxa"/>
            <w:noWrap/>
          </w:tcPr>
          <w:p w14:paraId="65A47393" w14:textId="04B626A6" w:rsidR="008D2F2C" w:rsidRPr="008D2F2C" w:rsidRDefault="008D2F2C" w:rsidP="008D2F2C">
            <w:pPr>
              <w:jc w:val="center"/>
              <w:rPr>
                <w:rFonts w:cs="Times New Roman"/>
                <w:sz w:val="24"/>
                <w:szCs w:val="24"/>
              </w:rPr>
            </w:pPr>
            <w:r>
              <w:rPr>
                <w:rFonts w:cs="Times New Roman"/>
                <w:sz w:val="24"/>
                <w:szCs w:val="24"/>
                <w:lang w:val="ru-RU"/>
              </w:rPr>
              <w:t>5</w:t>
            </w:r>
          </w:p>
        </w:tc>
        <w:tc>
          <w:tcPr>
            <w:tcW w:w="1485" w:type="dxa"/>
            <w:noWrap/>
          </w:tcPr>
          <w:p w14:paraId="70F2ADA2" w14:textId="5AF563CD" w:rsidR="008D2F2C" w:rsidRPr="008D2F2C" w:rsidRDefault="008D2F2C" w:rsidP="008D2F2C">
            <w:pPr>
              <w:jc w:val="center"/>
              <w:rPr>
                <w:rFonts w:cs="Times New Roman"/>
                <w:sz w:val="24"/>
                <w:szCs w:val="24"/>
              </w:rPr>
            </w:pPr>
            <w:r>
              <w:rPr>
                <w:rFonts w:cs="Times New Roman"/>
                <w:sz w:val="24"/>
                <w:szCs w:val="24"/>
                <w:lang w:val="ru-RU"/>
              </w:rPr>
              <w:t>6</w:t>
            </w:r>
          </w:p>
        </w:tc>
      </w:tr>
      <w:tr w:rsidR="008D2F2C" w:rsidRPr="008D2F2C" w14:paraId="65BB7D48" w14:textId="77777777" w:rsidTr="008D2F2C">
        <w:trPr>
          <w:trHeight w:val="284"/>
        </w:trPr>
        <w:tc>
          <w:tcPr>
            <w:tcW w:w="1492" w:type="dxa"/>
            <w:noWrap/>
          </w:tcPr>
          <w:p w14:paraId="0921D1C8" w14:textId="71A4AC1A" w:rsidR="008D2F2C" w:rsidRPr="008D2F2C" w:rsidRDefault="008D2F2C" w:rsidP="008D2F2C">
            <w:pPr>
              <w:jc w:val="both"/>
              <w:rPr>
                <w:rFonts w:cs="Times New Roman"/>
                <w:sz w:val="24"/>
                <w:szCs w:val="24"/>
              </w:rPr>
            </w:pPr>
          </w:p>
        </w:tc>
        <w:tc>
          <w:tcPr>
            <w:tcW w:w="992" w:type="dxa"/>
            <w:noWrap/>
          </w:tcPr>
          <w:p w14:paraId="7179947C" w14:textId="77777777" w:rsidR="008D2F2C" w:rsidRPr="008D2F2C" w:rsidRDefault="008D2F2C" w:rsidP="008D2F2C">
            <w:pPr>
              <w:jc w:val="both"/>
              <w:rPr>
                <w:rFonts w:cs="Times New Roman"/>
                <w:sz w:val="24"/>
                <w:szCs w:val="24"/>
              </w:rPr>
            </w:pPr>
            <w:r w:rsidRPr="008D2F2C">
              <w:rPr>
                <w:rFonts w:cs="Times New Roman"/>
                <w:sz w:val="24"/>
                <w:szCs w:val="24"/>
              </w:rPr>
              <w:t>TT</w:t>
            </w:r>
          </w:p>
        </w:tc>
        <w:tc>
          <w:tcPr>
            <w:tcW w:w="2410" w:type="dxa"/>
            <w:noWrap/>
          </w:tcPr>
          <w:p w14:paraId="6042470A" w14:textId="77777777" w:rsidR="008D2F2C" w:rsidRPr="008D2F2C" w:rsidRDefault="008D2F2C" w:rsidP="008D2F2C">
            <w:pPr>
              <w:jc w:val="both"/>
              <w:rPr>
                <w:rFonts w:cs="Times New Roman"/>
                <w:sz w:val="24"/>
                <w:szCs w:val="24"/>
              </w:rPr>
            </w:pPr>
            <w:r w:rsidRPr="008D2F2C">
              <w:rPr>
                <w:rFonts w:cs="Times New Roman"/>
                <w:sz w:val="24"/>
                <w:szCs w:val="24"/>
              </w:rPr>
              <w:t>1 (1.19%)</w:t>
            </w:r>
          </w:p>
        </w:tc>
        <w:tc>
          <w:tcPr>
            <w:tcW w:w="2409" w:type="dxa"/>
            <w:noWrap/>
          </w:tcPr>
          <w:p w14:paraId="69AC3D59" w14:textId="77777777" w:rsidR="008D2F2C" w:rsidRPr="008D2F2C" w:rsidRDefault="008D2F2C" w:rsidP="008D2F2C">
            <w:pPr>
              <w:jc w:val="both"/>
              <w:rPr>
                <w:rFonts w:cs="Times New Roman"/>
                <w:sz w:val="24"/>
                <w:szCs w:val="24"/>
              </w:rPr>
            </w:pPr>
            <w:r w:rsidRPr="008D2F2C">
              <w:rPr>
                <w:rFonts w:cs="Times New Roman"/>
                <w:sz w:val="24"/>
                <w:szCs w:val="24"/>
              </w:rPr>
              <w:t>1 (2.08%)</w:t>
            </w:r>
          </w:p>
        </w:tc>
        <w:tc>
          <w:tcPr>
            <w:tcW w:w="851" w:type="dxa"/>
            <w:noWrap/>
          </w:tcPr>
          <w:p w14:paraId="0FBA5CB2" w14:textId="77777777" w:rsidR="008D2F2C" w:rsidRPr="008D2F2C" w:rsidRDefault="008D2F2C" w:rsidP="008D2F2C">
            <w:pPr>
              <w:jc w:val="both"/>
              <w:rPr>
                <w:rFonts w:cs="Times New Roman"/>
                <w:sz w:val="24"/>
                <w:szCs w:val="24"/>
              </w:rPr>
            </w:pPr>
          </w:p>
        </w:tc>
        <w:tc>
          <w:tcPr>
            <w:tcW w:w="1485" w:type="dxa"/>
            <w:noWrap/>
          </w:tcPr>
          <w:p w14:paraId="7B82D893" w14:textId="77777777" w:rsidR="008D2F2C" w:rsidRPr="008D2F2C" w:rsidRDefault="008D2F2C" w:rsidP="008D2F2C">
            <w:pPr>
              <w:jc w:val="both"/>
              <w:rPr>
                <w:rFonts w:cs="Times New Roman"/>
                <w:sz w:val="24"/>
                <w:szCs w:val="24"/>
                <w:lang w:val="ru-RU"/>
              </w:rPr>
            </w:pPr>
          </w:p>
        </w:tc>
      </w:tr>
      <w:tr w:rsidR="008D2F2C" w:rsidRPr="008D2F2C" w14:paraId="184C8982" w14:textId="77777777" w:rsidTr="008D2F2C">
        <w:trPr>
          <w:trHeight w:val="284"/>
        </w:trPr>
        <w:tc>
          <w:tcPr>
            <w:tcW w:w="1492" w:type="dxa"/>
            <w:vMerge w:val="restart"/>
            <w:noWrap/>
            <w:hideMark/>
          </w:tcPr>
          <w:p w14:paraId="64C212FD" w14:textId="79CEFD5F" w:rsidR="008D2F2C" w:rsidRPr="008D2F2C" w:rsidRDefault="008D2F2C" w:rsidP="008D2F2C">
            <w:pPr>
              <w:jc w:val="both"/>
              <w:rPr>
                <w:rFonts w:cs="Times New Roman"/>
                <w:sz w:val="24"/>
                <w:szCs w:val="24"/>
              </w:rPr>
            </w:pPr>
            <w:r w:rsidRPr="008D2F2C">
              <w:rPr>
                <w:rFonts w:cs="Times New Roman"/>
                <w:sz w:val="24"/>
                <w:szCs w:val="24"/>
              </w:rPr>
              <w:t>Рецессивная модель</w:t>
            </w:r>
          </w:p>
        </w:tc>
        <w:tc>
          <w:tcPr>
            <w:tcW w:w="992" w:type="dxa"/>
            <w:noWrap/>
            <w:hideMark/>
          </w:tcPr>
          <w:p w14:paraId="045F59F7" w14:textId="77777777" w:rsidR="008D2F2C" w:rsidRPr="008D2F2C" w:rsidRDefault="008D2F2C" w:rsidP="008D2F2C">
            <w:pPr>
              <w:jc w:val="both"/>
              <w:rPr>
                <w:rFonts w:cs="Times New Roman"/>
                <w:sz w:val="24"/>
                <w:szCs w:val="24"/>
              </w:rPr>
            </w:pPr>
            <w:r w:rsidRPr="008D2F2C">
              <w:rPr>
                <w:rFonts w:cs="Times New Roman"/>
                <w:sz w:val="24"/>
                <w:szCs w:val="24"/>
              </w:rPr>
              <w:t>CC+СТ</w:t>
            </w:r>
          </w:p>
        </w:tc>
        <w:tc>
          <w:tcPr>
            <w:tcW w:w="2410" w:type="dxa"/>
            <w:noWrap/>
            <w:hideMark/>
          </w:tcPr>
          <w:p w14:paraId="590B1B57" w14:textId="77777777" w:rsidR="008D2F2C" w:rsidRPr="008D2F2C" w:rsidRDefault="008D2F2C" w:rsidP="008D2F2C">
            <w:pPr>
              <w:jc w:val="both"/>
              <w:rPr>
                <w:rFonts w:cs="Times New Roman"/>
                <w:sz w:val="24"/>
                <w:szCs w:val="24"/>
              </w:rPr>
            </w:pPr>
            <w:r w:rsidRPr="008D2F2C">
              <w:rPr>
                <w:rFonts w:cs="Times New Roman"/>
                <w:sz w:val="24"/>
                <w:szCs w:val="24"/>
              </w:rPr>
              <w:t>83 (98.8%)</w:t>
            </w:r>
          </w:p>
        </w:tc>
        <w:tc>
          <w:tcPr>
            <w:tcW w:w="2409" w:type="dxa"/>
            <w:noWrap/>
            <w:hideMark/>
          </w:tcPr>
          <w:p w14:paraId="1A24C4CE" w14:textId="77777777" w:rsidR="008D2F2C" w:rsidRPr="008D2F2C" w:rsidRDefault="008D2F2C" w:rsidP="008D2F2C">
            <w:pPr>
              <w:jc w:val="both"/>
              <w:rPr>
                <w:rFonts w:cs="Times New Roman"/>
                <w:sz w:val="24"/>
                <w:szCs w:val="24"/>
              </w:rPr>
            </w:pPr>
            <w:r w:rsidRPr="008D2F2C">
              <w:rPr>
                <w:rFonts w:cs="Times New Roman"/>
                <w:sz w:val="24"/>
                <w:szCs w:val="24"/>
              </w:rPr>
              <w:t>47 (97.9%)</w:t>
            </w:r>
          </w:p>
        </w:tc>
        <w:tc>
          <w:tcPr>
            <w:tcW w:w="851" w:type="dxa"/>
            <w:vMerge w:val="restart"/>
            <w:noWrap/>
            <w:hideMark/>
          </w:tcPr>
          <w:p w14:paraId="0F9ED168" w14:textId="77777777" w:rsidR="008D2F2C" w:rsidRPr="008D2F2C" w:rsidRDefault="008D2F2C" w:rsidP="008D2F2C">
            <w:pPr>
              <w:jc w:val="both"/>
              <w:rPr>
                <w:rFonts w:cs="Times New Roman"/>
                <w:sz w:val="24"/>
                <w:szCs w:val="24"/>
              </w:rPr>
            </w:pPr>
            <w:r w:rsidRPr="008D2F2C">
              <w:rPr>
                <w:rFonts w:cs="Times New Roman"/>
                <w:sz w:val="24"/>
                <w:szCs w:val="24"/>
              </w:rPr>
              <w:t>0.7</w:t>
            </w:r>
          </w:p>
        </w:tc>
        <w:tc>
          <w:tcPr>
            <w:tcW w:w="1485" w:type="dxa"/>
            <w:vMerge w:val="restart"/>
            <w:noWrap/>
          </w:tcPr>
          <w:p w14:paraId="5AD42998" w14:textId="77777777" w:rsidR="008D2F2C" w:rsidRPr="008D2F2C" w:rsidRDefault="008D2F2C" w:rsidP="008D2F2C">
            <w:pPr>
              <w:rPr>
                <w:rFonts w:cs="Times New Roman"/>
                <w:sz w:val="24"/>
                <w:szCs w:val="24"/>
              </w:rPr>
            </w:pPr>
            <w:r w:rsidRPr="008D2F2C">
              <w:rPr>
                <w:rFonts w:cs="Times New Roman"/>
                <w:sz w:val="24"/>
                <w:szCs w:val="24"/>
              </w:rPr>
              <w:t>0.5 (0.09; 9.2)</w:t>
            </w:r>
          </w:p>
        </w:tc>
      </w:tr>
      <w:tr w:rsidR="008D2F2C" w:rsidRPr="008D2F2C" w14:paraId="60E6E02C" w14:textId="77777777" w:rsidTr="008D2F2C">
        <w:trPr>
          <w:trHeight w:val="284"/>
        </w:trPr>
        <w:tc>
          <w:tcPr>
            <w:tcW w:w="1492" w:type="dxa"/>
            <w:vMerge/>
            <w:noWrap/>
            <w:hideMark/>
          </w:tcPr>
          <w:p w14:paraId="4B43F92C" w14:textId="77777777" w:rsidR="008D2F2C" w:rsidRPr="008D2F2C" w:rsidRDefault="008D2F2C" w:rsidP="008D2F2C">
            <w:pPr>
              <w:jc w:val="both"/>
              <w:rPr>
                <w:rFonts w:cs="Times New Roman"/>
                <w:sz w:val="24"/>
                <w:szCs w:val="24"/>
              </w:rPr>
            </w:pPr>
          </w:p>
        </w:tc>
        <w:tc>
          <w:tcPr>
            <w:tcW w:w="992" w:type="dxa"/>
            <w:noWrap/>
            <w:hideMark/>
          </w:tcPr>
          <w:p w14:paraId="09BAE8A0" w14:textId="77777777" w:rsidR="008D2F2C" w:rsidRPr="008D2F2C" w:rsidRDefault="008D2F2C" w:rsidP="008D2F2C">
            <w:pPr>
              <w:jc w:val="both"/>
              <w:rPr>
                <w:rFonts w:cs="Times New Roman"/>
                <w:sz w:val="24"/>
                <w:szCs w:val="24"/>
              </w:rPr>
            </w:pPr>
            <w:r w:rsidRPr="008D2F2C">
              <w:rPr>
                <w:rFonts w:cs="Times New Roman"/>
                <w:sz w:val="24"/>
                <w:szCs w:val="24"/>
              </w:rPr>
              <w:t>TT</w:t>
            </w:r>
          </w:p>
        </w:tc>
        <w:tc>
          <w:tcPr>
            <w:tcW w:w="2410" w:type="dxa"/>
            <w:noWrap/>
            <w:hideMark/>
          </w:tcPr>
          <w:p w14:paraId="627AFB38" w14:textId="77777777" w:rsidR="008D2F2C" w:rsidRPr="008D2F2C" w:rsidRDefault="008D2F2C" w:rsidP="008D2F2C">
            <w:pPr>
              <w:jc w:val="both"/>
              <w:rPr>
                <w:rFonts w:cs="Times New Roman"/>
                <w:sz w:val="24"/>
                <w:szCs w:val="24"/>
              </w:rPr>
            </w:pPr>
            <w:r w:rsidRPr="008D2F2C">
              <w:rPr>
                <w:rFonts w:cs="Times New Roman"/>
                <w:sz w:val="24"/>
                <w:szCs w:val="24"/>
              </w:rPr>
              <w:t>1 (1.19%)</w:t>
            </w:r>
          </w:p>
        </w:tc>
        <w:tc>
          <w:tcPr>
            <w:tcW w:w="2409" w:type="dxa"/>
            <w:noWrap/>
            <w:hideMark/>
          </w:tcPr>
          <w:p w14:paraId="23047CEB" w14:textId="77777777" w:rsidR="008D2F2C" w:rsidRPr="008D2F2C" w:rsidRDefault="008D2F2C" w:rsidP="008D2F2C">
            <w:pPr>
              <w:jc w:val="both"/>
              <w:rPr>
                <w:rFonts w:cs="Times New Roman"/>
                <w:sz w:val="24"/>
                <w:szCs w:val="24"/>
              </w:rPr>
            </w:pPr>
            <w:r w:rsidRPr="008D2F2C">
              <w:rPr>
                <w:rFonts w:cs="Times New Roman"/>
                <w:sz w:val="24"/>
                <w:szCs w:val="24"/>
              </w:rPr>
              <w:t>1 (2.08%)</w:t>
            </w:r>
          </w:p>
        </w:tc>
        <w:tc>
          <w:tcPr>
            <w:tcW w:w="851" w:type="dxa"/>
            <w:vMerge/>
            <w:noWrap/>
            <w:hideMark/>
          </w:tcPr>
          <w:p w14:paraId="7E391A96" w14:textId="77777777" w:rsidR="008D2F2C" w:rsidRPr="008D2F2C" w:rsidRDefault="008D2F2C" w:rsidP="008D2F2C">
            <w:pPr>
              <w:jc w:val="both"/>
              <w:rPr>
                <w:rFonts w:cs="Times New Roman"/>
                <w:sz w:val="24"/>
                <w:szCs w:val="24"/>
              </w:rPr>
            </w:pPr>
          </w:p>
        </w:tc>
        <w:tc>
          <w:tcPr>
            <w:tcW w:w="1485" w:type="dxa"/>
            <w:vMerge/>
            <w:noWrap/>
          </w:tcPr>
          <w:p w14:paraId="6FBDD6D0" w14:textId="77777777" w:rsidR="008D2F2C" w:rsidRPr="008D2F2C" w:rsidRDefault="008D2F2C" w:rsidP="008D2F2C">
            <w:pPr>
              <w:jc w:val="both"/>
              <w:rPr>
                <w:rFonts w:cs="Times New Roman"/>
                <w:sz w:val="24"/>
                <w:szCs w:val="24"/>
              </w:rPr>
            </w:pPr>
          </w:p>
        </w:tc>
      </w:tr>
      <w:tr w:rsidR="008D2F2C" w:rsidRPr="008D2F2C" w14:paraId="4B8F70AF" w14:textId="77777777" w:rsidTr="008D2F2C">
        <w:trPr>
          <w:trHeight w:val="284"/>
        </w:trPr>
        <w:tc>
          <w:tcPr>
            <w:tcW w:w="1492" w:type="dxa"/>
            <w:vMerge w:val="restart"/>
            <w:noWrap/>
          </w:tcPr>
          <w:p w14:paraId="1432E682" w14:textId="5E7E403B" w:rsidR="008D2F2C" w:rsidRPr="008D2F2C" w:rsidRDefault="008D2F2C" w:rsidP="008D2F2C">
            <w:pPr>
              <w:jc w:val="both"/>
              <w:rPr>
                <w:rFonts w:cs="Times New Roman"/>
                <w:sz w:val="24"/>
                <w:szCs w:val="24"/>
              </w:rPr>
            </w:pPr>
            <w:r w:rsidRPr="008D2F2C">
              <w:rPr>
                <w:rFonts w:cs="Times New Roman"/>
                <w:sz w:val="24"/>
                <w:szCs w:val="24"/>
                <w:lang w:val="kk-KZ"/>
              </w:rPr>
              <w:t>А</w:t>
            </w:r>
            <w:r w:rsidRPr="008D2F2C">
              <w:rPr>
                <w:rFonts w:cs="Times New Roman"/>
                <w:sz w:val="24"/>
                <w:szCs w:val="24"/>
              </w:rPr>
              <w:t>ллель</w:t>
            </w:r>
          </w:p>
        </w:tc>
        <w:tc>
          <w:tcPr>
            <w:tcW w:w="992" w:type="dxa"/>
            <w:noWrap/>
          </w:tcPr>
          <w:p w14:paraId="7FC1B9A0" w14:textId="77777777" w:rsidR="008D2F2C" w:rsidRPr="008D2F2C" w:rsidRDefault="008D2F2C" w:rsidP="008D2F2C">
            <w:pPr>
              <w:jc w:val="both"/>
              <w:rPr>
                <w:rFonts w:cs="Times New Roman"/>
                <w:sz w:val="24"/>
                <w:szCs w:val="24"/>
              </w:rPr>
            </w:pPr>
            <w:r w:rsidRPr="008D2F2C">
              <w:rPr>
                <w:rFonts w:cs="Times New Roman"/>
                <w:sz w:val="24"/>
                <w:szCs w:val="24"/>
                <w:lang w:val="ru-RU"/>
              </w:rPr>
              <w:t>С</w:t>
            </w:r>
            <w:r w:rsidRPr="008D2F2C">
              <w:rPr>
                <w:rFonts w:cs="Times New Roman"/>
                <w:sz w:val="24"/>
                <w:szCs w:val="24"/>
                <w:vertAlign w:val="superscript"/>
              </w:rPr>
              <w:t>*</w:t>
            </w:r>
          </w:p>
        </w:tc>
        <w:tc>
          <w:tcPr>
            <w:tcW w:w="2410" w:type="dxa"/>
            <w:noWrap/>
          </w:tcPr>
          <w:p w14:paraId="45FB3C5D" w14:textId="77777777" w:rsidR="008D2F2C" w:rsidRPr="008D2F2C" w:rsidRDefault="008D2F2C" w:rsidP="008D2F2C">
            <w:pPr>
              <w:jc w:val="both"/>
              <w:rPr>
                <w:rFonts w:cs="Times New Roman"/>
                <w:sz w:val="24"/>
                <w:szCs w:val="24"/>
              </w:rPr>
            </w:pPr>
            <w:r w:rsidRPr="008D2F2C">
              <w:rPr>
                <w:rFonts w:cs="Times New Roman"/>
                <w:sz w:val="24"/>
                <w:szCs w:val="24"/>
              </w:rPr>
              <w:t>143 (85.12%)</w:t>
            </w:r>
          </w:p>
        </w:tc>
        <w:tc>
          <w:tcPr>
            <w:tcW w:w="2409" w:type="dxa"/>
            <w:noWrap/>
          </w:tcPr>
          <w:p w14:paraId="5247A4C2" w14:textId="77777777" w:rsidR="008D2F2C" w:rsidRPr="008D2F2C" w:rsidRDefault="008D2F2C" w:rsidP="008D2F2C">
            <w:pPr>
              <w:jc w:val="both"/>
              <w:rPr>
                <w:rFonts w:cs="Times New Roman"/>
                <w:sz w:val="24"/>
                <w:szCs w:val="24"/>
              </w:rPr>
            </w:pPr>
            <w:r w:rsidRPr="008D2F2C">
              <w:rPr>
                <w:rFonts w:cs="Times New Roman"/>
                <w:sz w:val="24"/>
                <w:szCs w:val="24"/>
              </w:rPr>
              <w:t>85 (88.54%)</w:t>
            </w:r>
          </w:p>
        </w:tc>
        <w:tc>
          <w:tcPr>
            <w:tcW w:w="851" w:type="dxa"/>
            <w:vMerge w:val="restart"/>
            <w:noWrap/>
          </w:tcPr>
          <w:p w14:paraId="218892AD" w14:textId="77777777" w:rsidR="008D2F2C" w:rsidRPr="008D2F2C" w:rsidRDefault="008D2F2C" w:rsidP="008D2F2C">
            <w:pPr>
              <w:jc w:val="both"/>
              <w:rPr>
                <w:rFonts w:cs="Times New Roman"/>
                <w:sz w:val="24"/>
                <w:szCs w:val="24"/>
                <w:lang w:val="ru-RU"/>
              </w:rPr>
            </w:pPr>
            <w:r w:rsidRPr="008D2F2C">
              <w:rPr>
                <w:rFonts w:cs="Times New Roman"/>
                <w:sz w:val="24"/>
                <w:szCs w:val="24"/>
              </w:rPr>
              <w:t>0.4</w:t>
            </w:r>
          </w:p>
        </w:tc>
        <w:tc>
          <w:tcPr>
            <w:tcW w:w="1485" w:type="dxa"/>
            <w:vMerge w:val="restart"/>
            <w:noWrap/>
          </w:tcPr>
          <w:p w14:paraId="0F6FB56B" w14:textId="77777777" w:rsidR="008D2F2C" w:rsidRPr="008D2F2C" w:rsidRDefault="008D2F2C" w:rsidP="008D2F2C">
            <w:pPr>
              <w:jc w:val="both"/>
              <w:rPr>
                <w:rFonts w:cs="Times New Roman"/>
                <w:sz w:val="24"/>
                <w:szCs w:val="24"/>
                <w:lang w:val="ru-RU"/>
              </w:rPr>
            </w:pPr>
            <w:r w:rsidRPr="008D2F2C">
              <w:rPr>
                <w:rFonts w:cs="Times New Roman"/>
                <w:sz w:val="24"/>
                <w:szCs w:val="24"/>
                <w:lang w:val="ru-RU"/>
              </w:rPr>
              <w:t>1.4</w:t>
            </w:r>
            <w:r w:rsidRPr="008D2F2C">
              <w:rPr>
                <w:rFonts w:cs="Times New Roman"/>
                <w:sz w:val="24"/>
                <w:szCs w:val="24"/>
              </w:rPr>
              <w:t xml:space="preserve"> </w:t>
            </w:r>
            <w:r w:rsidRPr="008D2F2C">
              <w:rPr>
                <w:rFonts w:cs="Times New Roman"/>
                <w:sz w:val="24"/>
                <w:szCs w:val="24"/>
                <w:lang w:val="ru-RU"/>
              </w:rPr>
              <w:t>(0.6;</w:t>
            </w:r>
            <w:r w:rsidRPr="008D2F2C">
              <w:rPr>
                <w:rFonts w:cs="Times New Roman"/>
                <w:sz w:val="24"/>
                <w:szCs w:val="24"/>
              </w:rPr>
              <w:t xml:space="preserve"> </w:t>
            </w:r>
            <w:r w:rsidRPr="008D2F2C">
              <w:rPr>
                <w:rFonts w:cs="Times New Roman"/>
                <w:sz w:val="24"/>
                <w:szCs w:val="24"/>
                <w:lang w:val="ru-RU"/>
              </w:rPr>
              <w:t>2.9)</w:t>
            </w:r>
          </w:p>
        </w:tc>
      </w:tr>
      <w:tr w:rsidR="008D2F2C" w:rsidRPr="008D2F2C" w14:paraId="348AC4B4" w14:textId="77777777" w:rsidTr="008D2F2C">
        <w:trPr>
          <w:trHeight w:val="284"/>
        </w:trPr>
        <w:tc>
          <w:tcPr>
            <w:tcW w:w="1492" w:type="dxa"/>
            <w:vMerge/>
            <w:noWrap/>
          </w:tcPr>
          <w:p w14:paraId="58E2C6DC" w14:textId="77777777" w:rsidR="008D2F2C" w:rsidRPr="008D2F2C" w:rsidRDefault="008D2F2C" w:rsidP="008D2F2C">
            <w:pPr>
              <w:jc w:val="both"/>
              <w:rPr>
                <w:rFonts w:cs="Times New Roman"/>
                <w:sz w:val="24"/>
                <w:szCs w:val="24"/>
              </w:rPr>
            </w:pPr>
          </w:p>
        </w:tc>
        <w:tc>
          <w:tcPr>
            <w:tcW w:w="992" w:type="dxa"/>
            <w:noWrap/>
          </w:tcPr>
          <w:p w14:paraId="0EF3C53C" w14:textId="77777777" w:rsidR="008D2F2C" w:rsidRPr="008D2F2C" w:rsidRDefault="008D2F2C" w:rsidP="008D2F2C">
            <w:pPr>
              <w:jc w:val="both"/>
              <w:rPr>
                <w:rFonts w:cs="Times New Roman"/>
                <w:sz w:val="24"/>
                <w:szCs w:val="24"/>
                <w:lang w:val="ru-RU"/>
              </w:rPr>
            </w:pPr>
            <w:r w:rsidRPr="008D2F2C">
              <w:rPr>
                <w:rFonts w:cs="Times New Roman"/>
                <w:sz w:val="24"/>
                <w:szCs w:val="24"/>
                <w:lang w:val="ru-RU"/>
              </w:rPr>
              <w:t>Т</w:t>
            </w:r>
          </w:p>
        </w:tc>
        <w:tc>
          <w:tcPr>
            <w:tcW w:w="2410" w:type="dxa"/>
            <w:noWrap/>
          </w:tcPr>
          <w:p w14:paraId="38E24412" w14:textId="77777777" w:rsidR="008D2F2C" w:rsidRPr="008D2F2C" w:rsidRDefault="008D2F2C" w:rsidP="008D2F2C">
            <w:pPr>
              <w:jc w:val="both"/>
              <w:rPr>
                <w:rFonts w:cs="Times New Roman"/>
                <w:sz w:val="24"/>
                <w:szCs w:val="24"/>
              </w:rPr>
            </w:pPr>
            <w:r w:rsidRPr="008D2F2C">
              <w:rPr>
                <w:rFonts w:cs="Times New Roman"/>
                <w:sz w:val="24"/>
                <w:szCs w:val="24"/>
              </w:rPr>
              <w:t>25 (14.88%)</w:t>
            </w:r>
          </w:p>
        </w:tc>
        <w:tc>
          <w:tcPr>
            <w:tcW w:w="2409" w:type="dxa"/>
            <w:noWrap/>
          </w:tcPr>
          <w:p w14:paraId="5B5A45FF" w14:textId="77777777" w:rsidR="008D2F2C" w:rsidRPr="008D2F2C" w:rsidRDefault="008D2F2C" w:rsidP="008D2F2C">
            <w:pPr>
              <w:jc w:val="both"/>
              <w:rPr>
                <w:rFonts w:cs="Times New Roman"/>
                <w:sz w:val="24"/>
                <w:szCs w:val="24"/>
              </w:rPr>
            </w:pPr>
            <w:r w:rsidRPr="008D2F2C">
              <w:rPr>
                <w:rFonts w:cs="Times New Roman"/>
                <w:sz w:val="24"/>
                <w:szCs w:val="24"/>
              </w:rPr>
              <w:t>11 (11.46%)</w:t>
            </w:r>
          </w:p>
        </w:tc>
        <w:tc>
          <w:tcPr>
            <w:tcW w:w="851" w:type="dxa"/>
            <w:vMerge/>
            <w:noWrap/>
          </w:tcPr>
          <w:p w14:paraId="313C3136" w14:textId="77777777" w:rsidR="008D2F2C" w:rsidRPr="008D2F2C" w:rsidRDefault="008D2F2C" w:rsidP="008D2F2C">
            <w:pPr>
              <w:jc w:val="both"/>
              <w:rPr>
                <w:rFonts w:cs="Times New Roman"/>
                <w:sz w:val="24"/>
                <w:szCs w:val="24"/>
                <w:lang w:val="ru-RU"/>
              </w:rPr>
            </w:pPr>
          </w:p>
        </w:tc>
        <w:tc>
          <w:tcPr>
            <w:tcW w:w="1485" w:type="dxa"/>
            <w:vMerge/>
            <w:noWrap/>
          </w:tcPr>
          <w:p w14:paraId="6D38BBD5" w14:textId="77777777" w:rsidR="008D2F2C" w:rsidRPr="008D2F2C" w:rsidRDefault="008D2F2C" w:rsidP="008D2F2C">
            <w:pPr>
              <w:jc w:val="both"/>
              <w:rPr>
                <w:rFonts w:cs="Times New Roman"/>
                <w:sz w:val="24"/>
                <w:szCs w:val="24"/>
              </w:rPr>
            </w:pPr>
          </w:p>
        </w:tc>
      </w:tr>
      <w:tr w:rsidR="008D2F2C" w:rsidRPr="008D2F2C" w14:paraId="501744A9" w14:textId="77777777" w:rsidTr="008D2F2C">
        <w:trPr>
          <w:trHeight w:val="284"/>
        </w:trPr>
        <w:tc>
          <w:tcPr>
            <w:tcW w:w="9639" w:type="dxa"/>
            <w:gridSpan w:val="6"/>
            <w:noWrap/>
            <w:hideMark/>
          </w:tcPr>
          <w:p w14:paraId="4AA8FDA3" w14:textId="77777777" w:rsidR="008D2F2C" w:rsidRPr="008D2F2C" w:rsidRDefault="008D2F2C" w:rsidP="008D2F2C">
            <w:pPr>
              <w:jc w:val="both"/>
              <w:rPr>
                <w:rFonts w:cs="Times New Roman"/>
                <w:sz w:val="24"/>
                <w:szCs w:val="24"/>
              </w:rPr>
            </w:pPr>
            <w:r w:rsidRPr="008D2F2C">
              <w:rPr>
                <w:rFonts w:cs="Times New Roman"/>
                <w:sz w:val="24"/>
                <w:szCs w:val="24"/>
              </w:rPr>
              <w:t>rs3811058 / IL1F10</w:t>
            </w:r>
          </w:p>
        </w:tc>
      </w:tr>
      <w:tr w:rsidR="008D2F2C" w:rsidRPr="008D2F2C" w14:paraId="7DCE829B" w14:textId="77777777" w:rsidTr="008D2F2C">
        <w:trPr>
          <w:trHeight w:val="284"/>
        </w:trPr>
        <w:tc>
          <w:tcPr>
            <w:tcW w:w="1492" w:type="dxa"/>
            <w:vMerge w:val="restart"/>
            <w:noWrap/>
            <w:hideMark/>
          </w:tcPr>
          <w:p w14:paraId="27B1D732" w14:textId="6BBED5C1" w:rsidR="008D2F2C" w:rsidRPr="008D2F2C" w:rsidRDefault="008D2F2C" w:rsidP="008D2F2C">
            <w:pPr>
              <w:jc w:val="both"/>
              <w:rPr>
                <w:rFonts w:cs="Times New Roman"/>
                <w:sz w:val="24"/>
                <w:szCs w:val="24"/>
              </w:rPr>
            </w:pPr>
            <w:r w:rsidRPr="008D2F2C">
              <w:rPr>
                <w:rFonts w:cs="Times New Roman"/>
                <w:sz w:val="24"/>
                <w:szCs w:val="24"/>
              </w:rPr>
              <w:t>Генотип</w:t>
            </w:r>
          </w:p>
        </w:tc>
        <w:tc>
          <w:tcPr>
            <w:tcW w:w="992" w:type="dxa"/>
            <w:noWrap/>
            <w:hideMark/>
          </w:tcPr>
          <w:p w14:paraId="6C995DCC" w14:textId="77777777" w:rsidR="008D2F2C" w:rsidRPr="008D2F2C" w:rsidRDefault="008D2F2C" w:rsidP="008D2F2C">
            <w:pPr>
              <w:jc w:val="both"/>
              <w:rPr>
                <w:rFonts w:cs="Times New Roman"/>
                <w:sz w:val="24"/>
                <w:szCs w:val="24"/>
              </w:rPr>
            </w:pPr>
            <w:r w:rsidRPr="008D2F2C">
              <w:rPr>
                <w:rFonts w:cs="Times New Roman"/>
                <w:sz w:val="24"/>
                <w:szCs w:val="24"/>
              </w:rPr>
              <w:t>CC</w:t>
            </w:r>
          </w:p>
        </w:tc>
        <w:tc>
          <w:tcPr>
            <w:tcW w:w="2410" w:type="dxa"/>
            <w:noWrap/>
            <w:hideMark/>
          </w:tcPr>
          <w:p w14:paraId="52B043A2" w14:textId="77777777" w:rsidR="008D2F2C" w:rsidRPr="008D2F2C" w:rsidRDefault="008D2F2C" w:rsidP="008D2F2C">
            <w:pPr>
              <w:jc w:val="both"/>
              <w:rPr>
                <w:rFonts w:cs="Times New Roman"/>
                <w:sz w:val="24"/>
                <w:szCs w:val="24"/>
              </w:rPr>
            </w:pPr>
            <w:r w:rsidRPr="008D2F2C">
              <w:rPr>
                <w:rFonts w:cs="Times New Roman"/>
                <w:sz w:val="24"/>
                <w:szCs w:val="24"/>
              </w:rPr>
              <w:t>43 (51.19%)</w:t>
            </w:r>
          </w:p>
        </w:tc>
        <w:tc>
          <w:tcPr>
            <w:tcW w:w="2409" w:type="dxa"/>
            <w:noWrap/>
            <w:hideMark/>
          </w:tcPr>
          <w:p w14:paraId="4F1F86AD" w14:textId="77777777" w:rsidR="008D2F2C" w:rsidRPr="008D2F2C" w:rsidRDefault="008D2F2C" w:rsidP="008D2F2C">
            <w:pPr>
              <w:jc w:val="both"/>
              <w:rPr>
                <w:rFonts w:cs="Times New Roman"/>
                <w:sz w:val="24"/>
                <w:szCs w:val="24"/>
              </w:rPr>
            </w:pPr>
            <w:r w:rsidRPr="008D2F2C">
              <w:rPr>
                <w:rFonts w:cs="Times New Roman"/>
                <w:sz w:val="24"/>
                <w:szCs w:val="24"/>
              </w:rPr>
              <w:t>20 (41.67%)</w:t>
            </w:r>
          </w:p>
        </w:tc>
        <w:tc>
          <w:tcPr>
            <w:tcW w:w="851" w:type="dxa"/>
            <w:vMerge w:val="restart"/>
            <w:noWrap/>
            <w:hideMark/>
          </w:tcPr>
          <w:p w14:paraId="077E791C" w14:textId="77777777" w:rsidR="008D2F2C" w:rsidRPr="008D2F2C" w:rsidRDefault="008D2F2C" w:rsidP="008D2F2C">
            <w:pPr>
              <w:jc w:val="both"/>
              <w:rPr>
                <w:rFonts w:cs="Times New Roman"/>
                <w:sz w:val="24"/>
                <w:szCs w:val="24"/>
                <w:lang w:val="ru-RU"/>
              </w:rPr>
            </w:pPr>
            <w:r w:rsidRPr="008D2F2C">
              <w:rPr>
                <w:rFonts w:cs="Times New Roman"/>
                <w:sz w:val="24"/>
                <w:szCs w:val="24"/>
              </w:rPr>
              <w:t>0.</w:t>
            </w:r>
            <w:r w:rsidRPr="008D2F2C">
              <w:rPr>
                <w:rFonts w:cs="Times New Roman"/>
                <w:sz w:val="24"/>
                <w:szCs w:val="24"/>
                <w:lang w:val="ru-RU"/>
              </w:rPr>
              <w:t>3</w:t>
            </w:r>
          </w:p>
        </w:tc>
        <w:tc>
          <w:tcPr>
            <w:tcW w:w="1485" w:type="dxa"/>
            <w:vMerge w:val="restart"/>
            <w:noWrap/>
          </w:tcPr>
          <w:p w14:paraId="19F8EDFB" w14:textId="77777777" w:rsidR="008D2F2C" w:rsidRPr="008D2F2C" w:rsidRDefault="008D2F2C" w:rsidP="008D2F2C">
            <w:pPr>
              <w:jc w:val="both"/>
              <w:rPr>
                <w:rFonts w:cs="Times New Roman"/>
                <w:sz w:val="24"/>
                <w:szCs w:val="24"/>
                <w:lang w:val="ru-RU"/>
              </w:rPr>
            </w:pPr>
            <w:r w:rsidRPr="008D2F2C">
              <w:rPr>
                <w:rFonts w:cs="Times New Roman"/>
                <w:sz w:val="24"/>
                <w:szCs w:val="24"/>
              </w:rPr>
              <w:t xml:space="preserve">0.7 </w:t>
            </w:r>
            <w:r w:rsidRPr="008D2F2C">
              <w:rPr>
                <w:rFonts w:cs="Times New Roman"/>
                <w:sz w:val="24"/>
                <w:szCs w:val="24"/>
                <w:lang w:val="ru-RU"/>
              </w:rPr>
              <w:t>(0.</w:t>
            </w:r>
            <w:r w:rsidRPr="008D2F2C">
              <w:rPr>
                <w:rFonts w:cs="Times New Roman"/>
                <w:sz w:val="24"/>
                <w:szCs w:val="24"/>
              </w:rPr>
              <w:t>3</w:t>
            </w:r>
            <w:r w:rsidRPr="008D2F2C">
              <w:rPr>
                <w:rFonts w:cs="Times New Roman"/>
                <w:sz w:val="24"/>
                <w:szCs w:val="24"/>
                <w:lang w:val="ru-RU"/>
              </w:rPr>
              <w:t>;</w:t>
            </w:r>
            <w:r w:rsidRPr="008D2F2C">
              <w:rPr>
                <w:rFonts w:cs="Times New Roman"/>
                <w:sz w:val="24"/>
                <w:szCs w:val="24"/>
              </w:rPr>
              <w:t xml:space="preserve"> 1.5</w:t>
            </w:r>
            <w:r w:rsidRPr="008D2F2C">
              <w:rPr>
                <w:rFonts w:cs="Times New Roman"/>
                <w:sz w:val="24"/>
                <w:szCs w:val="24"/>
                <w:lang w:val="ru-RU"/>
              </w:rPr>
              <w:t>)</w:t>
            </w:r>
          </w:p>
        </w:tc>
      </w:tr>
      <w:tr w:rsidR="008D2F2C" w:rsidRPr="008D2F2C" w14:paraId="366508F0" w14:textId="77777777" w:rsidTr="008D2F2C">
        <w:trPr>
          <w:trHeight w:val="284"/>
        </w:trPr>
        <w:tc>
          <w:tcPr>
            <w:tcW w:w="1492" w:type="dxa"/>
            <w:vMerge/>
            <w:noWrap/>
            <w:hideMark/>
          </w:tcPr>
          <w:p w14:paraId="76757EFF" w14:textId="77777777" w:rsidR="008D2F2C" w:rsidRPr="008D2F2C" w:rsidRDefault="008D2F2C" w:rsidP="008D2F2C">
            <w:pPr>
              <w:jc w:val="both"/>
              <w:rPr>
                <w:rFonts w:cs="Times New Roman"/>
                <w:sz w:val="24"/>
                <w:szCs w:val="24"/>
              </w:rPr>
            </w:pPr>
          </w:p>
        </w:tc>
        <w:tc>
          <w:tcPr>
            <w:tcW w:w="992" w:type="dxa"/>
            <w:noWrap/>
            <w:hideMark/>
          </w:tcPr>
          <w:p w14:paraId="1496053C" w14:textId="77777777" w:rsidR="008D2F2C" w:rsidRPr="008D2F2C" w:rsidRDefault="008D2F2C" w:rsidP="008D2F2C">
            <w:pPr>
              <w:jc w:val="both"/>
              <w:rPr>
                <w:rFonts w:cs="Times New Roman"/>
                <w:sz w:val="24"/>
                <w:szCs w:val="24"/>
              </w:rPr>
            </w:pPr>
            <w:r w:rsidRPr="008D2F2C">
              <w:rPr>
                <w:rFonts w:cs="Times New Roman"/>
                <w:sz w:val="24"/>
                <w:szCs w:val="24"/>
              </w:rPr>
              <w:t>TT</w:t>
            </w:r>
          </w:p>
        </w:tc>
        <w:tc>
          <w:tcPr>
            <w:tcW w:w="2410" w:type="dxa"/>
            <w:noWrap/>
            <w:hideMark/>
          </w:tcPr>
          <w:p w14:paraId="5A53875E" w14:textId="77777777" w:rsidR="008D2F2C" w:rsidRPr="008D2F2C" w:rsidRDefault="008D2F2C" w:rsidP="008D2F2C">
            <w:pPr>
              <w:jc w:val="both"/>
              <w:rPr>
                <w:rFonts w:cs="Times New Roman"/>
                <w:sz w:val="24"/>
                <w:szCs w:val="24"/>
              </w:rPr>
            </w:pPr>
            <w:r w:rsidRPr="008D2F2C">
              <w:rPr>
                <w:rFonts w:cs="Times New Roman"/>
                <w:sz w:val="24"/>
                <w:szCs w:val="24"/>
              </w:rPr>
              <w:t>41 (48.81%)</w:t>
            </w:r>
          </w:p>
        </w:tc>
        <w:tc>
          <w:tcPr>
            <w:tcW w:w="2409" w:type="dxa"/>
            <w:noWrap/>
            <w:hideMark/>
          </w:tcPr>
          <w:p w14:paraId="517D004E" w14:textId="77777777" w:rsidR="008D2F2C" w:rsidRPr="008D2F2C" w:rsidRDefault="008D2F2C" w:rsidP="008D2F2C">
            <w:pPr>
              <w:jc w:val="both"/>
              <w:rPr>
                <w:rFonts w:cs="Times New Roman"/>
                <w:sz w:val="24"/>
                <w:szCs w:val="24"/>
              </w:rPr>
            </w:pPr>
            <w:r w:rsidRPr="008D2F2C">
              <w:rPr>
                <w:rFonts w:cs="Times New Roman"/>
                <w:sz w:val="24"/>
                <w:szCs w:val="24"/>
              </w:rPr>
              <w:t>28 (58.33%)</w:t>
            </w:r>
          </w:p>
        </w:tc>
        <w:tc>
          <w:tcPr>
            <w:tcW w:w="851" w:type="dxa"/>
            <w:vMerge/>
            <w:noWrap/>
            <w:hideMark/>
          </w:tcPr>
          <w:p w14:paraId="4381A466" w14:textId="77777777" w:rsidR="008D2F2C" w:rsidRPr="008D2F2C" w:rsidRDefault="008D2F2C" w:rsidP="008D2F2C">
            <w:pPr>
              <w:jc w:val="both"/>
              <w:rPr>
                <w:rFonts w:cs="Times New Roman"/>
                <w:sz w:val="24"/>
                <w:szCs w:val="24"/>
                <w:lang w:val="ru-RU"/>
              </w:rPr>
            </w:pPr>
          </w:p>
        </w:tc>
        <w:tc>
          <w:tcPr>
            <w:tcW w:w="1485" w:type="dxa"/>
            <w:vMerge/>
            <w:noWrap/>
            <w:hideMark/>
          </w:tcPr>
          <w:p w14:paraId="5F8CC4C1" w14:textId="77777777" w:rsidR="008D2F2C" w:rsidRPr="008D2F2C" w:rsidRDefault="008D2F2C" w:rsidP="008D2F2C">
            <w:pPr>
              <w:jc w:val="both"/>
              <w:rPr>
                <w:rFonts w:cs="Times New Roman"/>
                <w:sz w:val="24"/>
                <w:szCs w:val="24"/>
              </w:rPr>
            </w:pPr>
          </w:p>
        </w:tc>
      </w:tr>
      <w:tr w:rsidR="008D2F2C" w:rsidRPr="008D2F2C" w14:paraId="2B9A130B" w14:textId="77777777" w:rsidTr="008D2F2C">
        <w:trPr>
          <w:trHeight w:val="284"/>
        </w:trPr>
        <w:tc>
          <w:tcPr>
            <w:tcW w:w="1492" w:type="dxa"/>
            <w:vMerge w:val="restart"/>
            <w:noWrap/>
          </w:tcPr>
          <w:p w14:paraId="5D14BD72" w14:textId="5073BE0A" w:rsidR="008D2F2C" w:rsidRPr="008D2F2C" w:rsidRDefault="008D2F2C" w:rsidP="008D2F2C">
            <w:pPr>
              <w:jc w:val="both"/>
              <w:rPr>
                <w:rFonts w:cs="Times New Roman"/>
                <w:sz w:val="24"/>
                <w:szCs w:val="24"/>
              </w:rPr>
            </w:pPr>
            <w:r w:rsidRPr="008D2F2C">
              <w:rPr>
                <w:rFonts w:cs="Times New Roman"/>
                <w:sz w:val="24"/>
                <w:szCs w:val="24"/>
                <w:lang w:val="kk-KZ"/>
              </w:rPr>
              <w:t>А</w:t>
            </w:r>
            <w:r w:rsidRPr="008D2F2C">
              <w:rPr>
                <w:rFonts w:cs="Times New Roman"/>
                <w:sz w:val="24"/>
                <w:szCs w:val="24"/>
              </w:rPr>
              <w:t>ллель</w:t>
            </w:r>
          </w:p>
        </w:tc>
        <w:tc>
          <w:tcPr>
            <w:tcW w:w="992" w:type="dxa"/>
            <w:noWrap/>
          </w:tcPr>
          <w:p w14:paraId="7FB4AB95" w14:textId="77777777" w:rsidR="008D2F2C" w:rsidRPr="008D2F2C" w:rsidRDefault="008D2F2C" w:rsidP="008D2F2C">
            <w:pPr>
              <w:jc w:val="both"/>
              <w:rPr>
                <w:rFonts w:cs="Times New Roman"/>
                <w:sz w:val="24"/>
                <w:szCs w:val="24"/>
              </w:rPr>
            </w:pPr>
            <w:r w:rsidRPr="008D2F2C">
              <w:rPr>
                <w:rFonts w:cs="Times New Roman"/>
                <w:sz w:val="24"/>
                <w:szCs w:val="24"/>
                <w:lang w:val="ru-RU"/>
              </w:rPr>
              <w:t>С</w:t>
            </w:r>
          </w:p>
        </w:tc>
        <w:tc>
          <w:tcPr>
            <w:tcW w:w="2410" w:type="dxa"/>
            <w:noWrap/>
          </w:tcPr>
          <w:p w14:paraId="512765EB" w14:textId="77777777" w:rsidR="008D2F2C" w:rsidRPr="008D2F2C" w:rsidRDefault="008D2F2C" w:rsidP="008D2F2C">
            <w:pPr>
              <w:jc w:val="both"/>
              <w:rPr>
                <w:rFonts w:cs="Times New Roman"/>
                <w:sz w:val="24"/>
                <w:szCs w:val="24"/>
              </w:rPr>
            </w:pPr>
            <w:r w:rsidRPr="008D2F2C">
              <w:rPr>
                <w:rFonts w:cs="Times New Roman"/>
                <w:sz w:val="24"/>
                <w:szCs w:val="24"/>
              </w:rPr>
              <w:t>86 (51.19%)</w:t>
            </w:r>
          </w:p>
        </w:tc>
        <w:tc>
          <w:tcPr>
            <w:tcW w:w="2409" w:type="dxa"/>
            <w:noWrap/>
          </w:tcPr>
          <w:p w14:paraId="6F7DCCB3" w14:textId="77777777" w:rsidR="008D2F2C" w:rsidRPr="008D2F2C" w:rsidRDefault="008D2F2C" w:rsidP="008D2F2C">
            <w:pPr>
              <w:jc w:val="both"/>
              <w:rPr>
                <w:rFonts w:cs="Times New Roman"/>
                <w:sz w:val="24"/>
                <w:szCs w:val="24"/>
              </w:rPr>
            </w:pPr>
            <w:r w:rsidRPr="008D2F2C">
              <w:rPr>
                <w:rFonts w:cs="Times New Roman"/>
                <w:sz w:val="24"/>
                <w:szCs w:val="24"/>
              </w:rPr>
              <w:t>40 (41.67%)</w:t>
            </w:r>
          </w:p>
        </w:tc>
        <w:tc>
          <w:tcPr>
            <w:tcW w:w="851" w:type="dxa"/>
            <w:vMerge w:val="restart"/>
            <w:noWrap/>
          </w:tcPr>
          <w:p w14:paraId="4822D12F" w14:textId="77777777" w:rsidR="008D2F2C" w:rsidRPr="008D2F2C" w:rsidRDefault="008D2F2C" w:rsidP="008D2F2C">
            <w:pPr>
              <w:jc w:val="both"/>
              <w:rPr>
                <w:rFonts w:cs="Times New Roman"/>
                <w:sz w:val="24"/>
                <w:szCs w:val="24"/>
                <w:lang w:val="ru-RU"/>
              </w:rPr>
            </w:pPr>
            <w:r w:rsidRPr="008D2F2C">
              <w:rPr>
                <w:rFonts w:cs="Times New Roman"/>
                <w:sz w:val="24"/>
                <w:szCs w:val="24"/>
              </w:rPr>
              <w:t>0.1</w:t>
            </w:r>
          </w:p>
        </w:tc>
        <w:tc>
          <w:tcPr>
            <w:tcW w:w="1485" w:type="dxa"/>
            <w:vMerge w:val="restart"/>
            <w:noWrap/>
          </w:tcPr>
          <w:p w14:paraId="7ABFCFF6" w14:textId="77777777" w:rsidR="008D2F2C" w:rsidRPr="008D2F2C" w:rsidRDefault="008D2F2C" w:rsidP="008D2F2C">
            <w:pPr>
              <w:jc w:val="both"/>
              <w:rPr>
                <w:rFonts w:cs="Times New Roman"/>
                <w:sz w:val="24"/>
                <w:szCs w:val="24"/>
                <w:lang w:val="ru-RU"/>
              </w:rPr>
            </w:pPr>
            <w:r w:rsidRPr="008D2F2C">
              <w:rPr>
                <w:rFonts w:cs="Times New Roman"/>
                <w:sz w:val="24"/>
                <w:szCs w:val="24"/>
                <w:lang w:val="ru-RU"/>
              </w:rPr>
              <w:t>1.5</w:t>
            </w:r>
            <w:r w:rsidRPr="008D2F2C">
              <w:rPr>
                <w:rFonts w:cs="Times New Roman"/>
                <w:sz w:val="24"/>
                <w:szCs w:val="24"/>
              </w:rPr>
              <w:t xml:space="preserve"> </w:t>
            </w:r>
            <w:r w:rsidRPr="008D2F2C">
              <w:rPr>
                <w:rFonts w:cs="Times New Roman"/>
                <w:sz w:val="24"/>
                <w:szCs w:val="24"/>
                <w:lang w:val="ru-RU"/>
              </w:rPr>
              <w:t>(0.8;</w:t>
            </w:r>
            <w:r w:rsidRPr="008D2F2C">
              <w:rPr>
                <w:rFonts w:cs="Times New Roman"/>
                <w:sz w:val="24"/>
                <w:szCs w:val="24"/>
              </w:rPr>
              <w:t xml:space="preserve"> </w:t>
            </w:r>
            <w:r w:rsidRPr="008D2F2C">
              <w:rPr>
                <w:rFonts w:cs="Times New Roman"/>
                <w:sz w:val="24"/>
                <w:szCs w:val="24"/>
                <w:lang w:val="ru-RU"/>
              </w:rPr>
              <w:t>2.4)</w:t>
            </w:r>
          </w:p>
        </w:tc>
      </w:tr>
      <w:tr w:rsidR="008D2F2C" w:rsidRPr="008D2F2C" w14:paraId="50B5E1D8" w14:textId="77777777" w:rsidTr="008D2F2C">
        <w:trPr>
          <w:trHeight w:val="284"/>
        </w:trPr>
        <w:tc>
          <w:tcPr>
            <w:tcW w:w="1492" w:type="dxa"/>
            <w:vMerge/>
            <w:noWrap/>
          </w:tcPr>
          <w:p w14:paraId="50D95E71" w14:textId="77777777" w:rsidR="008D2F2C" w:rsidRPr="008D2F2C" w:rsidRDefault="008D2F2C" w:rsidP="008D2F2C">
            <w:pPr>
              <w:jc w:val="both"/>
              <w:rPr>
                <w:rFonts w:cs="Times New Roman"/>
                <w:sz w:val="24"/>
                <w:szCs w:val="24"/>
              </w:rPr>
            </w:pPr>
          </w:p>
        </w:tc>
        <w:tc>
          <w:tcPr>
            <w:tcW w:w="992" w:type="dxa"/>
            <w:noWrap/>
          </w:tcPr>
          <w:p w14:paraId="3E08FFE6" w14:textId="77777777" w:rsidR="008D2F2C" w:rsidRPr="008D2F2C" w:rsidRDefault="008D2F2C" w:rsidP="008D2F2C">
            <w:pPr>
              <w:jc w:val="both"/>
              <w:rPr>
                <w:rFonts w:cs="Times New Roman"/>
                <w:sz w:val="24"/>
                <w:szCs w:val="24"/>
              </w:rPr>
            </w:pPr>
            <w:r w:rsidRPr="008D2F2C">
              <w:rPr>
                <w:rFonts w:cs="Times New Roman"/>
                <w:sz w:val="24"/>
                <w:szCs w:val="24"/>
                <w:lang w:val="ru-RU"/>
              </w:rPr>
              <w:t>Т</w:t>
            </w:r>
            <w:r w:rsidRPr="008D2F2C">
              <w:rPr>
                <w:rFonts w:cs="Times New Roman"/>
                <w:sz w:val="24"/>
                <w:szCs w:val="24"/>
                <w:vertAlign w:val="superscript"/>
              </w:rPr>
              <w:t>*</w:t>
            </w:r>
          </w:p>
        </w:tc>
        <w:tc>
          <w:tcPr>
            <w:tcW w:w="2410" w:type="dxa"/>
            <w:noWrap/>
          </w:tcPr>
          <w:p w14:paraId="7A4DF524" w14:textId="77777777" w:rsidR="008D2F2C" w:rsidRPr="008D2F2C" w:rsidRDefault="008D2F2C" w:rsidP="008D2F2C">
            <w:pPr>
              <w:jc w:val="both"/>
              <w:rPr>
                <w:rFonts w:cs="Times New Roman"/>
                <w:sz w:val="24"/>
                <w:szCs w:val="24"/>
              </w:rPr>
            </w:pPr>
            <w:r w:rsidRPr="008D2F2C">
              <w:rPr>
                <w:rFonts w:cs="Times New Roman"/>
                <w:sz w:val="24"/>
                <w:szCs w:val="24"/>
              </w:rPr>
              <w:t>82 (48.81%)</w:t>
            </w:r>
          </w:p>
        </w:tc>
        <w:tc>
          <w:tcPr>
            <w:tcW w:w="2409" w:type="dxa"/>
            <w:noWrap/>
          </w:tcPr>
          <w:p w14:paraId="1BC25713" w14:textId="77777777" w:rsidR="008D2F2C" w:rsidRPr="008D2F2C" w:rsidRDefault="008D2F2C" w:rsidP="008D2F2C">
            <w:pPr>
              <w:jc w:val="both"/>
              <w:rPr>
                <w:rFonts w:cs="Times New Roman"/>
                <w:sz w:val="24"/>
                <w:szCs w:val="24"/>
              </w:rPr>
            </w:pPr>
            <w:r w:rsidRPr="008D2F2C">
              <w:rPr>
                <w:rFonts w:cs="Times New Roman"/>
                <w:sz w:val="24"/>
                <w:szCs w:val="24"/>
              </w:rPr>
              <w:t>56 (58.33%)</w:t>
            </w:r>
          </w:p>
        </w:tc>
        <w:tc>
          <w:tcPr>
            <w:tcW w:w="851" w:type="dxa"/>
            <w:vMerge/>
            <w:noWrap/>
          </w:tcPr>
          <w:p w14:paraId="09932416" w14:textId="77777777" w:rsidR="008D2F2C" w:rsidRPr="008D2F2C" w:rsidRDefault="008D2F2C" w:rsidP="008D2F2C">
            <w:pPr>
              <w:jc w:val="both"/>
              <w:rPr>
                <w:rFonts w:cs="Times New Roman"/>
                <w:sz w:val="24"/>
                <w:szCs w:val="24"/>
              </w:rPr>
            </w:pPr>
          </w:p>
        </w:tc>
        <w:tc>
          <w:tcPr>
            <w:tcW w:w="1485" w:type="dxa"/>
            <w:vMerge/>
            <w:noWrap/>
          </w:tcPr>
          <w:p w14:paraId="6CDC0B99" w14:textId="77777777" w:rsidR="008D2F2C" w:rsidRPr="008D2F2C" w:rsidRDefault="008D2F2C" w:rsidP="008D2F2C">
            <w:pPr>
              <w:jc w:val="both"/>
              <w:rPr>
                <w:rFonts w:cs="Times New Roman"/>
                <w:sz w:val="24"/>
                <w:szCs w:val="24"/>
              </w:rPr>
            </w:pPr>
          </w:p>
        </w:tc>
      </w:tr>
      <w:tr w:rsidR="008D2F2C" w:rsidRPr="008D2F2C" w14:paraId="374D5786" w14:textId="77777777" w:rsidTr="008D2F2C">
        <w:trPr>
          <w:trHeight w:val="284"/>
        </w:trPr>
        <w:tc>
          <w:tcPr>
            <w:tcW w:w="9639" w:type="dxa"/>
            <w:gridSpan w:val="6"/>
            <w:noWrap/>
            <w:hideMark/>
          </w:tcPr>
          <w:p w14:paraId="6CA5FFA5" w14:textId="77777777" w:rsidR="008D2F2C" w:rsidRPr="008D2F2C" w:rsidRDefault="008D2F2C" w:rsidP="008D2F2C">
            <w:pPr>
              <w:jc w:val="both"/>
              <w:rPr>
                <w:rFonts w:cs="Times New Roman"/>
                <w:sz w:val="24"/>
                <w:szCs w:val="24"/>
              </w:rPr>
            </w:pPr>
            <w:r w:rsidRPr="008D2F2C">
              <w:rPr>
                <w:rFonts w:cs="Times New Roman"/>
                <w:sz w:val="24"/>
                <w:szCs w:val="24"/>
              </w:rPr>
              <w:t>rs7570267 / IL1F10</w:t>
            </w:r>
          </w:p>
        </w:tc>
      </w:tr>
      <w:tr w:rsidR="008D2F2C" w:rsidRPr="008D2F2C" w14:paraId="44EF9335" w14:textId="77777777" w:rsidTr="008D2F2C">
        <w:trPr>
          <w:trHeight w:val="284"/>
        </w:trPr>
        <w:tc>
          <w:tcPr>
            <w:tcW w:w="1492" w:type="dxa"/>
            <w:vMerge w:val="restart"/>
            <w:noWrap/>
          </w:tcPr>
          <w:p w14:paraId="2D238FD0" w14:textId="15615CFE" w:rsidR="008D2F2C" w:rsidRPr="008D2F2C" w:rsidRDefault="008D2F2C" w:rsidP="008D2F2C">
            <w:pPr>
              <w:jc w:val="both"/>
              <w:rPr>
                <w:rFonts w:cs="Times New Roman"/>
                <w:sz w:val="24"/>
                <w:szCs w:val="24"/>
              </w:rPr>
            </w:pPr>
            <w:r w:rsidRPr="008D2F2C">
              <w:rPr>
                <w:rFonts w:cs="Times New Roman"/>
                <w:sz w:val="24"/>
                <w:szCs w:val="24"/>
              </w:rPr>
              <w:t>Генотип</w:t>
            </w:r>
          </w:p>
        </w:tc>
        <w:tc>
          <w:tcPr>
            <w:tcW w:w="992" w:type="dxa"/>
            <w:noWrap/>
          </w:tcPr>
          <w:p w14:paraId="4850FA20" w14:textId="77777777" w:rsidR="008D2F2C" w:rsidRPr="008D2F2C" w:rsidRDefault="008D2F2C" w:rsidP="008D2F2C">
            <w:pPr>
              <w:jc w:val="both"/>
              <w:rPr>
                <w:rFonts w:cs="Times New Roman"/>
                <w:sz w:val="24"/>
                <w:szCs w:val="24"/>
              </w:rPr>
            </w:pPr>
            <w:r w:rsidRPr="008D2F2C">
              <w:rPr>
                <w:rFonts w:cs="Times New Roman"/>
                <w:sz w:val="24"/>
                <w:szCs w:val="24"/>
              </w:rPr>
              <w:t>AA</w:t>
            </w:r>
          </w:p>
        </w:tc>
        <w:tc>
          <w:tcPr>
            <w:tcW w:w="2410" w:type="dxa"/>
            <w:noWrap/>
          </w:tcPr>
          <w:p w14:paraId="6598761D" w14:textId="77777777" w:rsidR="008D2F2C" w:rsidRPr="008D2F2C" w:rsidRDefault="008D2F2C" w:rsidP="008D2F2C">
            <w:pPr>
              <w:jc w:val="both"/>
              <w:rPr>
                <w:rFonts w:cs="Times New Roman"/>
                <w:sz w:val="24"/>
                <w:szCs w:val="24"/>
              </w:rPr>
            </w:pPr>
            <w:r w:rsidRPr="008D2F2C">
              <w:rPr>
                <w:rFonts w:cs="Times New Roman"/>
                <w:sz w:val="24"/>
                <w:szCs w:val="24"/>
              </w:rPr>
              <w:t>36 (42.86%)</w:t>
            </w:r>
          </w:p>
        </w:tc>
        <w:tc>
          <w:tcPr>
            <w:tcW w:w="2409" w:type="dxa"/>
            <w:noWrap/>
          </w:tcPr>
          <w:p w14:paraId="24F8243B" w14:textId="77777777" w:rsidR="008D2F2C" w:rsidRPr="008D2F2C" w:rsidRDefault="008D2F2C" w:rsidP="008D2F2C">
            <w:pPr>
              <w:jc w:val="both"/>
              <w:rPr>
                <w:rFonts w:cs="Times New Roman"/>
                <w:sz w:val="24"/>
                <w:szCs w:val="24"/>
              </w:rPr>
            </w:pPr>
            <w:r w:rsidRPr="008D2F2C">
              <w:rPr>
                <w:rFonts w:cs="Times New Roman"/>
                <w:sz w:val="24"/>
                <w:szCs w:val="24"/>
              </w:rPr>
              <w:t>14 (29.17%)</w:t>
            </w:r>
          </w:p>
        </w:tc>
        <w:tc>
          <w:tcPr>
            <w:tcW w:w="851" w:type="dxa"/>
            <w:vMerge w:val="restart"/>
            <w:noWrap/>
          </w:tcPr>
          <w:p w14:paraId="5E92C246" w14:textId="77777777" w:rsidR="008D2F2C" w:rsidRPr="008D2F2C" w:rsidRDefault="008D2F2C" w:rsidP="008D2F2C">
            <w:pPr>
              <w:jc w:val="both"/>
              <w:rPr>
                <w:rFonts w:cs="Times New Roman"/>
                <w:sz w:val="24"/>
                <w:szCs w:val="24"/>
              </w:rPr>
            </w:pPr>
            <w:r w:rsidRPr="008D2F2C">
              <w:rPr>
                <w:rFonts w:cs="Times New Roman"/>
                <w:sz w:val="24"/>
                <w:szCs w:val="24"/>
              </w:rPr>
              <w:t>0.002</w:t>
            </w:r>
          </w:p>
        </w:tc>
        <w:tc>
          <w:tcPr>
            <w:tcW w:w="1485" w:type="dxa"/>
            <w:vMerge w:val="restart"/>
            <w:noWrap/>
          </w:tcPr>
          <w:p w14:paraId="3F33E546" w14:textId="77777777" w:rsidR="008D2F2C" w:rsidRPr="008D2F2C" w:rsidRDefault="008D2F2C" w:rsidP="008D2F2C">
            <w:pPr>
              <w:jc w:val="both"/>
              <w:rPr>
                <w:rFonts w:cs="Times New Roman"/>
                <w:sz w:val="24"/>
                <w:szCs w:val="24"/>
              </w:rPr>
            </w:pPr>
            <w:r w:rsidRPr="008D2F2C">
              <w:rPr>
                <w:rFonts w:cs="Times New Roman"/>
                <w:sz w:val="24"/>
                <w:szCs w:val="24"/>
              </w:rPr>
              <w:t>0.47 (0.2; 0.8)</w:t>
            </w:r>
          </w:p>
        </w:tc>
      </w:tr>
      <w:tr w:rsidR="008D2F2C" w:rsidRPr="008D2F2C" w14:paraId="6B1444D6" w14:textId="77777777" w:rsidTr="008D2F2C">
        <w:trPr>
          <w:trHeight w:val="284"/>
        </w:trPr>
        <w:tc>
          <w:tcPr>
            <w:tcW w:w="1492" w:type="dxa"/>
            <w:vMerge/>
            <w:noWrap/>
          </w:tcPr>
          <w:p w14:paraId="35EF3DDC" w14:textId="77777777" w:rsidR="008D2F2C" w:rsidRPr="008D2F2C" w:rsidRDefault="008D2F2C" w:rsidP="008D2F2C">
            <w:pPr>
              <w:jc w:val="both"/>
              <w:rPr>
                <w:rFonts w:cs="Times New Roman"/>
                <w:sz w:val="24"/>
                <w:szCs w:val="24"/>
              </w:rPr>
            </w:pPr>
          </w:p>
        </w:tc>
        <w:tc>
          <w:tcPr>
            <w:tcW w:w="992" w:type="dxa"/>
            <w:noWrap/>
          </w:tcPr>
          <w:p w14:paraId="3624E016" w14:textId="77777777" w:rsidR="008D2F2C" w:rsidRPr="008D2F2C" w:rsidRDefault="008D2F2C" w:rsidP="008D2F2C">
            <w:pPr>
              <w:jc w:val="both"/>
              <w:rPr>
                <w:rFonts w:cs="Times New Roman"/>
                <w:sz w:val="24"/>
                <w:szCs w:val="24"/>
              </w:rPr>
            </w:pPr>
            <w:r w:rsidRPr="008D2F2C">
              <w:rPr>
                <w:rFonts w:cs="Times New Roman"/>
                <w:sz w:val="24"/>
                <w:szCs w:val="24"/>
              </w:rPr>
              <w:t>AG</w:t>
            </w:r>
          </w:p>
        </w:tc>
        <w:tc>
          <w:tcPr>
            <w:tcW w:w="2410" w:type="dxa"/>
            <w:noWrap/>
          </w:tcPr>
          <w:p w14:paraId="3FB58A8D" w14:textId="77777777" w:rsidR="008D2F2C" w:rsidRPr="008D2F2C" w:rsidRDefault="008D2F2C" w:rsidP="008D2F2C">
            <w:pPr>
              <w:jc w:val="both"/>
              <w:rPr>
                <w:rFonts w:cs="Times New Roman"/>
                <w:sz w:val="24"/>
                <w:szCs w:val="24"/>
              </w:rPr>
            </w:pPr>
            <w:r w:rsidRPr="008D2F2C">
              <w:rPr>
                <w:rFonts w:cs="Times New Roman"/>
                <w:sz w:val="24"/>
                <w:szCs w:val="24"/>
              </w:rPr>
              <w:t>12 (14.29%)</w:t>
            </w:r>
          </w:p>
        </w:tc>
        <w:tc>
          <w:tcPr>
            <w:tcW w:w="2409" w:type="dxa"/>
            <w:noWrap/>
          </w:tcPr>
          <w:p w14:paraId="329125E8" w14:textId="77777777" w:rsidR="008D2F2C" w:rsidRPr="008D2F2C" w:rsidRDefault="008D2F2C" w:rsidP="008D2F2C">
            <w:pPr>
              <w:jc w:val="both"/>
              <w:rPr>
                <w:rFonts w:cs="Times New Roman"/>
                <w:sz w:val="24"/>
                <w:szCs w:val="24"/>
              </w:rPr>
            </w:pPr>
            <w:r w:rsidRPr="008D2F2C">
              <w:rPr>
                <w:rFonts w:cs="Times New Roman"/>
                <w:sz w:val="24"/>
                <w:szCs w:val="24"/>
              </w:rPr>
              <w:t>22 (45.83%)</w:t>
            </w:r>
          </w:p>
        </w:tc>
        <w:tc>
          <w:tcPr>
            <w:tcW w:w="851" w:type="dxa"/>
            <w:vMerge/>
            <w:noWrap/>
          </w:tcPr>
          <w:p w14:paraId="0567F13A" w14:textId="77777777" w:rsidR="008D2F2C" w:rsidRPr="008D2F2C" w:rsidRDefault="008D2F2C" w:rsidP="008D2F2C">
            <w:pPr>
              <w:jc w:val="both"/>
              <w:rPr>
                <w:rFonts w:cs="Times New Roman"/>
                <w:sz w:val="24"/>
                <w:szCs w:val="24"/>
              </w:rPr>
            </w:pPr>
          </w:p>
        </w:tc>
        <w:tc>
          <w:tcPr>
            <w:tcW w:w="1485" w:type="dxa"/>
            <w:vMerge/>
            <w:noWrap/>
          </w:tcPr>
          <w:p w14:paraId="7F9DFD88" w14:textId="77777777" w:rsidR="008D2F2C" w:rsidRPr="008D2F2C" w:rsidRDefault="008D2F2C" w:rsidP="008D2F2C">
            <w:pPr>
              <w:jc w:val="both"/>
              <w:rPr>
                <w:rFonts w:cs="Times New Roman"/>
                <w:sz w:val="24"/>
                <w:szCs w:val="24"/>
              </w:rPr>
            </w:pPr>
          </w:p>
        </w:tc>
      </w:tr>
      <w:tr w:rsidR="008D2F2C" w:rsidRPr="008D2F2C" w14:paraId="644FB01A" w14:textId="77777777" w:rsidTr="008D2F2C">
        <w:trPr>
          <w:trHeight w:val="284"/>
        </w:trPr>
        <w:tc>
          <w:tcPr>
            <w:tcW w:w="1492" w:type="dxa"/>
            <w:vMerge/>
            <w:noWrap/>
          </w:tcPr>
          <w:p w14:paraId="03A1BE4E" w14:textId="77777777" w:rsidR="008D2F2C" w:rsidRPr="008D2F2C" w:rsidRDefault="008D2F2C" w:rsidP="008D2F2C">
            <w:pPr>
              <w:jc w:val="both"/>
              <w:rPr>
                <w:rFonts w:cs="Times New Roman"/>
                <w:sz w:val="24"/>
                <w:szCs w:val="24"/>
              </w:rPr>
            </w:pPr>
          </w:p>
        </w:tc>
        <w:tc>
          <w:tcPr>
            <w:tcW w:w="992" w:type="dxa"/>
            <w:noWrap/>
          </w:tcPr>
          <w:p w14:paraId="6F0E73D9" w14:textId="77777777" w:rsidR="008D2F2C" w:rsidRPr="008D2F2C" w:rsidRDefault="008D2F2C" w:rsidP="008D2F2C">
            <w:pPr>
              <w:jc w:val="both"/>
              <w:rPr>
                <w:rFonts w:cs="Times New Roman"/>
                <w:sz w:val="24"/>
                <w:szCs w:val="24"/>
              </w:rPr>
            </w:pPr>
            <w:r w:rsidRPr="008D2F2C">
              <w:rPr>
                <w:rFonts w:cs="Times New Roman"/>
                <w:sz w:val="24"/>
                <w:szCs w:val="24"/>
              </w:rPr>
              <w:t>GG</w:t>
            </w:r>
          </w:p>
        </w:tc>
        <w:tc>
          <w:tcPr>
            <w:tcW w:w="2410" w:type="dxa"/>
            <w:noWrap/>
          </w:tcPr>
          <w:p w14:paraId="187F50E8" w14:textId="77777777" w:rsidR="008D2F2C" w:rsidRPr="008D2F2C" w:rsidRDefault="008D2F2C" w:rsidP="008D2F2C">
            <w:pPr>
              <w:jc w:val="both"/>
              <w:rPr>
                <w:rFonts w:cs="Times New Roman"/>
                <w:sz w:val="24"/>
                <w:szCs w:val="24"/>
              </w:rPr>
            </w:pPr>
            <w:r w:rsidRPr="008D2F2C">
              <w:rPr>
                <w:rFonts w:cs="Times New Roman"/>
                <w:sz w:val="24"/>
                <w:szCs w:val="24"/>
              </w:rPr>
              <w:t>36 (42.86%)</w:t>
            </w:r>
          </w:p>
        </w:tc>
        <w:tc>
          <w:tcPr>
            <w:tcW w:w="2409" w:type="dxa"/>
            <w:noWrap/>
          </w:tcPr>
          <w:p w14:paraId="674F9E88" w14:textId="77777777" w:rsidR="008D2F2C" w:rsidRPr="008D2F2C" w:rsidRDefault="008D2F2C" w:rsidP="008D2F2C">
            <w:pPr>
              <w:jc w:val="both"/>
              <w:rPr>
                <w:rFonts w:cs="Times New Roman"/>
                <w:sz w:val="24"/>
                <w:szCs w:val="24"/>
              </w:rPr>
            </w:pPr>
            <w:r w:rsidRPr="008D2F2C">
              <w:rPr>
                <w:rFonts w:cs="Times New Roman"/>
                <w:sz w:val="24"/>
                <w:szCs w:val="24"/>
              </w:rPr>
              <w:t>12 (25%)</w:t>
            </w:r>
          </w:p>
        </w:tc>
        <w:tc>
          <w:tcPr>
            <w:tcW w:w="851" w:type="dxa"/>
            <w:vMerge/>
            <w:noWrap/>
          </w:tcPr>
          <w:p w14:paraId="7481C7D5" w14:textId="77777777" w:rsidR="008D2F2C" w:rsidRPr="008D2F2C" w:rsidRDefault="008D2F2C" w:rsidP="008D2F2C">
            <w:pPr>
              <w:jc w:val="both"/>
              <w:rPr>
                <w:rFonts w:cs="Times New Roman"/>
                <w:sz w:val="24"/>
                <w:szCs w:val="24"/>
              </w:rPr>
            </w:pPr>
          </w:p>
        </w:tc>
        <w:tc>
          <w:tcPr>
            <w:tcW w:w="1485" w:type="dxa"/>
            <w:vMerge/>
            <w:noWrap/>
          </w:tcPr>
          <w:p w14:paraId="31DC1CF5" w14:textId="77777777" w:rsidR="008D2F2C" w:rsidRPr="008D2F2C" w:rsidRDefault="008D2F2C" w:rsidP="008D2F2C">
            <w:pPr>
              <w:jc w:val="both"/>
              <w:rPr>
                <w:rFonts w:cs="Times New Roman"/>
                <w:sz w:val="24"/>
                <w:szCs w:val="24"/>
              </w:rPr>
            </w:pPr>
          </w:p>
        </w:tc>
      </w:tr>
      <w:tr w:rsidR="008D2F2C" w:rsidRPr="008D2F2C" w14:paraId="5B587E32" w14:textId="77777777" w:rsidTr="008D2F2C">
        <w:trPr>
          <w:trHeight w:val="284"/>
        </w:trPr>
        <w:tc>
          <w:tcPr>
            <w:tcW w:w="1492" w:type="dxa"/>
            <w:vMerge w:val="restart"/>
            <w:noWrap/>
            <w:hideMark/>
          </w:tcPr>
          <w:p w14:paraId="6023D220" w14:textId="1969AFFA" w:rsidR="008D2F2C" w:rsidRPr="008D2F2C" w:rsidRDefault="008D2F2C" w:rsidP="008D2F2C">
            <w:pPr>
              <w:jc w:val="both"/>
              <w:rPr>
                <w:rFonts w:cs="Times New Roman"/>
                <w:sz w:val="24"/>
                <w:szCs w:val="24"/>
              </w:rPr>
            </w:pPr>
            <w:r w:rsidRPr="008D2F2C">
              <w:rPr>
                <w:rFonts w:cs="Times New Roman"/>
                <w:sz w:val="24"/>
                <w:szCs w:val="24"/>
              </w:rPr>
              <w:t>Рецессивная модель</w:t>
            </w:r>
          </w:p>
        </w:tc>
        <w:tc>
          <w:tcPr>
            <w:tcW w:w="992" w:type="dxa"/>
            <w:noWrap/>
            <w:hideMark/>
          </w:tcPr>
          <w:p w14:paraId="5940F90E" w14:textId="77777777" w:rsidR="008D2F2C" w:rsidRPr="008D2F2C" w:rsidRDefault="008D2F2C" w:rsidP="008D2F2C">
            <w:pPr>
              <w:jc w:val="both"/>
              <w:rPr>
                <w:rFonts w:cs="Times New Roman"/>
                <w:sz w:val="24"/>
                <w:szCs w:val="24"/>
              </w:rPr>
            </w:pPr>
            <w:r w:rsidRPr="008D2F2C">
              <w:rPr>
                <w:rFonts w:cs="Times New Roman"/>
                <w:sz w:val="24"/>
                <w:szCs w:val="24"/>
              </w:rPr>
              <w:t>AA</w:t>
            </w:r>
          </w:p>
        </w:tc>
        <w:tc>
          <w:tcPr>
            <w:tcW w:w="2410" w:type="dxa"/>
            <w:noWrap/>
            <w:hideMark/>
          </w:tcPr>
          <w:p w14:paraId="2C9F695A" w14:textId="77777777" w:rsidR="008D2F2C" w:rsidRPr="008D2F2C" w:rsidRDefault="008D2F2C" w:rsidP="008D2F2C">
            <w:pPr>
              <w:jc w:val="both"/>
              <w:rPr>
                <w:rFonts w:cs="Times New Roman"/>
                <w:sz w:val="24"/>
                <w:szCs w:val="24"/>
              </w:rPr>
            </w:pPr>
            <w:r w:rsidRPr="008D2F2C">
              <w:rPr>
                <w:rFonts w:cs="Times New Roman"/>
                <w:sz w:val="24"/>
                <w:szCs w:val="24"/>
              </w:rPr>
              <w:t>36 (42.86%)</w:t>
            </w:r>
          </w:p>
        </w:tc>
        <w:tc>
          <w:tcPr>
            <w:tcW w:w="2409" w:type="dxa"/>
            <w:noWrap/>
            <w:hideMark/>
          </w:tcPr>
          <w:p w14:paraId="7A995E4F" w14:textId="77777777" w:rsidR="008D2F2C" w:rsidRPr="008D2F2C" w:rsidRDefault="008D2F2C" w:rsidP="008D2F2C">
            <w:pPr>
              <w:jc w:val="both"/>
              <w:rPr>
                <w:rFonts w:cs="Times New Roman"/>
                <w:sz w:val="24"/>
                <w:szCs w:val="24"/>
              </w:rPr>
            </w:pPr>
            <w:r w:rsidRPr="008D2F2C">
              <w:rPr>
                <w:rFonts w:cs="Times New Roman"/>
                <w:sz w:val="24"/>
                <w:szCs w:val="24"/>
              </w:rPr>
              <w:t>14 (29.17%)</w:t>
            </w:r>
          </w:p>
        </w:tc>
        <w:tc>
          <w:tcPr>
            <w:tcW w:w="851" w:type="dxa"/>
            <w:vMerge w:val="restart"/>
            <w:noWrap/>
          </w:tcPr>
          <w:p w14:paraId="68C3FAE0" w14:textId="77777777" w:rsidR="008D2F2C" w:rsidRPr="008D2F2C" w:rsidRDefault="008D2F2C" w:rsidP="008D2F2C">
            <w:pPr>
              <w:jc w:val="both"/>
              <w:rPr>
                <w:rFonts w:cs="Times New Roman"/>
                <w:sz w:val="24"/>
                <w:szCs w:val="24"/>
              </w:rPr>
            </w:pPr>
            <w:r w:rsidRPr="008D2F2C">
              <w:rPr>
                <w:rFonts w:cs="Times New Roman"/>
                <w:sz w:val="24"/>
                <w:szCs w:val="24"/>
              </w:rPr>
              <w:t>0.1</w:t>
            </w:r>
          </w:p>
        </w:tc>
        <w:tc>
          <w:tcPr>
            <w:tcW w:w="1485" w:type="dxa"/>
            <w:vMerge w:val="restart"/>
            <w:noWrap/>
            <w:hideMark/>
          </w:tcPr>
          <w:p w14:paraId="417C5F15" w14:textId="77777777" w:rsidR="008D2F2C" w:rsidRPr="008D2F2C" w:rsidRDefault="008D2F2C" w:rsidP="008D2F2C">
            <w:pPr>
              <w:rPr>
                <w:rFonts w:cs="Times New Roman"/>
                <w:sz w:val="24"/>
                <w:szCs w:val="24"/>
              </w:rPr>
            </w:pPr>
            <w:r w:rsidRPr="008D2F2C">
              <w:rPr>
                <w:rFonts w:cs="Times New Roman"/>
                <w:sz w:val="24"/>
                <w:szCs w:val="24"/>
              </w:rPr>
              <w:t>1.8 (0.8;3.8)</w:t>
            </w:r>
          </w:p>
        </w:tc>
      </w:tr>
      <w:tr w:rsidR="008D2F2C" w:rsidRPr="008D2F2C" w14:paraId="65F868A1" w14:textId="77777777" w:rsidTr="008D2F2C">
        <w:trPr>
          <w:trHeight w:val="284"/>
        </w:trPr>
        <w:tc>
          <w:tcPr>
            <w:tcW w:w="1492" w:type="dxa"/>
            <w:vMerge/>
            <w:noWrap/>
            <w:hideMark/>
          </w:tcPr>
          <w:p w14:paraId="6CEE2EA2" w14:textId="77777777" w:rsidR="008D2F2C" w:rsidRPr="008D2F2C" w:rsidRDefault="008D2F2C" w:rsidP="008D2F2C">
            <w:pPr>
              <w:jc w:val="both"/>
              <w:rPr>
                <w:rFonts w:cs="Times New Roman"/>
                <w:sz w:val="24"/>
                <w:szCs w:val="24"/>
              </w:rPr>
            </w:pPr>
          </w:p>
        </w:tc>
        <w:tc>
          <w:tcPr>
            <w:tcW w:w="992" w:type="dxa"/>
            <w:noWrap/>
          </w:tcPr>
          <w:p w14:paraId="08800154" w14:textId="77777777" w:rsidR="008D2F2C" w:rsidRPr="008D2F2C" w:rsidRDefault="008D2F2C" w:rsidP="008D2F2C">
            <w:pPr>
              <w:jc w:val="both"/>
              <w:rPr>
                <w:rFonts w:cs="Times New Roman"/>
                <w:sz w:val="24"/>
                <w:szCs w:val="24"/>
              </w:rPr>
            </w:pPr>
            <w:r w:rsidRPr="008D2F2C">
              <w:rPr>
                <w:rFonts w:cs="Times New Roman"/>
                <w:sz w:val="24"/>
                <w:szCs w:val="24"/>
              </w:rPr>
              <w:t>GG+ AG</w:t>
            </w:r>
          </w:p>
        </w:tc>
        <w:tc>
          <w:tcPr>
            <w:tcW w:w="2410" w:type="dxa"/>
            <w:noWrap/>
          </w:tcPr>
          <w:p w14:paraId="31BFAC63" w14:textId="77777777" w:rsidR="008D2F2C" w:rsidRPr="008D2F2C" w:rsidRDefault="008D2F2C" w:rsidP="008D2F2C">
            <w:pPr>
              <w:jc w:val="both"/>
              <w:rPr>
                <w:rFonts w:cs="Times New Roman"/>
                <w:sz w:val="24"/>
                <w:szCs w:val="24"/>
              </w:rPr>
            </w:pPr>
            <w:r w:rsidRPr="008D2F2C">
              <w:rPr>
                <w:rFonts w:cs="Times New Roman"/>
                <w:sz w:val="24"/>
                <w:szCs w:val="24"/>
              </w:rPr>
              <w:t>48 (57.14%)</w:t>
            </w:r>
          </w:p>
        </w:tc>
        <w:tc>
          <w:tcPr>
            <w:tcW w:w="2409" w:type="dxa"/>
            <w:noWrap/>
          </w:tcPr>
          <w:p w14:paraId="214526A3" w14:textId="77777777" w:rsidR="008D2F2C" w:rsidRPr="008D2F2C" w:rsidRDefault="008D2F2C" w:rsidP="008D2F2C">
            <w:pPr>
              <w:jc w:val="both"/>
              <w:rPr>
                <w:rFonts w:cs="Times New Roman"/>
                <w:sz w:val="24"/>
                <w:szCs w:val="24"/>
              </w:rPr>
            </w:pPr>
            <w:r w:rsidRPr="008D2F2C">
              <w:rPr>
                <w:rFonts w:cs="Times New Roman"/>
                <w:sz w:val="24"/>
                <w:szCs w:val="24"/>
              </w:rPr>
              <w:t>34 (70.83%)</w:t>
            </w:r>
          </w:p>
        </w:tc>
        <w:tc>
          <w:tcPr>
            <w:tcW w:w="851" w:type="dxa"/>
            <w:vMerge/>
            <w:noWrap/>
          </w:tcPr>
          <w:p w14:paraId="74E7F86E" w14:textId="77777777" w:rsidR="008D2F2C" w:rsidRPr="008D2F2C" w:rsidRDefault="008D2F2C" w:rsidP="008D2F2C">
            <w:pPr>
              <w:jc w:val="both"/>
              <w:rPr>
                <w:rFonts w:cs="Times New Roman"/>
                <w:sz w:val="24"/>
                <w:szCs w:val="24"/>
              </w:rPr>
            </w:pPr>
          </w:p>
        </w:tc>
        <w:tc>
          <w:tcPr>
            <w:tcW w:w="1485" w:type="dxa"/>
            <w:vMerge/>
            <w:noWrap/>
          </w:tcPr>
          <w:p w14:paraId="02327D2A" w14:textId="77777777" w:rsidR="008D2F2C" w:rsidRPr="008D2F2C" w:rsidRDefault="008D2F2C" w:rsidP="008D2F2C">
            <w:pPr>
              <w:jc w:val="both"/>
              <w:rPr>
                <w:rFonts w:cs="Times New Roman"/>
                <w:sz w:val="24"/>
                <w:szCs w:val="24"/>
              </w:rPr>
            </w:pPr>
          </w:p>
        </w:tc>
      </w:tr>
      <w:tr w:rsidR="008D2F2C" w:rsidRPr="008D2F2C" w14:paraId="30B20B2F" w14:textId="77777777" w:rsidTr="008D2F2C">
        <w:trPr>
          <w:trHeight w:val="284"/>
        </w:trPr>
        <w:tc>
          <w:tcPr>
            <w:tcW w:w="1492" w:type="dxa"/>
            <w:vMerge w:val="restart"/>
            <w:noWrap/>
          </w:tcPr>
          <w:p w14:paraId="05D2E76C" w14:textId="7423EEEC" w:rsidR="008D2F2C" w:rsidRPr="008D2F2C" w:rsidRDefault="008D2F2C" w:rsidP="008D2F2C">
            <w:pPr>
              <w:jc w:val="both"/>
              <w:rPr>
                <w:rFonts w:cs="Times New Roman"/>
                <w:sz w:val="24"/>
                <w:szCs w:val="24"/>
              </w:rPr>
            </w:pPr>
            <w:r w:rsidRPr="008D2F2C">
              <w:rPr>
                <w:rFonts w:cs="Times New Roman"/>
                <w:sz w:val="24"/>
                <w:szCs w:val="24"/>
                <w:lang w:val="kk-KZ"/>
              </w:rPr>
              <w:t>А</w:t>
            </w:r>
            <w:r w:rsidRPr="008D2F2C">
              <w:rPr>
                <w:rFonts w:cs="Times New Roman"/>
                <w:sz w:val="24"/>
                <w:szCs w:val="24"/>
              </w:rPr>
              <w:t>ллель</w:t>
            </w:r>
          </w:p>
        </w:tc>
        <w:tc>
          <w:tcPr>
            <w:tcW w:w="992" w:type="dxa"/>
            <w:noWrap/>
          </w:tcPr>
          <w:p w14:paraId="0704D92E" w14:textId="77777777" w:rsidR="008D2F2C" w:rsidRPr="008D2F2C" w:rsidRDefault="008D2F2C" w:rsidP="008D2F2C">
            <w:pPr>
              <w:jc w:val="both"/>
              <w:rPr>
                <w:rFonts w:cs="Times New Roman"/>
                <w:sz w:val="24"/>
                <w:szCs w:val="24"/>
              </w:rPr>
            </w:pPr>
            <w:r w:rsidRPr="008D2F2C">
              <w:rPr>
                <w:rFonts w:cs="Times New Roman"/>
                <w:sz w:val="24"/>
                <w:szCs w:val="24"/>
              </w:rPr>
              <w:t>A</w:t>
            </w:r>
          </w:p>
        </w:tc>
        <w:tc>
          <w:tcPr>
            <w:tcW w:w="2410" w:type="dxa"/>
            <w:noWrap/>
          </w:tcPr>
          <w:p w14:paraId="600C5D00" w14:textId="77777777" w:rsidR="008D2F2C" w:rsidRPr="008D2F2C" w:rsidRDefault="008D2F2C" w:rsidP="008D2F2C">
            <w:pPr>
              <w:jc w:val="both"/>
              <w:rPr>
                <w:rFonts w:cs="Times New Roman"/>
                <w:sz w:val="24"/>
                <w:szCs w:val="24"/>
              </w:rPr>
            </w:pPr>
            <w:r w:rsidRPr="008D2F2C">
              <w:rPr>
                <w:rFonts w:cs="Times New Roman"/>
                <w:sz w:val="24"/>
                <w:szCs w:val="24"/>
              </w:rPr>
              <w:t>84 (50%)</w:t>
            </w:r>
          </w:p>
        </w:tc>
        <w:tc>
          <w:tcPr>
            <w:tcW w:w="2409" w:type="dxa"/>
            <w:noWrap/>
          </w:tcPr>
          <w:p w14:paraId="5558B80B" w14:textId="77777777" w:rsidR="008D2F2C" w:rsidRPr="008D2F2C" w:rsidRDefault="008D2F2C" w:rsidP="008D2F2C">
            <w:pPr>
              <w:jc w:val="both"/>
              <w:rPr>
                <w:rFonts w:cs="Times New Roman"/>
                <w:sz w:val="24"/>
                <w:szCs w:val="24"/>
              </w:rPr>
            </w:pPr>
            <w:r w:rsidRPr="008D2F2C">
              <w:rPr>
                <w:rFonts w:cs="Times New Roman"/>
                <w:sz w:val="24"/>
                <w:szCs w:val="24"/>
              </w:rPr>
              <w:t>50 (52.08%)</w:t>
            </w:r>
          </w:p>
        </w:tc>
        <w:tc>
          <w:tcPr>
            <w:tcW w:w="851" w:type="dxa"/>
            <w:vMerge w:val="restart"/>
            <w:noWrap/>
          </w:tcPr>
          <w:p w14:paraId="47995F2E" w14:textId="77777777" w:rsidR="008D2F2C" w:rsidRPr="008D2F2C" w:rsidRDefault="008D2F2C" w:rsidP="008D2F2C">
            <w:pPr>
              <w:jc w:val="both"/>
              <w:rPr>
                <w:rFonts w:cs="Times New Roman"/>
                <w:sz w:val="24"/>
                <w:szCs w:val="24"/>
              </w:rPr>
            </w:pPr>
            <w:r w:rsidRPr="008D2F2C">
              <w:rPr>
                <w:rFonts w:cs="Times New Roman"/>
                <w:sz w:val="24"/>
                <w:szCs w:val="24"/>
              </w:rPr>
              <w:t>0.7</w:t>
            </w:r>
          </w:p>
        </w:tc>
        <w:tc>
          <w:tcPr>
            <w:tcW w:w="1485" w:type="dxa"/>
            <w:vMerge w:val="restart"/>
            <w:noWrap/>
          </w:tcPr>
          <w:p w14:paraId="61E531BD" w14:textId="77777777" w:rsidR="008D2F2C" w:rsidRPr="008D2F2C" w:rsidRDefault="008D2F2C" w:rsidP="008D2F2C">
            <w:pPr>
              <w:jc w:val="both"/>
              <w:rPr>
                <w:rFonts w:cs="Times New Roman"/>
                <w:sz w:val="24"/>
                <w:szCs w:val="24"/>
              </w:rPr>
            </w:pPr>
            <w:r w:rsidRPr="008D2F2C">
              <w:rPr>
                <w:rFonts w:cs="Times New Roman"/>
                <w:sz w:val="24"/>
                <w:szCs w:val="24"/>
              </w:rPr>
              <w:t>0.9 (0.6; 1.5)</w:t>
            </w:r>
          </w:p>
        </w:tc>
      </w:tr>
      <w:tr w:rsidR="008D2F2C" w:rsidRPr="008D2F2C" w14:paraId="36FB8ED6" w14:textId="77777777" w:rsidTr="008D2F2C">
        <w:trPr>
          <w:trHeight w:val="284"/>
        </w:trPr>
        <w:tc>
          <w:tcPr>
            <w:tcW w:w="1492" w:type="dxa"/>
            <w:vMerge/>
            <w:noWrap/>
          </w:tcPr>
          <w:p w14:paraId="3963D6A7" w14:textId="77777777" w:rsidR="008D2F2C" w:rsidRPr="008D2F2C" w:rsidRDefault="008D2F2C" w:rsidP="008D2F2C">
            <w:pPr>
              <w:rPr>
                <w:rFonts w:eastAsia="Calibri" w:cs="Times New Roman"/>
                <w:sz w:val="24"/>
                <w:szCs w:val="24"/>
              </w:rPr>
            </w:pPr>
          </w:p>
        </w:tc>
        <w:tc>
          <w:tcPr>
            <w:tcW w:w="992" w:type="dxa"/>
            <w:noWrap/>
          </w:tcPr>
          <w:p w14:paraId="462E9092" w14:textId="77777777" w:rsidR="008D2F2C" w:rsidRPr="008D2F2C" w:rsidRDefault="008D2F2C" w:rsidP="008D2F2C">
            <w:pPr>
              <w:jc w:val="both"/>
              <w:rPr>
                <w:rFonts w:cs="Times New Roman"/>
                <w:sz w:val="24"/>
                <w:szCs w:val="24"/>
              </w:rPr>
            </w:pPr>
            <w:r w:rsidRPr="008D2F2C">
              <w:rPr>
                <w:rFonts w:cs="Times New Roman"/>
                <w:sz w:val="24"/>
                <w:szCs w:val="24"/>
              </w:rPr>
              <w:t>G</w:t>
            </w:r>
            <w:r w:rsidRPr="008D2F2C">
              <w:rPr>
                <w:rFonts w:cs="Times New Roman"/>
                <w:sz w:val="24"/>
                <w:szCs w:val="24"/>
                <w:vertAlign w:val="superscript"/>
              </w:rPr>
              <w:t>*</w:t>
            </w:r>
          </w:p>
        </w:tc>
        <w:tc>
          <w:tcPr>
            <w:tcW w:w="2410" w:type="dxa"/>
            <w:noWrap/>
          </w:tcPr>
          <w:p w14:paraId="036D0AF5" w14:textId="77777777" w:rsidR="008D2F2C" w:rsidRPr="008D2F2C" w:rsidRDefault="008D2F2C" w:rsidP="008D2F2C">
            <w:pPr>
              <w:jc w:val="both"/>
              <w:rPr>
                <w:rFonts w:cs="Times New Roman"/>
                <w:sz w:val="24"/>
                <w:szCs w:val="24"/>
              </w:rPr>
            </w:pPr>
            <w:r w:rsidRPr="008D2F2C">
              <w:rPr>
                <w:rFonts w:cs="Times New Roman"/>
                <w:sz w:val="24"/>
                <w:szCs w:val="24"/>
              </w:rPr>
              <w:t>84 (50%)</w:t>
            </w:r>
          </w:p>
        </w:tc>
        <w:tc>
          <w:tcPr>
            <w:tcW w:w="2409" w:type="dxa"/>
            <w:noWrap/>
          </w:tcPr>
          <w:p w14:paraId="094A0B49" w14:textId="77777777" w:rsidR="008D2F2C" w:rsidRPr="008D2F2C" w:rsidRDefault="008D2F2C" w:rsidP="008D2F2C">
            <w:pPr>
              <w:jc w:val="both"/>
              <w:rPr>
                <w:rFonts w:cs="Times New Roman"/>
                <w:sz w:val="24"/>
                <w:szCs w:val="24"/>
              </w:rPr>
            </w:pPr>
            <w:r w:rsidRPr="008D2F2C">
              <w:rPr>
                <w:rFonts w:cs="Times New Roman"/>
                <w:sz w:val="24"/>
                <w:szCs w:val="24"/>
              </w:rPr>
              <w:t>46 (47.92%)</w:t>
            </w:r>
          </w:p>
        </w:tc>
        <w:tc>
          <w:tcPr>
            <w:tcW w:w="851" w:type="dxa"/>
            <w:vMerge/>
            <w:noWrap/>
          </w:tcPr>
          <w:p w14:paraId="789F9E6C" w14:textId="77777777" w:rsidR="008D2F2C" w:rsidRPr="008D2F2C" w:rsidRDefault="008D2F2C" w:rsidP="008D2F2C">
            <w:pPr>
              <w:jc w:val="both"/>
              <w:rPr>
                <w:rFonts w:cs="Times New Roman"/>
                <w:sz w:val="24"/>
                <w:szCs w:val="24"/>
              </w:rPr>
            </w:pPr>
          </w:p>
        </w:tc>
        <w:tc>
          <w:tcPr>
            <w:tcW w:w="1485" w:type="dxa"/>
            <w:vMerge/>
            <w:noWrap/>
          </w:tcPr>
          <w:p w14:paraId="1E8D8A33" w14:textId="77777777" w:rsidR="008D2F2C" w:rsidRPr="008D2F2C" w:rsidRDefault="008D2F2C" w:rsidP="008D2F2C">
            <w:pPr>
              <w:jc w:val="both"/>
              <w:rPr>
                <w:rFonts w:cs="Times New Roman"/>
                <w:sz w:val="24"/>
                <w:szCs w:val="24"/>
              </w:rPr>
            </w:pPr>
          </w:p>
        </w:tc>
      </w:tr>
      <w:tr w:rsidR="008D2F2C" w:rsidRPr="008D2F2C" w14:paraId="155AC773" w14:textId="77777777" w:rsidTr="008D2F2C">
        <w:trPr>
          <w:trHeight w:val="70"/>
        </w:trPr>
        <w:tc>
          <w:tcPr>
            <w:tcW w:w="9639" w:type="dxa"/>
            <w:gridSpan w:val="6"/>
            <w:noWrap/>
          </w:tcPr>
          <w:p w14:paraId="46C1D6D0" w14:textId="1072174F" w:rsidR="008D2F2C" w:rsidRPr="008D2F2C" w:rsidRDefault="008D2F2C" w:rsidP="008D2F2C">
            <w:pPr>
              <w:ind w:firstLine="462"/>
              <w:jc w:val="both"/>
              <w:rPr>
                <w:rFonts w:cs="Times New Roman"/>
                <w:sz w:val="24"/>
                <w:szCs w:val="24"/>
                <w:lang w:val="kk-KZ"/>
              </w:rPr>
            </w:pPr>
            <w:r>
              <w:rPr>
                <w:rFonts w:cs="Times New Roman"/>
                <w:sz w:val="24"/>
                <w:szCs w:val="24"/>
                <w:lang w:val="kk-KZ"/>
              </w:rPr>
              <w:t xml:space="preserve">Примечание - </w:t>
            </w:r>
            <w:r w:rsidRPr="008D2F2C">
              <w:rPr>
                <w:rFonts w:cs="Times New Roman"/>
                <w:sz w:val="24"/>
                <w:szCs w:val="24"/>
                <w:lang w:val="kk-KZ"/>
              </w:rPr>
              <w:t>* аллель рассматривается как референтный аллель</w:t>
            </w:r>
          </w:p>
        </w:tc>
      </w:tr>
    </w:tbl>
    <w:p w14:paraId="6FB46C0C" w14:textId="77777777" w:rsidR="006D06D7" w:rsidRPr="008D2F2C" w:rsidRDefault="006D06D7" w:rsidP="008D2F2C">
      <w:pPr>
        <w:spacing w:after="0" w:line="240" w:lineRule="auto"/>
        <w:ind w:firstLine="567"/>
        <w:contextualSpacing/>
        <w:jc w:val="both"/>
        <w:rPr>
          <w:rFonts w:cs="Times New Roman"/>
          <w:szCs w:val="28"/>
        </w:rPr>
      </w:pPr>
    </w:p>
    <w:p w14:paraId="4094E49E" w14:textId="3837CFEC" w:rsidR="00971CC2" w:rsidRPr="002B136D" w:rsidRDefault="00DB78F6" w:rsidP="008D2F2C">
      <w:pPr>
        <w:spacing w:after="0" w:line="240" w:lineRule="auto"/>
        <w:ind w:firstLine="567"/>
        <w:contextualSpacing/>
        <w:jc w:val="both"/>
        <w:rPr>
          <w:rFonts w:cs="Times New Roman"/>
          <w:szCs w:val="28"/>
        </w:rPr>
      </w:pPr>
      <w:r w:rsidRPr="002B136D">
        <w:rPr>
          <w:rFonts w:cs="Times New Roman"/>
          <w:szCs w:val="28"/>
        </w:rPr>
        <w:t>Помимо этого</w:t>
      </w:r>
      <w:r w:rsidR="00971CC2" w:rsidRPr="002B136D">
        <w:rPr>
          <w:rFonts w:cs="Times New Roman"/>
          <w:szCs w:val="28"/>
        </w:rPr>
        <w:t xml:space="preserve">, мы проанализировали различия в генотипах, кодирующих эти цитокины, у пациентов в зависимости от тяжести офтальмопатии по классификации EUGOGO </w:t>
      </w:r>
      <w:r w:rsidR="00A95153">
        <w:rPr>
          <w:rFonts w:cs="Times New Roman"/>
          <w:szCs w:val="28"/>
        </w:rPr>
        <w:t xml:space="preserve">(таблица </w:t>
      </w:r>
      <w:r w:rsidR="00A27B3F" w:rsidRPr="002B136D">
        <w:rPr>
          <w:rFonts w:cs="Times New Roman"/>
          <w:szCs w:val="28"/>
          <w:lang w:val="kk-KZ"/>
        </w:rPr>
        <w:t>2</w:t>
      </w:r>
      <w:r w:rsidR="0076161A">
        <w:rPr>
          <w:rFonts w:cs="Times New Roman"/>
          <w:szCs w:val="28"/>
          <w:lang w:val="kk-KZ"/>
        </w:rPr>
        <w:t>2</w:t>
      </w:r>
      <w:r w:rsidR="00971CC2" w:rsidRPr="002B136D">
        <w:rPr>
          <w:rFonts w:cs="Times New Roman"/>
          <w:szCs w:val="28"/>
        </w:rPr>
        <w:t xml:space="preserve">). При сравнении полиморфизма rs9463772 в гене </w:t>
      </w:r>
      <w:r w:rsidR="00971CC2" w:rsidRPr="002B136D">
        <w:rPr>
          <w:rFonts w:cs="Times New Roman"/>
          <w:i/>
          <w:szCs w:val="28"/>
        </w:rPr>
        <w:t>IL17F</w:t>
      </w:r>
      <w:r w:rsidR="00971CC2" w:rsidRPr="002B136D">
        <w:rPr>
          <w:rFonts w:cs="Times New Roman"/>
          <w:szCs w:val="28"/>
        </w:rPr>
        <w:t xml:space="preserve"> не было обнаружено связи с тяжестью ЭОП (p=0,2), также как и для </w:t>
      </w:r>
      <w:r w:rsidR="005C2139" w:rsidRPr="002B136D">
        <w:rPr>
          <w:rFonts w:cs="Times New Roman"/>
          <w:szCs w:val="28"/>
        </w:rPr>
        <w:t xml:space="preserve">гена rs3811058 в </w:t>
      </w:r>
      <w:r w:rsidR="005C2139" w:rsidRPr="002B136D">
        <w:rPr>
          <w:rFonts w:cs="Times New Roman"/>
          <w:i/>
          <w:szCs w:val="28"/>
        </w:rPr>
        <w:t>IL1F10</w:t>
      </w:r>
      <w:r w:rsidR="005C2139" w:rsidRPr="002B136D">
        <w:rPr>
          <w:rFonts w:cs="Times New Roman"/>
          <w:szCs w:val="28"/>
        </w:rPr>
        <w:t xml:space="preserve"> (p=0,6</w:t>
      </w:r>
      <w:r w:rsidR="00CF7663" w:rsidRPr="002B136D">
        <w:rPr>
          <w:rFonts w:cs="Times New Roman"/>
          <w:szCs w:val="28"/>
        </w:rPr>
        <w:t xml:space="preserve">). Для полиморфизма rs7570267 в гене </w:t>
      </w:r>
      <w:r w:rsidR="00CF7663" w:rsidRPr="002B136D">
        <w:rPr>
          <w:rFonts w:cs="Times New Roman"/>
          <w:i/>
          <w:szCs w:val="28"/>
        </w:rPr>
        <w:t>IL1F10</w:t>
      </w:r>
      <w:r w:rsidR="00CF7663" w:rsidRPr="002B136D">
        <w:rPr>
          <w:rFonts w:cs="Times New Roman"/>
          <w:szCs w:val="28"/>
        </w:rPr>
        <w:t xml:space="preserve"> была выявлена статистически значимая разница в распределении генотипов (p=0,008). Однако рецессивная модель не показала значимой связи с тяжестью ЭОП (p=0,4). Статистических различий в частотах аллелей между группами не обнаружено (p=0,7).</w:t>
      </w:r>
    </w:p>
    <w:p w14:paraId="77A20A5B" w14:textId="77777777" w:rsidR="006D06D7" w:rsidRPr="008D2F2C" w:rsidRDefault="006D06D7" w:rsidP="006D06D7">
      <w:pPr>
        <w:spacing w:after="0" w:line="240" w:lineRule="auto"/>
        <w:ind w:firstLine="709"/>
        <w:contextualSpacing/>
        <w:jc w:val="both"/>
        <w:rPr>
          <w:rFonts w:cs="Times New Roman"/>
          <w:szCs w:val="28"/>
        </w:rPr>
      </w:pPr>
    </w:p>
    <w:p w14:paraId="71AC6317" w14:textId="35C387F4" w:rsidR="003D4CE3" w:rsidRPr="008D2F2C" w:rsidRDefault="00321765" w:rsidP="008D2F2C">
      <w:pPr>
        <w:spacing w:after="0" w:line="240" w:lineRule="auto"/>
        <w:contextualSpacing/>
        <w:jc w:val="both"/>
        <w:rPr>
          <w:rFonts w:cs="Times New Roman"/>
          <w:bCs/>
          <w:szCs w:val="28"/>
        </w:rPr>
      </w:pPr>
      <w:r w:rsidRPr="008D2F2C">
        <w:rPr>
          <w:rFonts w:cs="Times New Roman"/>
          <w:bCs/>
          <w:szCs w:val="28"/>
        </w:rPr>
        <w:t xml:space="preserve">Таблица </w:t>
      </w:r>
      <w:r w:rsidR="00A27B3F" w:rsidRPr="008D2F2C">
        <w:rPr>
          <w:rFonts w:cs="Times New Roman"/>
          <w:bCs/>
          <w:szCs w:val="28"/>
          <w:lang w:val="kk-KZ"/>
        </w:rPr>
        <w:t>2</w:t>
      </w:r>
      <w:r w:rsidR="0076161A">
        <w:rPr>
          <w:rFonts w:cs="Times New Roman"/>
          <w:bCs/>
          <w:szCs w:val="28"/>
          <w:lang w:val="kk-KZ"/>
        </w:rPr>
        <w:t>2</w:t>
      </w:r>
      <w:r w:rsidR="008D2F2C" w:rsidRPr="008D2F2C">
        <w:rPr>
          <w:rFonts w:cs="Times New Roman"/>
          <w:bCs/>
          <w:szCs w:val="28"/>
          <w:lang w:val="kk-KZ"/>
        </w:rPr>
        <w:t xml:space="preserve"> -</w:t>
      </w:r>
      <w:r w:rsidR="001E3616" w:rsidRPr="008D2F2C">
        <w:rPr>
          <w:rFonts w:cs="Times New Roman"/>
          <w:bCs/>
          <w:szCs w:val="28"/>
        </w:rPr>
        <w:t xml:space="preserve"> </w:t>
      </w:r>
      <w:r w:rsidRPr="008D2F2C">
        <w:rPr>
          <w:rFonts w:cs="Times New Roman"/>
          <w:bCs/>
          <w:szCs w:val="28"/>
        </w:rPr>
        <w:t>Анализ ассоциаций полиморфизма в генах IL-17, IL-38 у пациентов с</w:t>
      </w:r>
      <w:r w:rsidR="00F35C00">
        <w:rPr>
          <w:rFonts w:cs="Times New Roman"/>
          <w:bCs/>
          <w:szCs w:val="28"/>
        </w:rPr>
        <w:t xml:space="preserve"> разными степенями </w:t>
      </w:r>
      <w:r w:rsidR="00CF7663" w:rsidRPr="008D2F2C">
        <w:rPr>
          <w:rFonts w:cs="Times New Roman"/>
          <w:bCs/>
          <w:szCs w:val="28"/>
        </w:rPr>
        <w:t>тяжести ЭОП</w:t>
      </w:r>
    </w:p>
    <w:p w14:paraId="2584B185" w14:textId="77777777" w:rsidR="008D2F2C" w:rsidRPr="008D2F2C" w:rsidRDefault="008D2F2C" w:rsidP="008D2F2C">
      <w:pPr>
        <w:spacing w:after="0" w:line="240" w:lineRule="auto"/>
        <w:contextualSpacing/>
        <w:rPr>
          <w:rFonts w:cs="Times New Roman"/>
          <w:b/>
          <w:szCs w:val="28"/>
        </w:rPr>
      </w:pPr>
    </w:p>
    <w:tbl>
      <w:tblPr>
        <w:tblStyle w:val="110"/>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92"/>
        <w:gridCol w:w="1701"/>
        <w:gridCol w:w="1843"/>
        <w:gridCol w:w="2097"/>
        <w:gridCol w:w="876"/>
        <w:gridCol w:w="638"/>
      </w:tblGrid>
      <w:tr w:rsidR="002B136D" w:rsidRPr="008D2F2C" w14:paraId="521B5AB7" w14:textId="77777777" w:rsidTr="008D2F2C">
        <w:trPr>
          <w:trHeight w:val="272"/>
        </w:trPr>
        <w:tc>
          <w:tcPr>
            <w:tcW w:w="2484" w:type="dxa"/>
            <w:gridSpan w:val="2"/>
            <w:vMerge w:val="restart"/>
            <w:noWrap/>
            <w:hideMark/>
          </w:tcPr>
          <w:p w14:paraId="11E78FE6" w14:textId="1C40DE62" w:rsidR="00960AE8" w:rsidRPr="008D2F2C" w:rsidRDefault="00F35C00" w:rsidP="008D2F2C">
            <w:pPr>
              <w:jc w:val="both"/>
              <w:rPr>
                <w:rFonts w:cs="Times New Roman"/>
                <w:bCs/>
                <w:sz w:val="24"/>
                <w:szCs w:val="24"/>
              </w:rPr>
            </w:pPr>
            <w:r>
              <w:rPr>
                <w:rFonts w:cs="Times New Roman"/>
                <w:bCs/>
                <w:sz w:val="24"/>
                <w:szCs w:val="24"/>
                <w:lang w:val="ru-RU"/>
              </w:rPr>
              <w:t xml:space="preserve"> </w:t>
            </w:r>
            <w:r w:rsidR="00DE31AC" w:rsidRPr="008D2F2C">
              <w:rPr>
                <w:rFonts w:cs="Times New Roman"/>
                <w:bCs/>
                <w:sz w:val="24"/>
                <w:szCs w:val="24"/>
                <w:lang w:val="kk-KZ"/>
              </w:rPr>
              <w:t>П</w:t>
            </w:r>
            <w:r w:rsidR="00DE31AC" w:rsidRPr="008D2F2C">
              <w:rPr>
                <w:rFonts w:cs="Times New Roman"/>
                <w:bCs/>
                <w:sz w:val="24"/>
                <w:szCs w:val="24"/>
                <w:lang w:val="ru-RU"/>
              </w:rPr>
              <w:t>олиморфизм/ген</w:t>
            </w:r>
          </w:p>
        </w:tc>
        <w:tc>
          <w:tcPr>
            <w:tcW w:w="5641" w:type="dxa"/>
            <w:gridSpan w:val="3"/>
            <w:noWrap/>
            <w:hideMark/>
          </w:tcPr>
          <w:p w14:paraId="7B882D2A" w14:textId="15850C8F" w:rsidR="00960AE8" w:rsidRPr="008D2F2C" w:rsidRDefault="00DE31AC" w:rsidP="008D2F2C">
            <w:pPr>
              <w:jc w:val="center"/>
              <w:rPr>
                <w:rFonts w:cs="Times New Roman"/>
                <w:bCs/>
                <w:sz w:val="24"/>
                <w:szCs w:val="24"/>
              </w:rPr>
            </w:pPr>
            <w:r w:rsidRPr="008D2F2C">
              <w:rPr>
                <w:rFonts w:cs="Times New Roman"/>
                <w:bCs/>
                <w:sz w:val="24"/>
                <w:szCs w:val="24"/>
                <w:lang w:val="ru-RU"/>
              </w:rPr>
              <w:t>Тяжесть ЭОП по EUGOGO</w:t>
            </w:r>
          </w:p>
        </w:tc>
        <w:tc>
          <w:tcPr>
            <w:tcW w:w="876" w:type="dxa"/>
            <w:vMerge w:val="restart"/>
            <w:noWrap/>
            <w:hideMark/>
          </w:tcPr>
          <w:p w14:paraId="32399075" w14:textId="77777777" w:rsidR="00960AE8" w:rsidRPr="008D2F2C" w:rsidRDefault="00960AE8" w:rsidP="008D2F2C">
            <w:pPr>
              <w:jc w:val="center"/>
              <w:rPr>
                <w:rFonts w:cs="Times New Roman"/>
                <w:bCs/>
                <w:sz w:val="24"/>
                <w:szCs w:val="24"/>
              </w:rPr>
            </w:pPr>
            <w:r w:rsidRPr="008D2F2C">
              <w:rPr>
                <w:rFonts w:cs="Times New Roman"/>
                <w:bCs/>
                <w:sz w:val="24"/>
                <w:szCs w:val="24"/>
              </w:rPr>
              <w:t>p-value</w:t>
            </w:r>
          </w:p>
        </w:tc>
        <w:tc>
          <w:tcPr>
            <w:tcW w:w="638" w:type="dxa"/>
            <w:vMerge w:val="restart"/>
            <w:noWrap/>
            <w:hideMark/>
          </w:tcPr>
          <w:p w14:paraId="65679711" w14:textId="77777777" w:rsidR="00960AE8" w:rsidRPr="008D2F2C" w:rsidRDefault="00960AE8" w:rsidP="008D2F2C">
            <w:pPr>
              <w:jc w:val="center"/>
              <w:rPr>
                <w:rFonts w:cs="Times New Roman"/>
                <w:bCs/>
                <w:sz w:val="24"/>
                <w:szCs w:val="24"/>
              </w:rPr>
            </w:pPr>
            <w:r w:rsidRPr="008D2F2C">
              <w:rPr>
                <w:rFonts w:cs="Times New Roman"/>
                <w:bCs/>
                <w:sz w:val="24"/>
                <w:szCs w:val="24"/>
              </w:rPr>
              <w:t>χ2</w:t>
            </w:r>
          </w:p>
        </w:tc>
      </w:tr>
      <w:tr w:rsidR="002B136D" w:rsidRPr="008D2F2C" w14:paraId="373D6F5C" w14:textId="77777777" w:rsidTr="008D2F2C">
        <w:trPr>
          <w:trHeight w:val="492"/>
        </w:trPr>
        <w:tc>
          <w:tcPr>
            <w:tcW w:w="2484" w:type="dxa"/>
            <w:gridSpan w:val="2"/>
            <w:vMerge/>
            <w:noWrap/>
          </w:tcPr>
          <w:p w14:paraId="7E73FBC3" w14:textId="77777777" w:rsidR="00960AE8" w:rsidRPr="008D2F2C" w:rsidRDefault="00960AE8" w:rsidP="008D2F2C">
            <w:pPr>
              <w:jc w:val="both"/>
              <w:rPr>
                <w:rFonts w:cs="Times New Roman"/>
                <w:bCs/>
                <w:sz w:val="24"/>
                <w:szCs w:val="24"/>
              </w:rPr>
            </w:pPr>
          </w:p>
        </w:tc>
        <w:tc>
          <w:tcPr>
            <w:tcW w:w="1701" w:type="dxa"/>
            <w:noWrap/>
          </w:tcPr>
          <w:p w14:paraId="428E6D83" w14:textId="24D7EF19" w:rsidR="00960AE8" w:rsidRPr="008D2F2C" w:rsidRDefault="00DE31AC" w:rsidP="008D2F2C">
            <w:pPr>
              <w:jc w:val="center"/>
              <w:rPr>
                <w:rFonts w:cs="Times New Roman"/>
                <w:bCs/>
                <w:sz w:val="24"/>
                <w:szCs w:val="24"/>
              </w:rPr>
            </w:pPr>
            <w:r w:rsidRPr="008D2F2C">
              <w:rPr>
                <w:rFonts w:cs="Times New Roman"/>
                <w:bCs/>
                <w:sz w:val="24"/>
                <w:szCs w:val="24"/>
                <w:lang w:val="ru-RU"/>
              </w:rPr>
              <w:t>Легкая (n=52)</w:t>
            </w:r>
          </w:p>
        </w:tc>
        <w:tc>
          <w:tcPr>
            <w:tcW w:w="1843" w:type="dxa"/>
            <w:noWrap/>
          </w:tcPr>
          <w:p w14:paraId="6D0C163A" w14:textId="133B6EEB" w:rsidR="00960AE8" w:rsidRPr="008D2F2C" w:rsidRDefault="00DE31AC" w:rsidP="008D2F2C">
            <w:pPr>
              <w:jc w:val="center"/>
              <w:rPr>
                <w:rFonts w:cs="Times New Roman"/>
                <w:bCs/>
                <w:sz w:val="24"/>
                <w:szCs w:val="24"/>
              </w:rPr>
            </w:pPr>
            <w:r w:rsidRPr="008D2F2C">
              <w:rPr>
                <w:rFonts w:cs="Times New Roman"/>
                <w:bCs/>
                <w:sz w:val="24"/>
                <w:szCs w:val="24"/>
                <w:lang w:val="ru-RU"/>
              </w:rPr>
              <w:t>Умеренная (n=61)</w:t>
            </w:r>
          </w:p>
        </w:tc>
        <w:tc>
          <w:tcPr>
            <w:tcW w:w="2097" w:type="dxa"/>
          </w:tcPr>
          <w:p w14:paraId="03BD8E88" w14:textId="177E3A14" w:rsidR="00960AE8" w:rsidRPr="008D2F2C" w:rsidRDefault="00DE31AC" w:rsidP="008D2F2C">
            <w:pPr>
              <w:jc w:val="center"/>
              <w:rPr>
                <w:rFonts w:cs="Times New Roman"/>
                <w:bCs/>
                <w:sz w:val="24"/>
                <w:szCs w:val="24"/>
              </w:rPr>
            </w:pPr>
            <w:proofErr w:type="gramStart"/>
            <w:r w:rsidRPr="008D2F2C">
              <w:rPr>
                <w:rFonts w:cs="Times New Roman"/>
                <w:bCs/>
                <w:sz w:val="24"/>
                <w:szCs w:val="24"/>
                <w:lang w:val="ru-RU"/>
              </w:rPr>
              <w:t>Угрожающая</w:t>
            </w:r>
            <w:proofErr w:type="gramEnd"/>
            <w:r w:rsidRPr="008D2F2C">
              <w:rPr>
                <w:rFonts w:cs="Times New Roman"/>
                <w:bCs/>
                <w:sz w:val="24"/>
                <w:szCs w:val="24"/>
                <w:lang w:val="ru-RU"/>
              </w:rPr>
              <w:t xml:space="preserve"> потерей зрения(n=19)</w:t>
            </w:r>
          </w:p>
        </w:tc>
        <w:tc>
          <w:tcPr>
            <w:tcW w:w="876" w:type="dxa"/>
            <w:vMerge/>
            <w:noWrap/>
          </w:tcPr>
          <w:p w14:paraId="1A11BA9F" w14:textId="77777777" w:rsidR="00960AE8" w:rsidRPr="008D2F2C" w:rsidRDefault="00960AE8" w:rsidP="008D2F2C">
            <w:pPr>
              <w:jc w:val="both"/>
              <w:rPr>
                <w:rFonts w:cs="Times New Roman"/>
                <w:bCs/>
                <w:sz w:val="24"/>
                <w:szCs w:val="24"/>
              </w:rPr>
            </w:pPr>
          </w:p>
        </w:tc>
        <w:tc>
          <w:tcPr>
            <w:tcW w:w="638" w:type="dxa"/>
            <w:vMerge/>
            <w:noWrap/>
          </w:tcPr>
          <w:p w14:paraId="3531169E" w14:textId="77777777" w:rsidR="00960AE8" w:rsidRPr="008D2F2C" w:rsidRDefault="00960AE8" w:rsidP="008D2F2C">
            <w:pPr>
              <w:jc w:val="both"/>
              <w:rPr>
                <w:rFonts w:cs="Times New Roman"/>
                <w:bCs/>
                <w:sz w:val="24"/>
                <w:szCs w:val="24"/>
              </w:rPr>
            </w:pPr>
          </w:p>
        </w:tc>
      </w:tr>
      <w:tr w:rsidR="002B136D" w:rsidRPr="008D2F2C" w14:paraId="71B26AB1" w14:textId="77777777" w:rsidTr="008D2F2C">
        <w:trPr>
          <w:trHeight w:val="284"/>
        </w:trPr>
        <w:tc>
          <w:tcPr>
            <w:tcW w:w="9639" w:type="dxa"/>
            <w:gridSpan w:val="7"/>
            <w:noWrap/>
            <w:hideMark/>
          </w:tcPr>
          <w:p w14:paraId="4AE5EC98" w14:textId="77777777" w:rsidR="00960AE8" w:rsidRPr="008D2F2C" w:rsidRDefault="00960AE8" w:rsidP="008D2F2C">
            <w:pPr>
              <w:jc w:val="both"/>
              <w:rPr>
                <w:rFonts w:cs="Times New Roman"/>
                <w:bCs/>
                <w:sz w:val="24"/>
                <w:szCs w:val="24"/>
              </w:rPr>
            </w:pPr>
            <w:r w:rsidRPr="008D2F2C">
              <w:rPr>
                <w:rFonts w:cs="Times New Roman"/>
                <w:bCs/>
                <w:sz w:val="24"/>
                <w:szCs w:val="24"/>
              </w:rPr>
              <w:t>rs9463772 /IL17F</w:t>
            </w:r>
          </w:p>
        </w:tc>
      </w:tr>
      <w:tr w:rsidR="00330C94" w:rsidRPr="008D2F2C" w14:paraId="7ABC2B13" w14:textId="77777777" w:rsidTr="00330C94">
        <w:trPr>
          <w:trHeight w:val="284"/>
        </w:trPr>
        <w:tc>
          <w:tcPr>
            <w:tcW w:w="1492" w:type="dxa"/>
            <w:tcBorders>
              <w:bottom w:val="single" w:sz="4" w:space="0" w:color="auto"/>
            </w:tcBorders>
            <w:noWrap/>
          </w:tcPr>
          <w:p w14:paraId="773D4C5E" w14:textId="1FCD6C31" w:rsidR="00330C94" w:rsidRPr="00330C94" w:rsidRDefault="00330C94" w:rsidP="00330C94">
            <w:pPr>
              <w:jc w:val="center"/>
              <w:rPr>
                <w:rFonts w:cs="Times New Roman"/>
                <w:bCs/>
                <w:sz w:val="24"/>
                <w:szCs w:val="24"/>
                <w:lang w:val="ru-RU"/>
              </w:rPr>
            </w:pPr>
            <w:r>
              <w:rPr>
                <w:rFonts w:cs="Times New Roman"/>
                <w:bCs/>
                <w:sz w:val="24"/>
                <w:szCs w:val="24"/>
                <w:lang w:val="ru-RU"/>
              </w:rPr>
              <w:t>1</w:t>
            </w:r>
          </w:p>
        </w:tc>
        <w:tc>
          <w:tcPr>
            <w:tcW w:w="992" w:type="dxa"/>
            <w:tcBorders>
              <w:bottom w:val="single" w:sz="4" w:space="0" w:color="auto"/>
            </w:tcBorders>
            <w:noWrap/>
          </w:tcPr>
          <w:p w14:paraId="05A79D86" w14:textId="26BC6A0C" w:rsidR="00330C94" w:rsidRPr="00330C94" w:rsidRDefault="00330C94" w:rsidP="00330C94">
            <w:pPr>
              <w:jc w:val="center"/>
              <w:rPr>
                <w:rFonts w:cs="Times New Roman"/>
                <w:bCs/>
                <w:sz w:val="24"/>
                <w:szCs w:val="24"/>
                <w:lang w:val="ru-RU"/>
              </w:rPr>
            </w:pPr>
            <w:r>
              <w:rPr>
                <w:rFonts w:cs="Times New Roman"/>
                <w:bCs/>
                <w:sz w:val="24"/>
                <w:szCs w:val="24"/>
                <w:lang w:val="ru-RU"/>
              </w:rPr>
              <w:t>2</w:t>
            </w:r>
          </w:p>
        </w:tc>
        <w:tc>
          <w:tcPr>
            <w:tcW w:w="1701" w:type="dxa"/>
            <w:tcBorders>
              <w:bottom w:val="single" w:sz="4" w:space="0" w:color="auto"/>
            </w:tcBorders>
            <w:noWrap/>
          </w:tcPr>
          <w:p w14:paraId="0A52DC66" w14:textId="253D0476" w:rsidR="00330C94" w:rsidRPr="00330C94" w:rsidRDefault="00330C94" w:rsidP="00330C94">
            <w:pPr>
              <w:jc w:val="center"/>
              <w:rPr>
                <w:rFonts w:cs="Times New Roman"/>
                <w:bCs/>
                <w:sz w:val="24"/>
                <w:szCs w:val="24"/>
                <w:lang w:val="ru-RU"/>
              </w:rPr>
            </w:pPr>
            <w:r>
              <w:rPr>
                <w:rFonts w:cs="Times New Roman"/>
                <w:bCs/>
                <w:sz w:val="24"/>
                <w:szCs w:val="24"/>
                <w:lang w:val="ru-RU"/>
              </w:rPr>
              <w:t>3</w:t>
            </w:r>
          </w:p>
        </w:tc>
        <w:tc>
          <w:tcPr>
            <w:tcW w:w="1843" w:type="dxa"/>
            <w:tcBorders>
              <w:bottom w:val="single" w:sz="4" w:space="0" w:color="auto"/>
            </w:tcBorders>
            <w:noWrap/>
          </w:tcPr>
          <w:p w14:paraId="27DDE9CE" w14:textId="30E0DBE4" w:rsidR="00330C94" w:rsidRPr="00330C94" w:rsidRDefault="00330C94" w:rsidP="00330C94">
            <w:pPr>
              <w:jc w:val="center"/>
              <w:rPr>
                <w:rFonts w:cs="Times New Roman"/>
                <w:bCs/>
                <w:sz w:val="24"/>
                <w:szCs w:val="24"/>
                <w:lang w:val="ru-RU"/>
              </w:rPr>
            </w:pPr>
            <w:r>
              <w:rPr>
                <w:rFonts w:cs="Times New Roman"/>
                <w:bCs/>
                <w:sz w:val="24"/>
                <w:szCs w:val="24"/>
                <w:lang w:val="ru-RU"/>
              </w:rPr>
              <w:t>4</w:t>
            </w:r>
          </w:p>
        </w:tc>
        <w:tc>
          <w:tcPr>
            <w:tcW w:w="2097" w:type="dxa"/>
            <w:tcBorders>
              <w:bottom w:val="single" w:sz="4" w:space="0" w:color="auto"/>
            </w:tcBorders>
          </w:tcPr>
          <w:p w14:paraId="075F58E2" w14:textId="3D607612" w:rsidR="00330C94" w:rsidRPr="00330C94" w:rsidRDefault="00330C94" w:rsidP="00330C94">
            <w:pPr>
              <w:jc w:val="center"/>
              <w:rPr>
                <w:rFonts w:cs="Times New Roman"/>
                <w:bCs/>
                <w:sz w:val="24"/>
                <w:szCs w:val="24"/>
                <w:lang w:val="ru-RU"/>
              </w:rPr>
            </w:pPr>
            <w:r>
              <w:rPr>
                <w:rFonts w:cs="Times New Roman"/>
                <w:bCs/>
                <w:sz w:val="24"/>
                <w:szCs w:val="24"/>
                <w:lang w:val="ru-RU"/>
              </w:rPr>
              <w:t>5</w:t>
            </w:r>
          </w:p>
        </w:tc>
        <w:tc>
          <w:tcPr>
            <w:tcW w:w="876" w:type="dxa"/>
            <w:tcBorders>
              <w:bottom w:val="single" w:sz="4" w:space="0" w:color="auto"/>
            </w:tcBorders>
            <w:noWrap/>
          </w:tcPr>
          <w:p w14:paraId="6FE18FCB" w14:textId="1F9EF5D9" w:rsidR="00330C94" w:rsidRPr="00330C94" w:rsidRDefault="00330C94" w:rsidP="00330C94">
            <w:pPr>
              <w:jc w:val="center"/>
              <w:rPr>
                <w:rFonts w:cs="Times New Roman"/>
                <w:bCs/>
                <w:sz w:val="24"/>
                <w:szCs w:val="24"/>
                <w:lang w:val="ru-RU"/>
              </w:rPr>
            </w:pPr>
            <w:r>
              <w:rPr>
                <w:rFonts w:cs="Times New Roman"/>
                <w:bCs/>
                <w:sz w:val="24"/>
                <w:szCs w:val="24"/>
                <w:lang w:val="ru-RU"/>
              </w:rPr>
              <w:t>6</w:t>
            </w:r>
          </w:p>
        </w:tc>
        <w:tc>
          <w:tcPr>
            <w:tcW w:w="638" w:type="dxa"/>
            <w:tcBorders>
              <w:bottom w:val="single" w:sz="4" w:space="0" w:color="auto"/>
            </w:tcBorders>
            <w:noWrap/>
          </w:tcPr>
          <w:p w14:paraId="3B5659B4" w14:textId="304A5B8D" w:rsidR="00330C94" w:rsidRPr="00330C94" w:rsidRDefault="00330C94" w:rsidP="00330C94">
            <w:pPr>
              <w:jc w:val="center"/>
              <w:rPr>
                <w:rFonts w:cs="Times New Roman"/>
                <w:bCs/>
                <w:sz w:val="24"/>
                <w:szCs w:val="24"/>
                <w:lang w:val="ru-RU"/>
              </w:rPr>
            </w:pPr>
            <w:r>
              <w:rPr>
                <w:rFonts w:cs="Times New Roman"/>
                <w:bCs/>
                <w:sz w:val="24"/>
                <w:szCs w:val="24"/>
                <w:lang w:val="ru-RU"/>
              </w:rPr>
              <w:t>7</w:t>
            </w:r>
          </w:p>
        </w:tc>
      </w:tr>
      <w:tr w:rsidR="002B136D" w:rsidRPr="008D2F2C" w14:paraId="6AFE520F" w14:textId="77777777" w:rsidTr="008D2F2C">
        <w:trPr>
          <w:trHeight w:val="284"/>
        </w:trPr>
        <w:tc>
          <w:tcPr>
            <w:tcW w:w="1492" w:type="dxa"/>
            <w:vMerge w:val="restart"/>
            <w:noWrap/>
            <w:hideMark/>
          </w:tcPr>
          <w:p w14:paraId="64B40295" w14:textId="0B621477" w:rsidR="00960AE8" w:rsidRPr="008D2F2C" w:rsidRDefault="00DE31AC" w:rsidP="008D2F2C">
            <w:pPr>
              <w:jc w:val="both"/>
              <w:rPr>
                <w:rFonts w:cs="Times New Roman"/>
                <w:bCs/>
                <w:sz w:val="24"/>
                <w:szCs w:val="24"/>
              </w:rPr>
            </w:pPr>
            <w:r w:rsidRPr="008D2F2C">
              <w:rPr>
                <w:rFonts w:cs="Times New Roman"/>
                <w:bCs/>
                <w:sz w:val="24"/>
                <w:szCs w:val="24"/>
              </w:rPr>
              <w:t>Генотип</w:t>
            </w:r>
          </w:p>
        </w:tc>
        <w:tc>
          <w:tcPr>
            <w:tcW w:w="992" w:type="dxa"/>
            <w:noWrap/>
            <w:hideMark/>
          </w:tcPr>
          <w:p w14:paraId="68D3F8C0" w14:textId="77777777" w:rsidR="00960AE8" w:rsidRPr="008D2F2C" w:rsidRDefault="00960AE8" w:rsidP="008D2F2C">
            <w:pPr>
              <w:jc w:val="both"/>
              <w:rPr>
                <w:rFonts w:cs="Times New Roman"/>
                <w:bCs/>
                <w:sz w:val="24"/>
                <w:szCs w:val="24"/>
              </w:rPr>
            </w:pPr>
            <w:r w:rsidRPr="008D2F2C">
              <w:rPr>
                <w:rFonts w:cs="Times New Roman"/>
                <w:bCs/>
                <w:sz w:val="24"/>
                <w:szCs w:val="24"/>
              </w:rPr>
              <w:t>CC</w:t>
            </w:r>
          </w:p>
        </w:tc>
        <w:tc>
          <w:tcPr>
            <w:tcW w:w="1701" w:type="dxa"/>
            <w:noWrap/>
            <w:hideMark/>
          </w:tcPr>
          <w:p w14:paraId="26FAC9CC" w14:textId="77777777" w:rsidR="00960AE8" w:rsidRPr="008D2F2C" w:rsidRDefault="00960AE8" w:rsidP="008D2F2C">
            <w:pPr>
              <w:jc w:val="both"/>
              <w:rPr>
                <w:rFonts w:cs="Times New Roman"/>
                <w:bCs/>
                <w:sz w:val="24"/>
                <w:szCs w:val="24"/>
              </w:rPr>
            </w:pPr>
            <w:r w:rsidRPr="008D2F2C">
              <w:rPr>
                <w:rFonts w:cs="Times New Roman"/>
                <w:bCs/>
                <w:sz w:val="24"/>
                <w:szCs w:val="24"/>
              </w:rPr>
              <w:t>39 (75%)</w:t>
            </w:r>
          </w:p>
        </w:tc>
        <w:tc>
          <w:tcPr>
            <w:tcW w:w="1843" w:type="dxa"/>
            <w:noWrap/>
            <w:hideMark/>
          </w:tcPr>
          <w:p w14:paraId="7E1C6E19" w14:textId="77777777" w:rsidR="00960AE8" w:rsidRPr="008D2F2C" w:rsidRDefault="00960AE8" w:rsidP="008D2F2C">
            <w:pPr>
              <w:jc w:val="both"/>
              <w:rPr>
                <w:rFonts w:cs="Times New Roman"/>
                <w:bCs/>
                <w:sz w:val="24"/>
                <w:szCs w:val="24"/>
              </w:rPr>
            </w:pPr>
            <w:r w:rsidRPr="008D2F2C">
              <w:rPr>
                <w:rFonts w:cs="Times New Roman"/>
                <w:bCs/>
                <w:sz w:val="24"/>
                <w:szCs w:val="24"/>
              </w:rPr>
              <w:t>43 (70.5 %)</w:t>
            </w:r>
          </w:p>
        </w:tc>
        <w:tc>
          <w:tcPr>
            <w:tcW w:w="2097" w:type="dxa"/>
          </w:tcPr>
          <w:p w14:paraId="23B8B0DE" w14:textId="77777777" w:rsidR="00960AE8" w:rsidRPr="008D2F2C" w:rsidRDefault="00960AE8" w:rsidP="008D2F2C">
            <w:pPr>
              <w:jc w:val="both"/>
              <w:rPr>
                <w:rFonts w:cs="Times New Roman"/>
                <w:bCs/>
                <w:sz w:val="24"/>
                <w:szCs w:val="24"/>
              </w:rPr>
            </w:pPr>
            <w:r w:rsidRPr="008D2F2C">
              <w:rPr>
                <w:rFonts w:cs="Times New Roman"/>
                <w:bCs/>
                <w:sz w:val="24"/>
                <w:szCs w:val="24"/>
              </w:rPr>
              <w:t>16 (84.2%)</w:t>
            </w:r>
          </w:p>
        </w:tc>
        <w:tc>
          <w:tcPr>
            <w:tcW w:w="876" w:type="dxa"/>
            <w:vMerge w:val="restart"/>
            <w:noWrap/>
          </w:tcPr>
          <w:p w14:paraId="7F65EAD1" w14:textId="77777777" w:rsidR="00960AE8" w:rsidRPr="008D2F2C" w:rsidRDefault="00960AE8" w:rsidP="008D2F2C">
            <w:pPr>
              <w:jc w:val="both"/>
              <w:rPr>
                <w:rFonts w:cs="Times New Roman"/>
                <w:bCs/>
                <w:sz w:val="24"/>
                <w:szCs w:val="24"/>
              </w:rPr>
            </w:pPr>
            <w:r w:rsidRPr="008D2F2C">
              <w:rPr>
                <w:rFonts w:cs="Times New Roman"/>
                <w:bCs/>
                <w:sz w:val="24"/>
                <w:szCs w:val="24"/>
              </w:rPr>
              <w:t>0.2</w:t>
            </w:r>
          </w:p>
        </w:tc>
        <w:tc>
          <w:tcPr>
            <w:tcW w:w="638" w:type="dxa"/>
            <w:vMerge w:val="restart"/>
            <w:noWrap/>
            <w:hideMark/>
          </w:tcPr>
          <w:p w14:paraId="03EE60A5" w14:textId="77777777" w:rsidR="00960AE8" w:rsidRPr="008D2F2C" w:rsidRDefault="00960AE8" w:rsidP="008D2F2C">
            <w:pPr>
              <w:jc w:val="both"/>
              <w:rPr>
                <w:rFonts w:cs="Times New Roman"/>
                <w:bCs/>
                <w:sz w:val="24"/>
                <w:szCs w:val="24"/>
              </w:rPr>
            </w:pPr>
            <w:r w:rsidRPr="008D2F2C">
              <w:rPr>
                <w:rFonts w:cs="Times New Roman"/>
                <w:bCs/>
                <w:sz w:val="24"/>
                <w:szCs w:val="24"/>
              </w:rPr>
              <w:t>5.3</w:t>
            </w:r>
          </w:p>
        </w:tc>
      </w:tr>
      <w:tr w:rsidR="002B136D" w:rsidRPr="008D2F2C" w14:paraId="0F01440E" w14:textId="77777777" w:rsidTr="008D2F2C">
        <w:trPr>
          <w:trHeight w:val="284"/>
        </w:trPr>
        <w:tc>
          <w:tcPr>
            <w:tcW w:w="1492" w:type="dxa"/>
            <w:vMerge/>
            <w:noWrap/>
            <w:hideMark/>
          </w:tcPr>
          <w:p w14:paraId="399F0B87" w14:textId="77777777" w:rsidR="00960AE8" w:rsidRPr="008D2F2C" w:rsidRDefault="00960AE8" w:rsidP="008D2F2C">
            <w:pPr>
              <w:jc w:val="both"/>
              <w:rPr>
                <w:rFonts w:cs="Times New Roman"/>
                <w:bCs/>
                <w:sz w:val="24"/>
                <w:szCs w:val="24"/>
              </w:rPr>
            </w:pPr>
          </w:p>
        </w:tc>
        <w:tc>
          <w:tcPr>
            <w:tcW w:w="992" w:type="dxa"/>
            <w:noWrap/>
            <w:hideMark/>
          </w:tcPr>
          <w:p w14:paraId="2589FA1C" w14:textId="77777777" w:rsidR="00960AE8" w:rsidRPr="008D2F2C" w:rsidRDefault="00960AE8" w:rsidP="008D2F2C">
            <w:pPr>
              <w:jc w:val="both"/>
              <w:rPr>
                <w:rFonts w:cs="Times New Roman"/>
                <w:bCs/>
                <w:sz w:val="24"/>
                <w:szCs w:val="24"/>
              </w:rPr>
            </w:pPr>
            <w:r w:rsidRPr="008D2F2C">
              <w:rPr>
                <w:rFonts w:cs="Times New Roman"/>
                <w:bCs/>
                <w:sz w:val="24"/>
                <w:szCs w:val="24"/>
              </w:rPr>
              <w:t>CT</w:t>
            </w:r>
          </w:p>
        </w:tc>
        <w:tc>
          <w:tcPr>
            <w:tcW w:w="1701" w:type="dxa"/>
            <w:noWrap/>
            <w:hideMark/>
          </w:tcPr>
          <w:p w14:paraId="394CC343" w14:textId="77777777" w:rsidR="00960AE8" w:rsidRPr="008D2F2C" w:rsidRDefault="00960AE8" w:rsidP="008D2F2C">
            <w:pPr>
              <w:jc w:val="both"/>
              <w:rPr>
                <w:rFonts w:cs="Times New Roman"/>
                <w:bCs/>
                <w:sz w:val="24"/>
                <w:szCs w:val="24"/>
              </w:rPr>
            </w:pPr>
            <w:r w:rsidRPr="008D2F2C">
              <w:rPr>
                <w:rFonts w:cs="Times New Roman"/>
                <w:bCs/>
                <w:sz w:val="24"/>
                <w:szCs w:val="24"/>
              </w:rPr>
              <w:t>12 (23.1%)</w:t>
            </w:r>
          </w:p>
        </w:tc>
        <w:tc>
          <w:tcPr>
            <w:tcW w:w="1843" w:type="dxa"/>
            <w:noWrap/>
            <w:hideMark/>
          </w:tcPr>
          <w:p w14:paraId="50EBB8EE" w14:textId="77777777" w:rsidR="00960AE8" w:rsidRPr="008D2F2C" w:rsidRDefault="00960AE8" w:rsidP="008D2F2C">
            <w:pPr>
              <w:jc w:val="both"/>
              <w:rPr>
                <w:rFonts w:cs="Times New Roman"/>
                <w:bCs/>
                <w:sz w:val="24"/>
                <w:szCs w:val="24"/>
              </w:rPr>
            </w:pPr>
            <w:r w:rsidRPr="008D2F2C">
              <w:rPr>
                <w:rFonts w:cs="Times New Roman"/>
                <w:bCs/>
                <w:sz w:val="24"/>
                <w:szCs w:val="24"/>
              </w:rPr>
              <w:t>18 (29.5 %)</w:t>
            </w:r>
          </w:p>
        </w:tc>
        <w:tc>
          <w:tcPr>
            <w:tcW w:w="2097" w:type="dxa"/>
          </w:tcPr>
          <w:p w14:paraId="7E226942" w14:textId="77777777" w:rsidR="00960AE8" w:rsidRPr="008D2F2C" w:rsidRDefault="00960AE8" w:rsidP="008D2F2C">
            <w:pPr>
              <w:jc w:val="both"/>
              <w:rPr>
                <w:rFonts w:cs="Times New Roman"/>
                <w:bCs/>
                <w:sz w:val="24"/>
                <w:szCs w:val="24"/>
              </w:rPr>
            </w:pPr>
            <w:r w:rsidRPr="008D2F2C">
              <w:rPr>
                <w:rFonts w:cs="Times New Roman"/>
                <w:bCs/>
                <w:sz w:val="24"/>
                <w:szCs w:val="24"/>
              </w:rPr>
              <w:t>2 (10.5%)</w:t>
            </w:r>
          </w:p>
        </w:tc>
        <w:tc>
          <w:tcPr>
            <w:tcW w:w="876" w:type="dxa"/>
            <w:vMerge/>
            <w:noWrap/>
            <w:hideMark/>
          </w:tcPr>
          <w:p w14:paraId="092D1146" w14:textId="77777777" w:rsidR="00960AE8" w:rsidRPr="008D2F2C" w:rsidRDefault="00960AE8" w:rsidP="008D2F2C">
            <w:pPr>
              <w:jc w:val="both"/>
              <w:rPr>
                <w:rFonts w:cs="Times New Roman"/>
                <w:bCs/>
                <w:sz w:val="24"/>
                <w:szCs w:val="24"/>
              </w:rPr>
            </w:pPr>
          </w:p>
        </w:tc>
        <w:tc>
          <w:tcPr>
            <w:tcW w:w="638" w:type="dxa"/>
            <w:vMerge/>
            <w:noWrap/>
            <w:hideMark/>
          </w:tcPr>
          <w:p w14:paraId="20FC6D7E" w14:textId="77777777" w:rsidR="00960AE8" w:rsidRPr="008D2F2C" w:rsidRDefault="00960AE8" w:rsidP="008D2F2C">
            <w:pPr>
              <w:jc w:val="both"/>
              <w:rPr>
                <w:rFonts w:cs="Times New Roman"/>
                <w:bCs/>
                <w:sz w:val="24"/>
                <w:szCs w:val="24"/>
              </w:rPr>
            </w:pPr>
          </w:p>
        </w:tc>
      </w:tr>
      <w:tr w:rsidR="002B136D" w:rsidRPr="008D2F2C" w14:paraId="62A811D7" w14:textId="77777777" w:rsidTr="00330C94">
        <w:trPr>
          <w:trHeight w:val="284"/>
        </w:trPr>
        <w:tc>
          <w:tcPr>
            <w:tcW w:w="1492" w:type="dxa"/>
            <w:vMerge/>
            <w:tcBorders>
              <w:bottom w:val="nil"/>
            </w:tcBorders>
            <w:noWrap/>
            <w:hideMark/>
          </w:tcPr>
          <w:p w14:paraId="3E9C994A" w14:textId="77777777" w:rsidR="00960AE8" w:rsidRPr="008D2F2C" w:rsidRDefault="00960AE8" w:rsidP="008D2F2C">
            <w:pPr>
              <w:jc w:val="both"/>
              <w:rPr>
                <w:rFonts w:cs="Times New Roman"/>
                <w:bCs/>
                <w:sz w:val="24"/>
                <w:szCs w:val="24"/>
              </w:rPr>
            </w:pPr>
          </w:p>
        </w:tc>
        <w:tc>
          <w:tcPr>
            <w:tcW w:w="992" w:type="dxa"/>
            <w:tcBorders>
              <w:bottom w:val="nil"/>
            </w:tcBorders>
            <w:noWrap/>
            <w:hideMark/>
          </w:tcPr>
          <w:p w14:paraId="18B17B4F" w14:textId="77777777" w:rsidR="00960AE8" w:rsidRPr="008D2F2C" w:rsidRDefault="00960AE8" w:rsidP="008D2F2C">
            <w:pPr>
              <w:jc w:val="both"/>
              <w:rPr>
                <w:rFonts w:cs="Times New Roman"/>
                <w:bCs/>
                <w:sz w:val="24"/>
                <w:szCs w:val="24"/>
              </w:rPr>
            </w:pPr>
            <w:r w:rsidRPr="008D2F2C">
              <w:rPr>
                <w:rFonts w:cs="Times New Roman"/>
                <w:bCs/>
                <w:sz w:val="24"/>
                <w:szCs w:val="24"/>
              </w:rPr>
              <w:t>TT</w:t>
            </w:r>
          </w:p>
        </w:tc>
        <w:tc>
          <w:tcPr>
            <w:tcW w:w="1701" w:type="dxa"/>
            <w:tcBorders>
              <w:bottom w:val="nil"/>
            </w:tcBorders>
            <w:noWrap/>
            <w:hideMark/>
          </w:tcPr>
          <w:p w14:paraId="6BD44DDA" w14:textId="77777777" w:rsidR="00960AE8" w:rsidRPr="008D2F2C" w:rsidRDefault="00960AE8" w:rsidP="008D2F2C">
            <w:pPr>
              <w:jc w:val="both"/>
              <w:rPr>
                <w:rFonts w:cs="Times New Roman"/>
                <w:bCs/>
                <w:sz w:val="24"/>
                <w:szCs w:val="24"/>
              </w:rPr>
            </w:pPr>
            <w:r w:rsidRPr="008D2F2C">
              <w:rPr>
                <w:rFonts w:cs="Times New Roman"/>
                <w:bCs/>
                <w:sz w:val="24"/>
                <w:szCs w:val="24"/>
              </w:rPr>
              <w:t>1 (1.9 %)</w:t>
            </w:r>
          </w:p>
        </w:tc>
        <w:tc>
          <w:tcPr>
            <w:tcW w:w="1843" w:type="dxa"/>
            <w:tcBorders>
              <w:bottom w:val="nil"/>
            </w:tcBorders>
            <w:noWrap/>
            <w:hideMark/>
          </w:tcPr>
          <w:p w14:paraId="4ABBA153" w14:textId="77777777" w:rsidR="00960AE8" w:rsidRPr="008D2F2C" w:rsidRDefault="00960AE8" w:rsidP="008D2F2C">
            <w:pPr>
              <w:jc w:val="both"/>
              <w:rPr>
                <w:rFonts w:cs="Times New Roman"/>
                <w:bCs/>
                <w:sz w:val="24"/>
                <w:szCs w:val="24"/>
              </w:rPr>
            </w:pPr>
            <w:r w:rsidRPr="008D2F2C">
              <w:rPr>
                <w:rFonts w:cs="Times New Roman"/>
                <w:bCs/>
                <w:sz w:val="24"/>
                <w:szCs w:val="24"/>
              </w:rPr>
              <w:t xml:space="preserve">0 </w:t>
            </w:r>
          </w:p>
        </w:tc>
        <w:tc>
          <w:tcPr>
            <w:tcW w:w="2097" w:type="dxa"/>
            <w:tcBorders>
              <w:bottom w:val="nil"/>
            </w:tcBorders>
          </w:tcPr>
          <w:p w14:paraId="1B28D408" w14:textId="77777777" w:rsidR="00960AE8" w:rsidRPr="008D2F2C" w:rsidRDefault="00960AE8" w:rsidP="008D2F2C">
            <w:pPr>
              <w:jc w:val="both"/>
              <w:rPr>
                <w:rFonts w:cs="Times New Roman"/>
                <w:bCs/>
                <w:sz w:val="24"/>
                <w:szCs w:val="24"/>
              </w:rPr>
            </w:pPr>
            <w:r w:rsidRPr="008D2F2C">
              <w:rPr>
                <w:rFonts w:cs="Times New Roman"/>
                <w:bCs/>
                <w:sz w:val="24"/>
                <w:szCs w:val="24"/>
              </w:rPr>
              <w:t>1(5.3%)</w:t>
            </w:r>
          </w:p>
        </w:tc>
        <w:tc>
          <w:tcPr>
            <w:tcW w:w="876" w:type="dxa"/>
            <w:vMerge/>
            <w:tcBorders>
              <w:bottom w:val="nil"/>
            </w:tcBorders>
            <w:noWrap/>
            <w:hideMark/>
          </w:tcPr>
          <w:p w14:paraId="085AF972" w14:textId="77777777" w:rsidR="00960AE8" w:rsidRPr="008D2F2C" w:rsidRDefault="00960AE8" w:rsidP="008D2F2C">
            <w:pPr>
              <w:jc w:val="both"/>
              <w:rPr>
                <w:rFonts w:cs="Times New Roman"/>
                <w:bCs/>
                <w:sz w:val="24"/>
                <w:szCs w:val="24"/>
              </w:rPr>
            </w:pPr>
          </w:p>
        </w:tc>
        <w:tc>
          <w:tcPr>
            <w:tcW w:w="638" w:type="dxa"/>
            <w:vMerge/>
            <w:tcBorders>
              <w:bottom w:val="nil"/>
            </w:tcBorders>
            <w:noWrap/>
            <w:hideMark/>
          </w:tcPr>
          <w:p w14:paraId="25204948" w14:textId="77777777" w:rsidR="00960AE8" w:rsidRPr="008D2F2C" w:rsidRDefault="00960AE8" w:rsidP="008D2F2C">
            <w:pPr>
              <w:jc w:val="both"/>
              <w:rPr>
                <w:rFonts w:cs="Times New Roman"/>
                <w:bCs/>
                <w:sz w:val="24"/>
                <w:szCs w:val="24"/>
              </w:rPr>
            </w:pPr>
          </w:p>
        </w:tc>
      </w:tr>
    </w:tbl>
    <w:p w14:paraId="176D7630" w14:textId="77777777" w:rsidR="00330C94" w:rsidRDefault="00330C94">
      <w:r>
        <w:br w:type="page"/>
      </w:r>
    </w:p>
    <w:p w14:paraId="24CFD6FE" w14:textId="01FF0EAF" w:rsidR="00330C94" w:rsidRDefault="00330C94" w:rsidP="00330C94">
      <w:pPr>
        <w:spacing w:after="0" w:line="240" w:lineRule="auto"/>
      </w:pPr>
      <w:r>
        <w:lastRenderedPageBreak/>
        <w:t xml:space="preserve">Продолжение </w:t>
      </w:r>
      <w:r w:rsidR="00F35C00">
        <w:t xml:space="preserve">таблицы </w:t>
      </w:r>
      <w:r>
        <w:t>2</w:t>
      </w:r>
      <w:r w:rsidR="0076161A">
        <w:t>2</w:t>
      </w:r>
    </w:p>
    <w:p w14:paraId="50987158" w14:textId="77777777" w:rsidR="00330C94" w:rsidRDefault="00330C94" w:rsidP="00330C94">
      <w:pPr>
        <w:spacing w:after="0" w:line="240" w:lineRule="auto"/>
      </w:pPr>
    </w:p>
    <w:tbl>
      <w:tblPr>
        <w:tblStyle w:val="110"/>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92"/>
        <w:gridCol w:w="1701"/>
        <w:gridCol w:w="1843"/>
        <w:gridCol w:w="2097"/>
        <w:gridCol w:w="876"/>
        <w:gridCol w:w="638"/>
      </w:tblGrid>
      <w:tr w:rsidR="00330C94" w:rsidRPr="008D2F2C" w14:paraId="54E1F128" w14:textId="77777777" w:rsidTr="008D2F2C">
        <w:trPr>
          <w:trHeight w:val="284"/>
        </w:trPr>
        <w:tc>
          <w:tcPr>
            <w:tcW w:w="1492" w:type="dxa"/>
            <w:noWrap/>
          </w:tcPr>
          <w:p w14:paraId="12FC95DB" w14:textId="6D514D88" w:rsidR="00330C94" w:rsidRPr="008D2F2C" w:rsidRDefault="00330C94" w:rsidP="00330C94">
            <w:pPr>
              <w:jc w:val="center"/>
              <w:rPr>
                <w:rFonts w:cs="Times New Roman"/>
                <w:bCs/>
                <w:sz w:val="24"/>
                <w:szCs w:val="24"/>
              </w:rPr>
            </w:pPr>
            <w:r>
              <w:rPr>
                <w:rFonts w:cs="Times New Roman"/>
                <w:bCs/>
                <w:sz w:val="24"/>
                <w:szCs w:val="24"/>
                <w:lang w:val="ru-RU"/>
              </w:rPr>
              <w:t>1</w:t>
            </w:r>
          </w:p>
        </w:tc>
        <w:tc>
          <w:tcPr>
            <w:tcW w:w="992" w:type="dxa"/>
            <w:noWrap/>
          </w:tcPr>
          <w:p w14:paraId="7F0DA714" w14:textId="63184E8B" w:rsidR="00330C94" w:rsidRPr="008D2F2C" w:rsidRDefault="00330C94" w:rsidP="00330C94">
            <w:pPr>
              <w:jc w:val="center"/>
              <w:rPr>
                <w:rFonts w:cs="Times New Roman"/>
                <w:bCs/>
                <w:sz w:val="24"/>
                <w:szCs w:val="24"/>
              </w:rPr>
            </w:pPr>
            <w:r>
              <w:rPr>
                <w:rFonts w:cs="Times New Roman"/>
                <w:bCs/>
                <w:sz w:val="24"/>
                <w:szCs w:val="24"/>
                <w:lang w:val="ru-RU"/>
              </w:rPr>
              <w:t>2</w:t>
            </w:r>
          </w:p>
        </w:tc>
        <w:tc>
          <w:tcPr>
            <w:tcW w:w="1701" w:type="dxa"/>
            <w:noWrap/>
          </w:tcPr>
          <w:p w14:paraId="49CFB721" w14:textId="368A1951" w:rsidR="00330C94" w:rsidRPr="008D2F2C" w:rsidRDefault="00330C94" w:rsidP="00330C94">
            <w:pPr>
              <w:jc w:val="center"/>
              <w:rPr>
                <w:rFonts w:cs="Times New Roman"/>
                <w:bCs/>
                <w:sz w:val="24"/>
                <w:szCs w:val="24"/>
              </w:rPr>
            </w:pPr>
            <w:r>
              <w:rPr>
                <w:rFonts w:cs="Times New Roman"/>
                <w:bCs/>
                <w:sz w:val="24"/>
                <w:szCs w:val="24"/>
                <w:lang w:val="ru-RU"/>
              </w:rPr>
              <w:t>3</w:t>
            </w:r>
          </w:p>
        </w:tc>
        <w:tc>
          <w:tcPr>
            <w:tcW w:w="1843" w:type="dxa"/>
            <w:noWrap/>
          </w:tcPr>
          <w:p w14:paraId="40B15969" w14:textId="6AFA04B3" w:rsidR="00330C94" w:rsidRPr="008D2F2C" w:rsidRDefault="00330C94" w:rsidP="00330C94">
            <w:pPr>
              <w:jc w:val="center"/>
              <w:rPr>
                <w:rFonts w:cs="Times New Roman"/>
                <w:bCs/>
                <w:sz w:val="24"/>
                <w:szCs w:val="24"/>
              </w:rPr>
            </w:pPr>
            <w:r>
              <w:rPr>
                <w:rFonts w:cs="Times New Roman"/>
                <w:bCs/>
                <w:sz w:val="24"/>
                <w:szCs w:val="24"/>
                <w:lang w:val="ru-RU"/>
              </w:rPr>
              <w:t>4</w:t>
            </w:r>
          </w:p>
        </w:tc>
        <w:tc>
          <w:tcPr>
            <w:tcW w:w="2097" w:type="dxa"/>
          </w:tcPr>
          <w:p w14:paraId="6EBFE49D" w14:textId="149343C9" w:rsidR="00330C94" w:rsidRPr="008D2F2C" w:rsidRDefault="00330C94" w:rsidP="00330C94">
            <w:pPr>
              <w:jc w:val="center"/>
              <w:rPr>
                <w:rFonts w:cs="Times New Roman"/>
                <w:bCs/>
                <w:sz w:val="24"/>
                <w:szCs w:val="24"/>
              </w:rPr>
            </w:pPr>
            <w:r>
              <w:rPr>
                <w:rFonts w:cs="Times New Roman"/>
                <w:bCs/>
                <w:sz w:val="24"/>
                <w:szCs w:val="24"/>
                <w:lang w:val="ru-RU"/>
              </w:rPr>
              <w:t>5</w:t>
            </w:r>
          </w:p>
        </w:tc>
        <w:tc>
          <w:tcPr>
            <w:tcW w:w="876" w:type="dxa"/>
            <w:noWrap/>
          </w:tcPr>
          <w:p w14:paraId="52B24236" w14:textId="709C3A20" w:rsidR="00330C94" w:rsidRPr="008D2F2C" w:rsidRDefault="00330C94" w:rsidP="00330C94">
            <w:pPr>
              <w:jc w:val="center"/>
              <w:rPr>
                <w:rFonts w:cs="Times New Roman"/>
                <w:bCs/>
                <w:sz w:val="24"/>
                <w:szCs w:val="24"/>
              </w:rPr>
            </w:pPr>
            <w:r>
              <w:rPr>
                <w:rFonts w:cs="Times New Roman"/>
                <w:bCs/>
                <w:sz w:val="24"/>
                <w:szCs w:val="24"/>
                <w:lang w:val="ru-RU"/>
              </w:rPr>
              <w:t>6</w:t>
            </w:r>
          </w:p>
        </w:tc>
        <w:tc>
          <w:tcPr>
            <w:tcW w:w="638" w:type="dxa"/>
            <w:noWrap/>
          </w:tcPr>
          <w:p w14:paraId="1BA2F01B" w14:textId="346EE219" w:rsidR="00330C94" w:rsidRPr="008D2F2C" w:rsidRDefault="00330C94" w:rsidP="00330C94">
            <w:pPr>
              <w:jc w:val="center"/>
              <w:rPr>
                <w:rFonts w:cs="Times New Roman"/>
                <w:bCs/>
                <w:sz w:val="24"/>
                <w:szCs w:val="24"/>
              </w:rPr>
            </w:pPr>
            <w:r>
              <w:rPr>
                <w:rFonts w:cs="Times New Roman"/>
                <w:bCs/>
                <w:sz w:val="24"/>
                <w:szCs w:val="24"/>
                <w:lang w:val="ru-RU"/>
              </w:rPr>
              <w:t>7</w:t>
            </w:r>
          </w:p>
        </w:tc>
      </w:tr>
      <w:tr w:rsidR="00330C94" w:rsidRPr="008D2F2C" w14:paraId="15E95545" w14:textId="77777777" w:rsidTr="008D2F2C">
        <w:trPr>
          <w:trHeight w:val="284"/>
        </w:trPr>
        <w:tc>
          <w:tcPr>
            <w:tcW w:w="1492" w:type="dxa"/>
            <w:vMerge w:val="restart"/>
            <w:noWrap/>
          </w:tcPr>
          <w:p w14:paraId="64C15845" w14:textId="64D6970B" w:rsidR="00330C94" w:rsidRPr="008D2F2C" w:rsidRDefault="00330C94" w:rsidP="00330C94">
            <w:pPr>
              <w:jc w:val="both"/>
              <w:rPr>
                <w:rFonts w:cs="Times New Roman"/>
                <w:bCs/>
                <w:sz w:val="24"/>
                <w:szCs w:val="24"/>
              </w:rPr>
            </w:pPr>
            <w:r w:rsidRPr="008D2F2C">
              <w:rPr>
                <w:rFonts w:cs="Times New Roman"/>
                <w:bCs/>
                <w:sz w:val="24"/>
                <w:szCs w:val="24"/>
              </w:rPr>
              <w:t>Рецессивная модель</w:t>
            </w:r>
          </w:p>
        </w:tc>
        <w:tc>
          <w:tcPr>
            <w:tcW w:w="992" w:type="dxa"/>
            <w:noWrap/>
          </w:tcPr>
          <w:p w14:paraId="68642FDF" w14:textId="77777777" w:rsidR="00330C94" w:rsidRPr="008D2F2C" w:rsidRDefault="00330C94" w:rsidP="00330C94">
            <w:pPr>
              <w:jc w:val="both"/>
              <w:rPr>
                <w:rFonts w:cs="Times New Roman"/>
                <w:bCs/>
                <w:sz w:val="24"/>
                <w:szCs w:val="24"/>
              </w:rPr>
            </w:pPr>
            <w:r w:rsidRPr="008D2F2C">
              <w:rPr>
                <w:rFonts w:cs="Times New Roman"/>
                <w:bCs/>
                <w:sz w:val="24"/>
                <w:szCs w:val="24"/>
              </w:rPr>
              <w:t>CC+СТ</w:t>
            </w:r>
          </w:p>
        </w:tc>
        <w:tc>
          <w:tcPr>
            <w:tcW w:w="1701" w:type="dxa"/>
            <w:noWrap/>
          </w:tcPr>
          <w:p w14:paraId="668D71EC" w14:textId="77777777" w:rsidR="00330C94" w:rsidRPr="008D2F2C" w:rsidRDefault="00330C94" w:rsidP="00330C94">
            <w:pPr>
              <w:jc w:val="both"/>
              <w:rPr>
                <w:rFonts w:cs="Times New Roman"/>
                <w:bCs/>
                <w:sz w:val="24"/>
                <w:szCs w:val="24"/>
              </w:rPr>
            </w:pPr>
            <w:r w:rsidRPr="008D2F2C">
              <w:rPr>
                <w:rFonts w:cs="Times New Roman"/>
                <w:bCs/>
                <w:sz w:val="24"/>
                <w:szCs w:val="24"/>
              </w:rPr>
              <w:t>51 (98.1%)</w:t>
            </w:r>
          </w:p>
        </w:tc>
        <w:tc>
          <w:tcPr>
            <w:tcW w:w="1843" w:type="dxa"/>
            <w:noWrap/>
          </w:tcPr>
          <w:p w14:paraId="5B586ADC" w14:textId="77777777" w:rsidR="00330C94" w:rsidRPr="008D2F2C" w:rsidRDefault="00330C94" w:rsidP="00330C94">
            <w:pPr>
              <w:jc w:val="both"/>
              <w:rPr>
                <w:rFonts w:cs="Times New Roman"/>
                <w:bCs/>
                <w:sz w:val="24"/>
                <w:szCs w:val="24"/>
              </w:rPr>
            </w:pPr>
            <w:r w:rsidRPr="008D2F2C">
              <w:rPr>
                <w:rFonts w:cs="Times New Roman"/>
                <w:bCs/>
                <w:sz w:val="24"/>
                <w:szCs w:val="24"/>
              </w:rPr>
              <w:t>61 (100%)</w:t>
            </w:r>
          </w:p>
        </w:tc>
        <w:tc>
          <w:tcPr>
            <w:tcW w:w="2097" w:type="dxa"/>
          </w:tcPr>
          <w:p w14:paraId="6A086AFD" w14:textId="77777777" w:rsidR="00330C94" w:rsidRPr="008D2F2C" w:rsidRDefault="00330C94" w:rsidP="00330C94">
            <w:pPr>
              <w:jc w:val="both"/>
              <w:rPr>
                <w:rFonts w:cs="Times New Roman"/>
                <w:bCs/>
                <w:sz w:val="24"/>
                <w:szCs w:val="24"/>
              </w:rPr>
            </w:pPr>
            <w:r w:rsidRPr="008D2F2C">
              <w:rPr>
                <w:rFonts w:cs="Times New Roman"/>
                <w:bCs/>
                <w:sz w:val="24"/>
                <w:szCs w:val="24"/>
              </w:rPr>
              <w:t>18 (94.7%)</w:t>
            </w:r>
          </w:p>
        </w:tc>
        <w:tc>
          <w:tcPr>
            <w:tcW w:w="876" w:type="dxa"/>
            <w:vMerge w:val="restart"/>
            <w:noWrap/>
          </w:tcPr>
          <w:p w14:paraId="5FFD496B" w14:textId="77777777" w:rsidR="00330C94" w:rsidRPr="008D2F2C" w:rsidRDefault="00330C94" w:rsidP="00330C94">
            <w:pPr>
              <w:jc w:val="both"/>
              <w:rPr>
                <w:rFonts w:cs="Times New Roman"/>
                <w:bCs/>
                <w:sz w:val="24"/>
                <w:szCs w:val="24"/>
              </w:rPr>
            </w:pPr>
            <w:r w:rsidRPr="008D2F2C">
              <w:rPr>
                <w:rFonts w:cs="Times New Roman"/>
                <w:bCs/>
                <w:sz w:val="24"/>
                <w:szCs w:val="24"/>
              </w:rPr>
              <w:t>0.2</w:t>
            </w:r>
          </w:p>
        </w:tc>
        <w:tc>
          <w:tcPr>
            <w:tcW w:w="638" w:type="dxa"/>
            <w:vMerge w:val="restart"/>
            <w:noWrap/>
          </w:tcPr>
          <w:p w14:paraId="12F68217" w14:textId="77777777" w:rsidR="00330C94" w:rsidRPr="008D2F2C" w:rsidRDefault="00330C94" w:rsidP="00330C94">
            <w:pPr>
              <w:jc w:val="both"/>
              <w:rPr>
                <w:rFonts w:cs="Times New Roman"/>
                <w:bCs/>
                <w:sz w:val="24"/>
                <w:szCs w:val="24"/>
              </w:rPr>
            </w:pPr>
            <w:r w:rsidRPr="008D2F2C">
              <w:rPr>
                <w:rFonts w:cs="Times New Roman"/>
                <w:bCs/>
                <w:sz w:val="24"/>
                <w:szCs w:val="24"/>
              </w:rPr>
              <w:t>2.8</w:t>
            </w:r>
          </w:p>
        </w:tc>
      </w:tr>
      <w:tr w:rsidR="00330C94" w:rsidRPr="008D2F2C" w14:paraId="4F8E2FE3" w14:textId="77777777" w:rsidTr="008D2F2C">
        <w:trPr>
          <w:trHeight w:val="284"/>
        </w:trPr>
        <w:tc>
          <w:tcPr>
            <w:tcW w:w="1492" w:type="dxa"/>
            <w:vMerge/>
            <w:noWrap/>
          </w:tcPr>
          <w:p w14:paraId="3378F249" w14:textId="77777777" w:rsidR="00330C94" w:rsidRPr="008D2F2C" w:rsidRDefault="00330C94" w:rsidP="00330C94">
            <w:pPr>
              <w:jc w:val="both"/>
              <w:rPr>
                <w:rFonts w:cs="Times New Roman"/>
                <w:bCs/>
                <w:sz w:val="24"/>
                <w:szCs w:val="24"/>
              </w:rPr>
            </w:pPr>
          </w:p>
        </w:tc>
        <w:tc>
          <w:tcPr>
            <w:tcW w:w="992" w:type="dxa"/>
            <w:noWrap/>
          </w:tcPr>
          <w:p w14:paraId="41F3B987" w14:textId="77777777" w:rsidR="00330C94" w:rsidRPr="008D2F2C" w:rsidRDefault="00330C94" w:rsidP="00330C94">
            <w:pPr>
              <w:jc w:val="both"/>
              <w:rPr>
                <w:rFonts w:cs="Times New Roman"/>
                <w:bCs/>
                <w:sz w:val="24"/>
                <w:szCs w:val="24"/>
              </w:rPr>
            </w:pPr>
            <w:r w:rsidRPr="008D2F2C">
              <w:rPr>
                <w:rFonts w:cs="Times New Roman"/>
                <w:bCs/>
                <w:sz w:val="24"/>
                <w:szCs w:val="24"/>
              </w:rPr>
              <w:t>TT</w:t>
            </w:r>
          </w:p>
        </w:tc>
        <w:tc>
          <w:tcPr>
            <w:tcW w:w="1701" w:type="dxa"/>
            <w:noWrap/>
          </w:tcPr>
          <w:p w14:paraId="3E21562C" w14:textId="77777777" w:rsidR="00330C94" w:rsidRPr="008D2F2C" w:rsidRDefault="00330C94" w:rsidP="00330C94">
            <w:pPr>
              <w:jc w:val="both"/>
              <w:rPr>
                <w:rFonts w:cs="Times New Roman"/>
                <w:bCs/>
                <w:sz w:val="24"/>
                <w:szCs w:val="24"/>
              </w:rPr>
            </w:pPr>
            <w:r w:rsidRPr="008D2F2C">
              <w:rPr>
                <w:rFonts w:cs="Times New Roman"/>
                <w:bCs/>
                <w:sz w:val="24"/>
                <w:szCs w:val="24"/>
              </w:rPr>
              <w:t>1 (1.9%)</w:t>
            </w:r>
          </w:p>
        </w:tc>
        <w:tc>
          <w:tcPr>
            <w:tcW w:w="1843" w:type="dxa"/>
            <w:noWrap/>
          </w:tcPr>
          <w:p w14:paraId="1FF39F91" w14:textId="77777777" w:rsidR="00330C94" w:rsidRPr="008D2F2C" w:rsidRDefault="00330C94" w:rsidP="00330C94">
            <w:pPr>
              <w:jc w:val="both"/>
              <w:rPr>
                <w:rFonts w:cs="Times New Roman"/>
                <w:bCs/>
                <w:sz w:val="24"/>
                <w:szCs w:val="24"/>
              </w:rPr>
            </w:pPr>
            <w:r w:rsidRPr="008D2F2C">
              <w:rPr>
                <w:rFonts w:cs="Times New Roman"/>
                <w:bCs/>
                <w:sz w:val="24"/>
                <w:szCs w:val="24"/>
              </w:rPr>
              <w:t>0</w:t>
            </w:r>
          </w:p>
        </w:tc>
        <w:tc>
          <w:tcPr>
            <w:tcW w:w="2097" w:type="dxa"/>
          </w:tcPr>
          <w:p w14:paraId="603D3F63" w14:textId="77777777" w:rsidR="00330C94" w:rsidRPr="008D2F2C" w:rsidRDefault="00330C94" w:rsidP="00330C94">
            <w:pPr>
              <w:jc w:val="both"/>
              <w:rPr>
                <w:rFonts w:cs="Times New Roman"/>
                <w:bCs/>
                <w:sz w:val="24"/>
                <w:szCs w:val="24"/>
              </w:rPr>
            </w:pPr>
            <w:r w:rsidRPr="008D2F2C">
              <w:rPr>
                <w:rFonts w:cs="Times New Roman"/>
                <w:bCs/>
                <w:sz w:val="24"/>
                <w:szCs w:val="24"/>
              </w:rPr>
              <w:t>1 (5.3%)</w:t>
            </w:r>
          </w:p>
        </w:tc>
        <w:tc>
          <w:tcPr>
            <w:tcW w:w="876" w:type="dxa"/>
            <w:vMerge/>
            <w:noWrap/>
          </w:tcPr>
          <w:p w14:paraId="28B59E45" w14:textId="77777777" w:rsidR="00330C94" w:rsidRPr="008D2F2C" w:rsidRDefault="00330C94" w:rsidP="00330C94">
            <w:pPr>
              <w:jc w:val="both"/>
              <w:rPr>
                <w:rFonts w:cs="Times New Roman"/>
                <w:bCs/>
                <w:sz w:val="24"/>
                <w:szCs w:val="24"/>
              </w:rPr>
            </w:pPr>
          </w:p>
        </w:tc>
        <w:tc>
          <w:tcPr>
            <w:tcW w:w="638" w:type="dxa"/>
            <w:vMerge/>
            <w:noWrap/>
          </w:tcPr>
          <w:p w14:paraId="5A8586B8" w14:textId="77777777" w:rsidR="00330C94" w:rsidRPr="008D2F2C" w:rsidRDefault="00330C94" w:rsidP="00330C94">
            <w:pPr>
              <w:jc w:val="both"/>
              <w:rPr>
                <w:rFonts w:cs="Times New Roman"/>
                <w:bCs/>
                <w:sz w:val="24"/>
                <w:szCs w:val="24"/>
              </w:rPr>
            </w:pPr>
          </w:p>
        </w:tc>
      </w:tr>
      <w:tr w:rsidR="00330C94" w:rsidRPr="008D2F2C" w14:paraId="264CCEB6" w14:textId="77777777" w:rsidTr="008D2F2C">
        <w:trPr>
          <w:trHeight w:val="346"/>
        </w:trPr>
        <w:tc>
          <w:tcPr>
            <w:tcW w:w="1492" w:type="dxa"/>
            <w:vMerge w:val="restart"/>
            <w:noWrap/>
          </w:tcPr>
          <w:p w14:paraId="7182C255" w14:textId="54212CF3" w:rsidR="00330C94" w:rsidRPr="008D2F2C" w:rsidRDefault="00330C94" w:rsidP="00330C94">
            <w:pPr>
              <w:jc w:val="both"/>
              <w:rPr>
                <w:rFonts w:cs="Times New Roman"/>
                <w:bCs/>
                <w:sz w:val="24"/>
                <w:szCs w:val="24"/>
              </w:rPr>
            </w:pPr>
            <w:r w:rsidRPr="008D2F2C">
              <w:rPr>
                <w:rFonts w:cs="Times New Roman"/>
                <w:bCs/>
                <w:sz w:val="24"/>
                <w:szCs w:val="24"/>
                <w:lang w:val="kk-KZ"/>
              </w:rPr>
              <w:t>А</w:t>
            </w:r>
            <w:r w:rsidRPr="008D2F2C">
              <w:rPr>
                <w:rFonts w:cs="Times New Roman"/>
                <w:bCs/>
                <w:sz w:val="24"/>
                <w:szCs w:val="24"/>
              </w:rPr>
              <w:t xml:space="preserve">ллель </w:t>
            </w:r>
          </w:p>
          <w:p w14:paraId="40662267" w14:textId="77777777" w:rsidR="00330C94" w:rsidRPr="008D2F2C" w:rsidRDefault="00330C94" w:rsidP="00330C94">
            <w:pPr>
              <w:jc w:val="both"/>
              <w:rPr>
                <w:rFonts w:cs="Times New Roman"/>
                <w:bCs/>
                <w:sz w:val="24"/>
                <w:szCs w:val="24"/>
              </w:rPr>
            </w:pPr>
          </w:p>
        </w:tc>
        <w:tc>
          <w:tcPr>
            <w:tcW w:w="992" w:type="dxa"/>
            <w:noWrap/>
          </w:tcPr>
          <w:p w14:paraId="29429612" w14:textId="77777777" w:rsidR="00330C94" w:rsidRPr="008D2F2C" w:rsidRDefault="00330C94" w:rsidP="00330C94">
            <w:pPr>
              <w:jc w:val="both"/>
              <w:rPr>
                <w:rFonts w:cs="Times New Roman"/>
                <w:bCs/>
                <w:sz w:val="24"/>
                <w:szCs w:val="24"/>
              </w:rPr>
            </w:pPr>
            <w:r w:rsidRPr="008D2F2C">
              <w:rPr>
                <w:rFonts w:cs="Times New Roman"/>
                <w:bCs/>
                <w:sz w:val="24"/>
                <w:szCs w:val="24"/>
              </w:rPr>
              <w:t>C</w:t>
            </w:r>
            <w:r w:rsidRPr="008D2F2C">
              <w:rPr>
                <w:rFonts w:cs="Times New Roman"/>
                <w:bCs/>
                <w:sz w:val="24"/>
                <w:szCs w:val="24"/>
                <w:vertAlign w:val="superscript"/>
              </w:rPr>
              <w:t>*</w:t>
            </w:r>
          </w:p>
        </w:tc>
        <w:tc>
          <w:tcPr>
            <w:tcW w:w="1701" w:type="dxa"/>
            <w:noWrap/>
          </w:tcPr>
          <w:p w14:paraId="7A840368" w14:textId="77777777" w:rsidR="00330C94" w:rsidRPr="008D2F2C" w:rsidRDefault="00330C94" w:rsidP="00330C94">
            <w:pPr>
              <w:jc w:val="both"/>
              <w:rPr>
                <w:rFonts w:cs="Times New Roman"/>
                <w:bCs/>
                <w:sz w:val="24"/>
                <w:szCs w:val="24"/>
              </w:rPr>
            </w:pPr>
            <w:r w:rsidRPr="008D2F2C">
              <w:rPr>
                <w:rFonts w:cs="Times New Roman"/>
                <w:bCs/>
                <w:sz w:val="24"/>
                <w:szCs w:val="24"/>
              </w:rPr>
              <w:t>90 (86.54%)</w:t>
            </w:r>
          </w:p>
        </w:tc>
        <w:tc>
          <w:tcPr>
            <w:tcW w:w="1843" w:type="dxa"/>
            <w:noWrap/>
          </w:tcPr>
          <w:p w14:paraId="3583A8F0" w14:textId="77777777" w:rsidR="00330C94" w:rsidRPr="008D2F2C" w:rsidRDefault="00330C94" w:rsidP="00330C94">
            <w:pPr>
              <w:jc w:val="both"/>
              <w:rPr>
                <w:rFonts w:cs="Times New Roman"/>
                <w:bCs/>
                <w:sz w:val="24"/>
                <w:szCs w:val="24"/>
              </w:rPr>
            </w:pPr>
            <w:r w:rsidRPr="008D2F2C">
              <w:rPr>
                <w:rFonts w:cs="Times New Roman"/>
                <w:bCs/>
                <w:sz w:val="24"/>
                <w:szCs w:val="24"/>
              </w:rPr>
              <w:t>104 (85.25%)</w:t>
            </w:r>
          </w:p>
        </w:tc>
        <w:tc>
          <w:tcPr>
            <w:tcW w:w="2097" w:type="dxa"/>
          </w:tcPr>
          <w:p w14:paraId="16F4D848" w14:textId="77777777" w:rsidR="00330C94" w:rsidRPr="008D2F2C" w:rsidRDefault="00330C94" w:rsidP="00330C94">
            <w:pPr>
              <w:jc w:val="both"/>
              <w:rPr>
                <w:rFonts w:cs="Times New Roman"/>
                <w:bCs/>
                <w:sz w:val="24"/>
                <w:szCs w:val="24"/>
              </w:rPr>
            </w:pPr>
            <w:r w:rsidRPr="008D2F2C">
              <w:rPr>
                <w:rFonts w:cs="Times New Roman"/>
                <w:bCs/>
                <w:sz w:val="24"/>
                <w:szCs w:val="24"/>
              </w:rPr>
              <w:t>34 (89.47%)</w:t>
            </w:r>
          </w:p>
        </w:tc>
        <w:tc>
          <w:tcPr>
            <w:tcW w:w="876" w:type="dxa"/>
            <w:vMerge w:val="restart"/>
            <w:noWrap/>
          </w:tcPr>
          <w:p w14:paraId="4A19F482" w14:textId="77777777" w:rsidR="00330C94" w:rsidRPr="008D2F2C" w:rsidRDefault="00330C94" w:rsidP="00330C94">
            <w:pPr>
              <w:jc w:val="both"/>
              <w:rPr>
                <w:rFonts w:cs="Times New Roman"/>
                <w:bCs/>
                <w:sz w:val="24"/>
                <w:szCs w:val="24"/>
              </w:rPr>
            </w:pPr>
            <w:r w:rsidRPr="008D2F2C">
              <w:rPr>
                <w:rFonts w:cs="Times New Roman"/>
                <w:bCs/>
                <w:sz w:val="24"/>
                <w:szCs w:val="24"/>
              </w:rPr>
              <w:t>0.8</w:t>
            </w:r>
          </w:p>
        </w:tc>
        <w:tc>
          <w:tcPr>
            <w:tcW w:w="638" w:type="dxa"/>
            <w:vMerge w:val="restart"/>
            <w:noWrap/>
          </w:tcPr>
          <w:p w14:paraId="60C5FB76" w14:textId="77777777" w:rsidR="00330C94" w:rsidRPr="008D2F2C" w:rsidRDefault="00330C94" w:rsidP="00330C94">
            <w:pPr>
              <w:jc w:val="both"/>
              <w:rPr>
                <w:rFonts w:cs="Times New Roman"/>
                <w:bCs/>
                <w:sz w:val="24"/>
                <w:szCs w:val="24"/>
              </w:rPr>
            </w:pPr>
            <w:r w:rsidRPr="008D2F2C">
              <w:rPr>
                <w:rFonts w:cs="Times New Roman"/>
                <w:bCs/>
                <w:sz w:val="24"/>
                <w:szCs w:val="24"/>
              </w:rPr>
              <w:t>0.4</w:t>
            </w:r>
          </w:p>
        </w:tc>
      </w:tr>
      <w:tr w:rsidR="00330C94" w:rsidRPr="008D2F2C" w14:paraId="2DE60315" w14:textId="77777777" w:rsidTr="008D2F2C">
        <w:trPr>
          <w:trHeight w:val="284"/>
        </w:trPr>
        <w:tc>
          <w:tcPr>
            <w:tcW w:w="1492" w:type="dxa"/>
            <w:vMerge/>
            <w:noWrap/>
          </w:tcPr>
          <w:p w14:paraId="6BA2E4B8" w14:textId="77777777" w:rsidR="00330C94" w:rsidRPr="008D2F2C" w:rsidRDefault="00330C94" w:rsidP="00330C94">
            <w:pPr>
              <w:jc w:val="both"/>
              <w:rPr>
                <w:rFonts w:cs="Times New Roman"/>
                <w:bCs/>
                <w:sz w:val="24"/>
                <w:szCs w:val="24"/>
              </w:rPr>
            </w:pPr>
          </w:p>
        </w:tc>
        <w:tc>
          <w:tcPr>
            <w:tcW w:w="992" w:type="dxa"/>
            <w:noWrap/>
          </w:tcPr>
          <w:p w14:paraId="632D676B" w14:textId="77777777" w:rsidR="00330C94" w:rsidRPr="008D2F2C" w:rsidRDefault="00330C94" w:rsidP="00330C94">
            <w:pPr>
              <w:jc w:val="both"/>
              <w:rPr>
                <w:rFonts w:cs="Times New Roman"/>
                <w:bCs/>
                <w:sz w:val="24"/>
                <w:szCs w:val="24"/>
              </w:rPr>
            </w:pPr>
            <w:r w:rsidRPr="008D2F2C">
              <w:rPr>
                <w:rFonts w:cs="Times New Roman"/>
                <w:bCs/>
                <w:sz w:val="24"/>
                <w:szCs w:val="24"/>
              </w:rPr>
              <w:t>T</w:t>
            </w:r>
          </w:p>
        </w:tc>
        <w:tc>
          <w:tcPr>
            <w:tcW w:w="1701" w:type="dxa"/>
            <w:noWrap/>
          </w:tcPr>
          <w:p w14:paraId="5FE56862" w14:textId="77777777" w:rsidR="00330C94" w:rsidRPr="008D2F2C" w:rsidRDefault="00330C94" w:rsidP="00330C94">
            <w:pPr>
              <w:jc w:val="both"/>
              <w:rPr>
                <w:rFonts w:cs="Times New Roman"/>
                <w:bCs/>
                <w:sz w:val="24"/>
                <w:szCs w:val="24"/>
              </w:rPr>
            </w:pPr>
            <w:r w:rsidRPr="008D2F2C">
              <w:rPr>
                <w:rFonts w:cs="Times New Roman"/>
                <w:bCs/>
                <w:sz w:val="24"/>
                <w:szCs w:val="24"/>
              </w:rPr>
              <w:t>14 13.46%)</w:t>
            </w:r>
          </w:p>
        </w:tc>
        <w:tc>
          <w:tcPr>
            <w:tcW w:w="1843" w:type="dxa"/>
            <w:noWrap/>
          </w:tcPr>
          <w:p w14:paraId="7EE262BF" w14:textId="77777777" w:rsidR="00330C94" w:rsidRPr="008D2F2C" w:rsidRDefault="00330C94" w:rsidP="00330C94">
            <w:pPr>
              <w:jc w:val="both"/>
              <w:rPr>
                <w:rFonts w:cs="Times New Roman"/>
                <w:bCs/>
                <w:sz w:val="24"/>
                <w:szCs w:val="24"/>
              </w:rPr>
            </w:pPr>
            <w:r w:rsidRPr="008D2F2C">
              <w:rPr>
                <w:rFonts w:cs="Times New Roman"/>
                <w:bCs/>
                <w:sz w:val="24"/>
                <w:szCs w:val="24"/>
              </w:rPr>
              <w:t>18 (14.75%)</w:t>
            </w:r>
          </w:p>
        </w:tc>
        <w:tc>
          <w:tcPr>
            <w:tcW w:w="2097" w:type="dxa"/>
          </w:tcPr>
          <w:p w14:paraId="4DF32FD9" w14:textId="77777777" w:rsidR="00330C94" w:rsidRPr="008D2F2C" w:rsidRDefault="00330C94" w:rsidP="00330C94">
            <w:pPr>
              <w:jc w:val="both"/>
              <w:rPr>
                <w:rFonts w:cs="Times New Roman"/>
                <w:bCs/>
                <w:sz w:val="24"/>
                <w:szCs w:val="24"/>
              </w:rPr>
            </w:pPr>
            <w:r w:rsidRPr="008D2F2C">
              <w:rPr>
                <w:rFonts w:cs="Times New Roman"/>
                <w:bCs/>
                <w:sz w:val="24"/>
                <w:szCs w:val="24"/>
              </w:rPr>
              <w:t>4 (10.53%)</w:t>
            </w:r>
          </w:p>
        </w:tc>
        <w:tc>
          <w:tcPr>
            <w:tcW w:w="876" w:type="dxa"/>
            <w:vMerge/>
            <w:noWrap/>
          </w:tcPr>
          <w:p w14:paraId="057F786B" w14:textId="77777777" w:rsidR="00330C94" w:rsidRPr="008D2F2C" w:rsidRDefault="00330C94" w:rsidP="00330C94">
            <w:pPr>
              <w:jc w:val="both"/>
              <w:rPr>
                <w:rFonts w:cs="Times New Roman"/>
                <w:bCs/>
                <w:sz w:val="24"/>
                <w:szCs w:val="24"/>
              </w:rPr>
            </w:pPr>
          </w:p>
        </w:tc>
        <w:tc>
          <w:tcPr>
            <w:tcW w:w="638" w:type="dxa"/>
            <w:vMerge/>
            <w:noWrap/>
          </w:tcPr>
          <w:p w14:paraId="063B5985" w14:textId="77777777" w:rsidR="00330C94" w:rsidRPr="008D2F2C" w:rsidRDefault="00330C94" w:rsidP="00330C94">
            <w:pPr>
              <w:jc w:val="both"/>
              <w:rPr>
                <w:rFonts w:cs="Times New Roman"/>
                <w:bCs/>
                <w:sz w:val="24"/>
                <w:szCs w:val="24"/>
              </w:rPr>
            </w:pPr>
          </w:p>
        </w:tc>
      </w:tr>
      <w:tr w:rsidR="00330C94" w:rsidRPr="008D2F2C" w14:paraId="64280754" w14:textId="77777777" w:rsidTr="008D2F2C">
        <w:trPr>
          <w:trHeight w:val="284"/>
        </w:trPr>
        <w:tc>
          <w:tcPr>
            <w:tcW w:w="9639" w:type="dxa"/>
            <w:gridSpan w:val="7"/>
            <w:noWrap/>
            <w:hideMark/>
          </w:tcPr>
          <w:p w14:paraId="6C110635" w14:textId="77777777" w:rsidR="00330C94" w:rsidRPr="008D2F2C" w:rsidRDefault="00330C94" w:rsidP="00330C94">
            <w:pPr>
              <w:jc w:val="both"/>
              <w:rPr>
                <w:rFonts w:cs="Times New Roman"/>
                <w:bCs/>
                <w:sz w:val="24"/>
                <w:szCs w:val="24"/>
              </w:rPr>
            </w:pPr>
            <w:r w:rsidRPr="008D2F2C">
              <w:rPr>
                <w:rFonts w:cs="Times New Roman"/>
                <w:bCs/>
                <w:sz w:val="24"/>
                <w:szCs w:val="24"/>
              </w:rPr>
              <w:t>rs3811058 /IL1F10</w:t>
            </w:r>
          </w:p>
        </w:tc>
      </w:tr>
      <w:tr w:rsidR="00330C94" w:rsidRPr="008D2F2C" w14:paraId="650FDD85" w14:textId="77777777" w:rsidTr="008D2F2C">
        <w:trPr>
          <w:trHeight w:val="284"/>
        </w:trPr>
        <w:tc>
          <w:tcPr>
            <w:tcW w:w="1492" w:type="dxa"/>
            <w:vMerge w:val="restart"/>
            <w:noWrap/>
            <w:hideMark/>
          </w:tcPr>
          <w:p w14:paraId="6EAE06E4" w14:textId="4503AD18" w:rsidR="00330C94" w:rsidRPr="008D2F2C" w:rsidRDefault="00330C94" w:rsidP="00330C94">
            <w:pPr>
              <w:jc w:val="both"/>
              <w:rPr>
                <w:rFonts w:cs="Times New Roman"/>
                <w:bCs/>
                <w:sz w:val="24"/>
                <w:szCs w:val="24"/>
              </w:rPr>
            </w:pPr>
            <w:r w:rsidRPr="008D2F2C">
              <w:rPr>
                <w:rFonts w:cs="Times New Roman"/>
                <w:bCs/>
                <w:sz w:val="24"/>
                <w:szCs w:val="24"/>
              </w:rPr>
              <w:t>Генотип</w:t>
            </w:r>
          </w:p>
        </w:tc>
        <w:tc>
          <w:tcPr>
            <w:tcW w:w="992" w:type="dxa"/>
            <w:noWrap/>
            <w:hideMark/>
          </w:tcPr>
          <w:p w14:paraId="254B4FD1" w14:textId="77777777" w:rsidR="00330C94" w:rsidRPr="008D2F2C" w:rsidRDefault="00330C94" w:rsidP="00330C94">
            <w:pPr>
              <w:jc w:val="both"/>
              <w:rPr>
                <w:rFonts w:cs="Times New Roman"/>
                <w:bCs/>
                <w:sz w:val="24"/>
                <w:szCs w:val="24"/>
              </w:rPr>
            </w:pPr>
            <w:r w:rsidRPr="008D2F2C">
              <w:rPr>
                <w:rFonts w:cs="Times New Roman"/>
                <w:bCs/>
                <w:sz w:val="24"/>
                <w:szCs w:val="24"/>
              </w:rPr>
              <w:t>CC</w:t>
            </w:r>
          </w:p>
        </w:tc>
        <w:tc>
          <w:tcPr>
            <w:tcW w:w="1701" w:type="dxa"/>
            <w:noWrap/>
            <w:hideMark/>
          </w:tcPr>
          <w:p w14:paraId="5541C97C" w14:textId="77777777" w:rsidR="00330C94" w:rsidRPr="008D2F2C" w:rsidRDefault="00330C94" w:rsidP="00330C94">
            <w:pPr>
              <w:jc w:val="both"/>
              <w:rPr>
                <w:rFonts w:cs="Times New Roman"/>
                <w:bCs/>
                <w:sz w:val="24"/>
                <w:szCs w:val="24"/>
              </w:rPr>
            </w:pPr>
            <w:r w:rsidRPr="008D2F2C">
              <w:rPr>
                <w:rFonts w:cs="Times New Roman"/>
                <w:bCs/>
                <w:sz w:val="24"/>
                <w:szCs w:val="24"/>
              </w:rPr>
              <w:t>23 (44.2 %)</w:t>
            </w:r>
          </w:p>
        </w:tc>
        <w:tc>
          <w:tcPr>
            <w:tcW w:w="1843" w:type="dxa"/>
            <w:noWrap/>
            <w:hideMark/>
          </w:tcPr>
          <w:p w14:paraId="57DB7B9A" w14:textId="77777777" w:rsidR="00330C94" w:rsidRPr="008D2F2C" w:rsidRDefault="00330C94" w:rsidP="00330C94">
            <w:pPr>
              <w:jc w:val="both"/>
              <w:rPr>
                <w:rFonts w:cs="Times New Roman"/>
                <w:bCs/>
                <w:sz w:val="24"/>
                <w:szCs w:val="24"/>
              </w:rPr>
            </w:pPr>
            <w:r w:rsidRPr="008D2F2C">
              <w:rPr>
                <w:rFonts w:cs="Times New Roman"/>
                <w:bCs/>
                <w:sz w:val="24"/>
                <w:szCs w:val="24"/>
              </w:rPr>
              <w:t>29 (47.5 %)</w:t>
            </w:r>
          </w:p>
        </w:tc>
        <w:tc>
          <w:tcPr>
            <w:tcW w:w="2097" w:type="dxa"/>
          </w:tcPr>
          <w:p w14:paraId="1A21AFD2" w14:textId="77777777" w:rsidR="00330C94" w:rsidRPr="008D2F2C" w:rsidRDefault="00330C94" w:rsidP="00330C94">
            <w:pPr>
              <w:jc w:val="both"/>
              <w:rPr>
                <w:rFonts w:cs="Times New Roman"/>
                <w:bCs/>
                <w:sz w:val="24"/>
                <w:szCs w:val="24"/>
              </w:rPr>
            </w:pPr>
            <w:r w:rsidRPr="008D2F2C">
              <w:rPr>
                <w:rFonts w:cs="Times New Roman"/>
                <w:bCs/>
                <w:sz w:val="24"/>
                <w:szCs w:val="24"/>
              </w:rPr>
              <w:t>11 (57.9%)</w:t>
            </w:r>
          </w:p>
        </w:tc>
        <w:tc>
          <w:tcPr>
            <w:tcW w:w="876" w:type="dxa"/>
            <w:vMerge w:val="restart"/>
            <w:noWrap/>
            <w:hideMark/>
          </w:tcPr>
          <w:p w14:paraId="1962BBD8" w14:textId="77777777" w:rsidR="00330C94" w:rsidRPr="008D2F2C" w:rsidRDefault="00330C94" w:rsidP="00330C94">
            <w:pPr>
              <w:jc w:val="both"/>
              <w:rPr>
                <w:rFonts w:cs="Times New Roman"/>
                <w:bCs/>
                <w:sz w:val="24"/>
                <w:szCs w:val="24"/>
              </w:rPr>
            </w:pPr>
            <w:r w:rsidRPr="008D2F2C">
              <w:rPr>
                <w:rFonts w:cs="Times New Roman"/>
                <w:bCs/>
                <w:sz w:val="24"/>
                <w:szCs w:val="24"/>
              </w:rPr>
              <w:t>0.6</w:t>
            </w:r>
          </w:p>
          <w:p w14:paraId="7BCD1BEA" w14:textId="77777777" w:rsidR="00330C94" w:rsidRPr="008D2F2C" w:rsidRDefault="00330C94" w:rsidP="00330C94">
            <w:pPr>
              <w:jc w:val="both"/>
              <w:rPr>
                <w:rFonts w:cs="Times New Roman"/>
                <w:bCs/>
                <w:sz w:val="24"/>
                <w:szCs w:val="24"/>
              </w:rPr>
            </w:pPr>
          </w:p>
        </w:tc>
        <w:tc>
          <w:tcPr>
            <w:tcW w:w="638" w:type="dxa"/>
            <w:vMerge w:val="restart"/>
            <w:noWrap/>
            <w:hideMark/>
          </w:tcPr>
          <w:p w14:paraId="06B4E708" w14:textId="77777777" w:rsidR="00330C94" w:rsidRPr="008D2F2C" w:rsidRDefault="00330C94" w:rsidP="00330C94">
            <w:pPr>
              <w:jc w:val="both"/>
              <w:rPr>
                <w:rFonts w:cs="Times New Roman"/>
                <w:bCs/>
                <w:sz w:val="24"/>
                <w:szCs w:val="24"/>
              </w:rPr>
            </w:pPr>
            <w:r w:rsidRPr="008D2F2C">
              <w:rPr>
                <w:rFonts w:cs="Times New Roman"/>
                <w:bCs/>
                <w:sz w:val="24"/>
                <w:szCs w:val="24"/>
              </w:rPr>
              <w:t>1.0</w:t>
            </w:r>
          </w:p>
        </w:tc>
      </w:tr>
      <w:tr w:rsidR="00330C94" w:rsidRPr="008D2F2C" w14:paraId="6CCFDE81" w14:textId="77777777" w:rsidTr="008D2F2C">
        <w:trPr>
          <w:trHeight w:val="284"/>
        </w:trPr>
        <w:tc>
          <w:tcPr>
            <w:tcW w:w="1492" w:type="dxa"/>
            <w:vMerge/>
            <w:noWrap/>
            <w:hideMark/>
          </w:tcPr>
          <w:p w14:paraId="2CB21953" w14:textId="77777777" w:rsidR="00330C94" w:rsidRPr="008D2F2C" w:rsidRDefault="00330C94" w:rsidP="00330C94">
            <w:pPr>
              <w:jc w:val="both"/>
              <w:rPr>
                <w:rFonts w:cs="Times New Roman"/>
                <w:bCs/>
                <w:sz w:val="24"/>
                <w:szCs w:val="24"/>
              </w:rPr>
            </w:pPr>
          </w:p>
        </w:tc>
        <w:tc>
          <w:tcPr>
            <w:tcW w:w="992" w:type="dxa"/>
            <w:noWrap/>
            <w:hideMark/>
          </w:tcPr>
          <w:p w14:paraId="47824F1B" w14:textId="77777777" w:rsidR="00330C94" w:rsidRPr="008D2F2C" w:rsidRDefault="00330C94" w:rsidP="00330C94">
            <w:pPr>
              <w:jc w:val="both"/>
              <w:rPr>
                <w:rFonts w:cs="Times New Roman"/>
                <w:bCs/>
                <w:sz w:val="24"/>
                <w:szCs w:val="24"/>
              </w:rPr>
            </w:pPr>
            <w:r w:rsidRPr="008D2F2C">
              <w:rPr>
                <w:rFonts w:cs="Times New Roman"/>
                <w:bCs/>
                <w:sz w:val="24"/>
                <w:szCs w:val="24"/>
              </w:rPr>
              <w:t>TT</w:t>
            </w:r>
          </w:p>
        </w:tc>
        <w:tc>
          <w:tcPr>
            <w:tcW w:w="1701" w:type="dxa"/>
            <w:noWrap/>
            <w:hideMark/>
          </w:tcPr>
          <w:p w14:paraId="6D21A35C" w14:textId="77777777" w:rsidR="00330C94" w:rsidRPr="008D2F2C" w:rsidRDefault="00330C94" w:rsidP="00330C94">
            <w:pPr>
              <w:jc w:val="both"/>
              <w:rPr>
                <w:rFonts w:cs="Times New Roman"/>
                <w:bCs/>
                <w:sz w:val="24"/>
                <w:szCs w:val="24"/>
              </w:rPr>
            </w:pPr>
            <w:r w:rsidRPr="008D2F2C">
              <w:rPr>
                <w:rFonts w:cs="Times New Roman"/>
                <w:bCs/>
                <w:sz w:val="24"/>
                <w:szCs w:val="24"/>
              </w:rPr>
              <w:t>29 (55.8 %)</w:t>
            </w:r>
          </w:p>
        </w:tc>
        <w:tc>
          <w:tcPr>
            <w:tcW w:w="1843" w:type="dxa"/>
            <w:noWrap/>
            <w:hideMark/>
          </w:tcPr>
          <w:p w14:paraId="3E84F77C" w14:textId="77777777" w:rsidR="00330C94" w:rsidRPr="008D2F2C" w:rsidRDefault="00330C94" w:rsidP="00330C94">
            <w:pPr>
              <w:jc w:val="both"/>
              <w:rPr>
                <w:rFonts w:cs="Times New Roman"/>
                <w:bCs/>
                <w:sz w:val="24"/>
                <w:szCs w:val="24"/>
              </w:rPr>
            </w:pPr>
            <w:r w:rsidRPr="008D2F2C">
              <w:rPr>
                <w:rFonts w:cs="Times New Roman"/>
                <w:bCs/>
                <w:sz w:val="24"/>
                <w:szCs w:val="24"/>
              </w:rPr>
              <w:t>32 (52.5 %)</w:t>
            </w:r>
          </w:p>
        </w:tc>
        <w:tc>
          <w:tcPr>
            <w:tcW w:w="2097" w:type="dxa"/>
          </w:tcPr>
          <w:p w14:paraId="0E171BA7" w14:textId="77777777" w:rsidR="00330C94" w:rsidRPr="008D2F2C" w:rsidRDefault="00330C94" w:rsidP="00330C94">
            <w:pPr>
              <w:jc w:val="both"/>
              <w:rPr>
                <w:rFonts w:cs="Times New Roman"/>
                <w:bCs/>
                <w:sz w:val="24"/>
                <w:szCs w:val="24"/>
              </w:rPr>
            </w:pPr>
            <w:r w:rsidRPr="008D2F2C">
              <w:rPr>
                <w:rFonts w:cs="Times New Roman"/>
                <w:bCs/>
                <w:sz w:val="24"/>
                <w:szCs w:val="24"/>
              </w:rPr>
              <w:t>8 (42.1%)</w:t>
            </w:r>
          </w:p>
        </w:tc>
        <w:tc>
          <w:tcPr>
            <w:tcW w:w="876" w:type="dxa"/>
            <w:vMerge/>
            <w:noWrap/>
            <w:hideMark/>
          </w:tcPr>
          <w:p w14:paraId="278C93B6" w14:textId="77777777" w:rsidR="00330C94" w:rsidRPr="008D2F2C" w:rsidRDefault="00330C94" w:rsidP="00330C94">
            <w:pPr>
              <w:jc w:val="both"/>
              <w:rPr>
                <w:rFonts w:cs="Times New Roman"/>
                <w:bCs/>
                <w:sz w:val="24"/>
                <w:szCs w:val="24"/>
              </w:rPr>
            </w:pPr>
          </w:p>
        </w:tc>
        <w:tc>
          <w:tcPr>
            <w:tcW w:w="638" w:type="dxa"/>
            <w:vMerge/>
            <w:noWrap/>
            <w:hideMark/>
          </w:tcPr>
          <w:p w14:paraId="570B6FE1" w14:textId="77777777" w:rsidR="00330C94" w:rsidRPr="008D2F2C" w:rsidRDefault="00330C94" w:rsidP="00330C94">
            <w:pPr>
              <w:jc w:val="both"/>
              <w:rPr>
                <w:rFonts w:cs="Times New Roman"/>
                <w:bCs/>
                <w:sz w:val="24"/>
                <w:szCs w:val="24"/>
              </w:rPr>
            </w:pPr>
          </w:p>
        </w:tc>
      </w:tr>
      <w:tr w:rsidR="00330C94" w:rsidRPr="008D2F2C" w14:paraId="42373A86" w14:textId="77777777" w:rsidTr="008D2F2C">
        <w:trPr>
          <w:trHeight w:val="284"/>
        </w:trPr>
        <w:tc>
          <w:tcPr>
            <w:tcW w:w="1492" w:type="dxa"/>
            <w:vMerge w:val="restart"/>
            <w:noWrap/>
          </w:tcPr>
          <w:p w14:paraId="4AF4C802" w14:textId="2A2F40BD" w:rsidR="00330C94" w:rsidRPr="008D2F2C" w:rsidRDefault="00330C94" w:rsidP="00330C94">
            <w:pPr>
              <w:jc w:val="both"/>
              <w:rPr>
                <w:rFonts w:cs="Times New Roman"/>
                <w:bCs/>
                <w:sz w:val="24"/>
                <w:szCs w:val="24"/>
              </w:rPr>
            </w:pPr>
            <w:r w:rsidRPr="008D2F2C">
              <w:rPr>
                <w:rFonts w:cs="Times New Roman"/>
                <w:bCs/>
                <w:sz w:val="24"/>
                <w:szCs w:val="24"/>
                <w:lang w:val="kk-KZ"/>
              </w:rPr>
              <w:t>А</w:t>
            </w:r>
            <w:r w:rsidRPr="008D2F2C">
              <w:rPr>
                <w:rFonts w:cs="Times New Roman"/>
                <w:bCs/>
                <w:sz w:val="24"/>
                <w:szCs w:val="24"/>
              </w:rPr>
              <w:t xml:space="preserve">ллель </w:t>
            </w:r>
          </w:p>
          <w:p w14:paraId="2BA9D204" w14:textId="77777777" w:rsidR="00330C94" w:rsidRPr="008D2F2C" w:rsidRDefault="00330C94" w:rsidP="00330C94">
            <w:pPr>
              <w:jc w:val="both"/>
              <w:rPr>
                <w:rFonts w:cs="Times New Roman"/>
                <w:bCs/>
                <w:sz w:val="24"/>
                <w:szCs w:val="24"/>
              </w:rPr>
            </w:pPr>
          </w:p>
        </w:tc>
        <w:tc>
          <w:tcPr>
            <w:tcW w:w="992" w:type="dxa"/>
            <w:noWrap/>
          </w:tcPr>
          <w:p w14:paraId="2CEA9C66" w14:textId="77777777" w:rsidR="00330C94" w:rsidRPr="008D2F2C" w:rsidRDefault="00330C94" w:rsidP="00330C94">
            <w:pPr>
              <w:jc w:val="both"/>
              <w:rPr>
                <w:rFonts w:cs="Times New Roman"/>
                <w:bCs/>
                <w:sz w:val="24"/>
                <w:szCs w:val="24"/>
              </w:rPr>
            </w:pPr>
            <w:r w:rsidRPr="008D2F2C">
              <w:rPr>
                <w:rFonts w:cs="Times New Roman"/>
                <w:bCs/>
                <w:sz w:val="24"/>
                <w:szCs w:val="24"/>
              </w:rPr>
              <w:t>C</w:t>
            </w:r>
          </w:p>
        </w:tc>
        <w:tc>
          <w:tcPr>
            <w:tcW w:w="1701" w:type="dxa"/>
            <w:noWrap/>
          </w:tcPr>
          <w:p w14:paraId="3F7ED0B1" w14:textId="77777777" w:rsidR="00330C94" w:rsidRPr="008D2F2C" w:rsidRDefault="00330C94" w:rsidP="00330C94">
            <w:pPr>
              <w:jc w:val="both"/>
              <w:rPr>
                <w:rFonts w:cs="Times New Roman"/>
                <w:bCs/>
                <w:sz w:val="24"/>
                <w:szCs w:val="24"/>
              </w:rPr>
            </w:pPr>
            <w:r w:rsidRPr="008D2F2C">
              <w:rPr>
                <w:rFonts w:cs="Times New Roman"/>
                <w:bCs/>
                <w:sz w:val="24"/>
                <w:szCs w:val="24"/>
              </w:rPr>
              <w:t>46 (44.23%)</w:t>
            </w:r>
          </w:p>
        </w:tc>
        <w:tc>
          <w:tcPr>
            <w:tcW w:w="1843" w:type="dxa"/>
            <w:noWrap/>
          </w:tcPr>
          <w:p w14:paraId="7F18F5C2" w14:textId="77777777" w:rsidR="00330C94" w:rsidRPr="008D2F2C" w:rsidRDefault="00330C94" w:rsidP="00330C94">
            <w:pPr>
              <w:jc w:val="both"/>
              <w:rPr>
                <w:rFonts w:cs="Times New Roman"/>
                <w:bCs/>
                <w:sz w:val="24"/>
                <w:szCs w:val="24"/>
              </w:rPr>
            </w:pPr>
            <w:r w:rsidRPr="008D2F2C">
              <w:rPr>
                <w:rFonts w:cs="Times New Roman"/>
                <w:bCs/>
                <w:sz w:val="24"/>
                <w:szCs w:val="24"/>
              </w:rPr>
              <w:t>58 (47.54%)</w:t>
            </w:r>
          </w:p>
        </w:tc>
        <w:tc>
          <w:tcPr>
            <w:tcW w:w="2097" w:type="dxa"/>
          </w:tcPr>
          <w:p w14:paraId="7B98FD0C" w14:textId="77777777" w:rsidR="00330C94" w:rsidRPr="008D2F2C" w:rsidRDefault="00330C94" w:rsidP="00330C94">
            <w:pPr>
              <w:jc w:val="both"/>
              <w:rPr>
                <w:rFonts w:cs="Times New Roman"/>
                <w:bCs/>
                <w:sz w:val="24"/>
                <w:szCs w:val="24"/>
              </w:rPr>
            </w:pPr>
            <w:r w:rsidRPr="008D2F2C">
              <w:rPr>
                <w:rFonts w:cs="Times New Roman"/>
                <w:bCs/>
                <w:sz w:val="24"/>
                <w:szCs w:val="24"/>
              </w:rPr>
              <w:t>22 (57.89%)</w:t>
            </w:r>
          </w:p>
        </w:tc>
        <w:tc>
          <w:tcPr>
            <w:tcW w:w="876" w:type="dxa"/>
            <w:vMerge w:val="restart"/>
            <w:noWrap/>
          </w:tcPr>
          <w:p w14:paraId="3730B304" w14:textId="77777777" w:rsidR="00330C94" w:rsidRPr="008D2F2C" w:rsidRDefault="00330C94" w:rsidP="00330C94">
            <w:pPr>
              <w:jc w:val="both"/>
              <w:rPr>
                <w:rFonts w:cs="Times New Roman"/>
                <w:bCs/>
                <w:sz w:val="24"/>
                <w:szCs w:val="24"/>
              </w:rPr>
            </w:pPr>
            <w:r w:rsidRPr="008D2F2C">
              <w:rPr>
                <w:rFonts w:cs="Times New Roman"/>
                <w:bCs/>
                <w:sz w:val="24"/>
                <w:szCs w:val="24"/>
              </w:rPr>
              <w:t>0.3</w:t>
            </w:r>
          </w:p>
        </w:tc>
        <w:tc>
          <w:tcPr>
            <w:tcW w:w="638" w:type="dxa"/>
            <w:vMerge w:val="restart"/>
            <w:noWrap/>
          </w:tcPr>
          <w:p w14:paraId="62506B74" w14:textId="77777777" w:rsidR="00330C94" w:rsidRPr="008D2F2C" w:rsidRDefault="00330C94" w:rsidP="00330C94">
            <w:pPr>
              <w:jc w:val="both"/>
              <w:rPr>
                <w:rFonts w:cs="Times New Roman"/>
                <w:bCs/>
                <w:sz w:val="24"/>
                <w:szCs w:val="24"/>
              </w:rPr>
            </w:pPr>
            <w:r w:rsidRPr="008D2F2C">
              <w:rPr>
                <w:rFonts w:cs="Times New Roman"/>
                <w:bCs/>
                <w:sz w:val="24"/>
                <w:szCs w:val="24"/>
              </w:rPr>
              <w:t>2.1</w:t>
            </w:r>
          </w:p>
        </w:tc>
      </w:tr>
      <w:tr w:rsidR="00330C94" w:rsidRPr="008D2F2C" w14:paraId="687F6D2A" w14:textId="77777777" w:rsidTr="008D2F2C">
        <w:trPr>
          <w:trHeight w:val="284"/>
        </w:trPr>
        <w:tc>
          <w:tcPr>
            <w:tcW w:w="1492" w:type="dxa"/>
            <w:vMerge/>
            <w:noWrap/>
          </w:tcPr>
          <w:p w14:paraId="5BCD0A68" w14:textId="77777777" w:rsidR="00330C94" w:rsidRPr="008D2F2C" w:rsidRDefault="00330C94" w:rsidP="00330C94">
            <w:pPr>
              <w:jc w:val="both"/>
              <w:rPr>
                <w:rFonts w:cs="Times New Roman"/>
                <w:bCs/>
                <w:sz w:val="24"/>
                <w:szCs w:val="24"/>
              </w:rPr>
            </w:pPr>
          </w:p>
        </w:tc>
        <w:tc>
          <w:tcPr>
            <w:tcW w:w="992" w:type="dxa"/>
            <w:noWrap/>
          </w:tcPr>
          <w:p w14:paraId="64152EEA" w14:textId="77777777" w:rsidR="00330C94" w:rsidRPr="008D2F2C" w:rsidRDefault="00330C94" w:rsidP="00330C94">
            <w:pPr>
              <w:jc w:val="both"/>
              <w:rPr>
                <w:rFonts w:cs="Times New Roman"/>
                <w:bCs/>
                <w:sz w:val="24"/>
                <w:szCs w:val="24"/>
              </w:rPr>
            </w:pPr>
            <w:r w:rsidRPr="008D2F2C">
              <w:rPr>
                <w:rFonts w:cs="Times New Roman"/>
                <w:bCs/>
                <w:sz w:val="24"/>
                <w:szCs w:val="24"/>
              </w:rPr>
              <w:t>T</w:t>
            </w:r>
            <w:r w:rsidRPr="008D2F2C">
              <w:rPr>
                <w:rFonts w:cs="Times New Roman"/>
                <w:bCs/>
                <w:sz w:val="24"/>
                <w:szCs w:val="24"/>
                <w:vertAlign w:val="superscript"/>
              </w:rPr>
              <w:t>*</w:t>
            </w:r>
          </w:p>
        </w:tc>
        <w:tc>
          <w:tcPr>
            <w:tcW w:w="1701" w:type="dxa"/>
            <w:noWrap/>
          </w:tcPr>
          <w:p w14:paraId="1BB5BFDF" w14:textId="77777777" w:rsidR="00330C94" w:rsidRPr="008D2F2C" w:rsidRDefault="00330C94" w:rsidP="00330C94">
            <w:pPr>
              <w:jc w:val="both"/>
              <w:rPr>
                <w:rFonts w:cs="Times New Roman"/>
                <w:bCs/>
                <w:sz w:val="24"/>
                <w:szCs w:val="24"/>
              </w:rPr>
            </w:pPr>
            <w:r w:rsidRPr="008D2F2C">
              <w:rPr>
                <w:rFonts w:cs="Times New Roman"/>
                <w:bCs/>
                <w:sz w:val="24"/>
                <w:szCs w:val="24"/>
              </w:rPr>
              <w:t>58 (55.77%)</w:t>
            </w:r>
          </w:p>
        </w:tc>
        <w:tc>
          <w:tcPr>
            <w:tcW w:w="1843" w:type="dxa"/>
            <w:noWrap/>
          </w:tcPr>
          <w:p w14:paraId="268E80F7" w14:textId="77777777" w:rsidR="00330C94" w:rsidRPr="008D2F2C" w:rsidRDefault="00330C94" w:rsidP="00330C94">
            <w:pPr>
              <w:jc w:val="both"/>
              <w:rPr>
                <w:rFonts w:cs="Times New Roman"/>
                <w:bCs/>
                <w:sz w:val="24"/>
                <w:szCs w:val="24"/>
              </w:rPr>
            </w:pPr>
            <w:r w:rsidRPr="008D2F2C">
              <w:rPr>
                <w:rFonts w:cs="Times New Roman"/>
                <w:bCs/>
                <w:sz w:val="24"/>
                <w:szCs w:val="24"/>
              </w:rPr>
              <w:t>64 (52.46%)</w:t>
            </w:r>
          </w:p>
        </w:tc>
        <w:tc>
          <w:tcPr>
            <w:tcW w:w="2097" w:type="dxa"/>
          </w:tcPr>
          <w:p w14:paraId="43F64AFD" w14:textId="77777777" w:rsidR="00330C94" w:rsidRPr="008D2F2C" w:rsidRDefault="00330C94" w:rsidP="00330C94">
            <w:pPr>
              <w:jc w:val="both"/>
              <w:rPr>
                <w:rFonts w:cs="Times New Roman"/>
                <w:bCs/>
                <w:sz w:val="24"/>
                <w:szCs w:val="24"/>
              </w:rPr>
            </w:pPr>
            <w:r w:rsidRPr="008D2F2C">
              <w:rPr>
                <w:rFonts w:cs="Times New Roman"/>
                <w:bCs/>
                <w:sz w:val="24"/>
                <w:szCs w:val="24"/>
              </w:rPr>
              <w:t>16 (42.11%)</w:t>
            </w:r>
          </w:p>
        </w:tc>
        <w:tc>
          <w:tcPr>
            <w:tcW w:w="876" w:type="dxa"/>
            <w:vMerge/>
            <w:noWrap/>
          </w:tcPr>
          <w:p w14:paraId="5AA79BC8" w14:textId="77777777" w:rsidR="00330C94" w:rsidRPr="008D2F2C" w:rsidRDefault="00330C94" w:rsidP="00330C94">
            <w:pPr>
              <w:jc w:val="both"/>
              <w:rPr>
                <w:rFonts w:cs="Times New Roman"/>
                <w:bCs/>
                <w:sz w:val="24"/>
                <w:szCs w:val="24"/>
              </w:rPr>
            </w:pPr>
          </w:p>
        </w:tc>
        <w:tc>
          <w:tcPr>
            <w:tcW w:w="638" w:type="dxa"/>
            <w:vMerge/>
            <w:noWrap/>
          </w:tcPr>
          <w:p w14:paraId="6B10399F" w14:textId="77777777" w:rsidR="00330C94" w:rsidRPr="008D2F2C" w:rsidRDefault="00330C94" w:rsidP="00330C94">
            <w:pPr>
              <w:jc w:val="both"/>
              <w:rPr>
                <w:rFonts w:cs="Times New Roman"/>
                <w:bCs/>
                <w:sz w:val="24"/>
                <w:szCs w:val="24"/>
              </w:rPr>
            </w:pPr>
          </w:p>
        </w:tc>
      </w:tr>
      <w:tr w:rsidR="00330C94" w:rsidRPr="008D2F2C" w14:paraId="3D52FC5F" w14:textId="77777777" w:rsidTr="008D2F2C">
        <w:trPr>
          <w:trHeight w:val="284"/>
        </w:trPr>
        <w:tc>
          <w:tcPr>
            <w:tcW w:w="9639" w:type="dxa"/>
            <w:gridSpan w:val="7"/>
            <w:noWrap/>
            <w:hideMark/>
          </w:tcPr>
          <w:p w14:paraId="7B8BCD61" w14:textId="77777777" w:rsidR="00330C94" w:rsidRPr="008D2F2C" w:rsidRDefault="00330C94" w:rsidP="00330C94">
            <w:pPr>
              <w:jc w:val="both"/>
              <w:rPr>
                <w:rFonts w:cs="Times New Roman"/>
                <w:bCs/>
                <w:sz w:val="24"/>
                <w:szCs w:val="24"/>
              </w:rPr>
            </w:pPr>
            <w:r w:rsidRPr="008D2F2C">
              <w:rPr>
                <w:rFonts w:cs="Times New Roman"/>
                <w:bCs/>
                <w:sz w:val="24"/>
                <w:szCs w:val="24"/>
              </w:rPr>
              <w:t>rs7570267 /IL1F10</w:t>
            </w:r>
          </w:p>
        </w:tc>
      </w:tr>
      <w:tr w:rsidR="00330C94" w:rsidRPr="008D2F2C" w14:paraId="2F44D630" w14:textId="77777777" w:rsidTr="008D2F2C">
        <w:trPr>
          <w:trHeight w:val="284"/>
        </w:trPr>
        <w:tc>
          <w:tcPr>
            <w:tcW w:w="1492" w:type="dxa"/>
            <w:vMerge w:val="restart"/>
            <w:noWrap/>
            <w:hideMark/>
          </w:tcPr>
          <w:p w14:paraId="67D66373" w14:textId="5B66F5D3" w:rsidR="00330C94" w:rsidRPr="008D2F2C" w:rsidRDefault="00330C94" w:rsidP="00330C94">
            <w:pPr>
              <w:jc w:val="both"/>
              <w:rPr>
                <w:rFonts w:cs="Times New Roman"/>
                <w:bCs/>
                <w:sz w:val="24"/>
                <w:szCs w:val="24"/>
              </w:rPr>
            </w:pPr>
            <w:r w:rsidRPr="008D2F2C">
              <w:rPr>
                <w:rFonts w:cs="Times New Roman"/>
                <w:bCs/>
                <w:sz w:val="24"/>
                <w:szCs w:val="24"/>
              </w:rPr>
              <w:t xml:space="preserve">Генотип </w:t>
            </w:r>
          </w:p>
          <w:p w14:paraId="26B22F63" w14:textId="77777777" w:rsidR="00330C94" w:rsidRPr="008D2F2C" w:rsidRDefault="00330C94" w:rsidP="00330C94">
            <w:pPr>
              <w:jc w:val="both"/>
              <w:rPr>
                <w:rFonts w:cs="Times New Roman"/>
                <w:bCs/>
                <w:sz w:val="24"/>
                <w:szCs w:val="24"/>
              </w:rPr>
            </w:pPr>
          </w:p>
          <w:p w14:paraId="1CD09F11" w14:textId="77777777" w:rsidR="00330C94" w:rsidRPr="008D2F2C" w:rsidRDefault="00330C94" w:rsidP="00330C94">
            <w:pPr>
              <w:jc w:val="both"/>
              <w:rPr>
                <w:rFonts w:cs="Times New Roman"/>
                <w:bCs/>
                <w:sz w:val="24"/>
                <w:szCs w:val="24"/>
              </w:rPr>
            </w:pPr>
          </w:p>
        </w:tc>
        <w:tc>
          <w:tcPr>
            <w:tcW w:w="992" w:type="dxa"/>
            <w:noWrap/>
            <w:hideMark/>
          </w:tcPr>
          <w:p w14:paraId="0A730833" w14:textId="77777777" w:rsidR="00330C94" w:rsidRPr="008D2F2C" w:rsidRDefault="00330C94" w:rsidP="00330C94">
            <w:pPr>
              <w:jc w:val="both"/>
              <w:rPr>
                <w:rFonts w:cs="Times New Roman"/>
                <w:bCs/>
                <w:sz w:val="24"/>
                <w:szCs w:val="24"/>
              </w:rPr>
            </w:pPr>
            <w:r w:rsidRPr="008D2F2C">
              <w:rPr>
                <w:rFonts w:cs="Times New Roman"/>
                <w:bCs/>
                <w:sz w:val="24"/>
                <w:szCs w:val="24"/>
              </w:rPr>
              <w:t>AA</w:t>
            </w:r>
          </w:p>
        </w:tc>
        <w:tc>
          <w:tcPr>
            <w:tcW w:w="1701" w:type="dxa"/>
            <w:noWrap/>
            <w:hideMark/>
          </w:tcPr>
          <w:p w14:paraId="7A0E48C4" w14:textId="77777777" w:rsidR="00330C94" w:rsidRPr="008D2F2C" w:rsidRDefault="00330C94" w:rsidP="00330C94">
            <w:pPr>
              <w:jc w:val="both"/>
              <w:rPr>
                <w:rFonts w:cs="Times New Roman"/>
                <w:bCs/>
                <w:sz w:val="24"/>
                <w:szCs w:val="24"/>
              </w:rPr>
            </w:pPr>
            <w:r w:rsidRPr="008D2F2C">
              <w:rPr>
                <w:rFonts w:cs="Times New Roman"/>
                <w:bCs/>
                <w:sz w:val="24"/>
                <w:szCs w:val="24"/>
              </w:rPr>
              <w:t>16 (30.8%)</w:t>
            </w:r>
          </w:p>
        </w:tc>
        <w:tc>
          <w:tcPr>
            <w:tcW w:w="1843" w:type="dxa"/>
            <w:noWrap/>
            <w:hideMark/>
          </w:tcPr>
          <w:p w14:paraId="110A88E8" w14:textId="77777777" w:rsidR="00330C94" w:rsidRPr="008D2F2C" w:rsidRDefault="00330C94" w:rsidP="00330C94">
            <w:pPr>
              <w:jc w:val="both"/>
              <w:rPr>
                <w:rFonts w:cs="Times New Roman"/>
                <w:bCs/>
                <w:sz w:val="24"/>
                <w:szCs w:val="24"/>
              </w:rPr>
            </w:pPr>
            <w:r w:rsidRPr="008D2F2C">
              <w:rPr>
                <w:rFonts w:cs="Times New Roman"/>
                <w:bCs/>
                <w:sz w:val="24"/>
                <w:szCs w:val="24"/>
              </w:rPr>
              <w:t>26 (42.6%)</w:t>
            </w:r>
          </w:p>
        </w:tc>
        <w:tc>
          <w:tcPr>
            <w:tcW w:w="2097" w:type="dxa"/>
          </w:tcPr>
          <w:p w14:paraId="5C32EFF1" w14:textId="77777777" w:rsidR="00330C94" w:rsidRPr="008D2F2C" w:rsidRDefault="00330C94" w:rsidP="00330C94">
            <w:pPr>
              <w:jc w:val="both"/>
              <w:rPr>
                <w:rFonts w:cs="Times New Roman"/>
                <w:bCs/>
                <w:sz w:val="24"/>
                <w:szCs w:val="24"/>
              </w:rPr>
            </w:pPr>
            <w:r w:rsidRPr="008D2F2C">
              <w:rPr>
                <w:rFonts w:cs="Times New Roman"/>
                <w:bCs/>
                <w:sz w:val="24"/>
                <w:szCs w:val="24"/>
              </w:rPr>
              <w:t>8 (42.1%)</w:t>
            </w:r>
          </w:p>
        </w:tc>
        <w:tc>
          <w:tcPr>
            <w:tcW w:w="876" w:type="dxa"/>
            <w:vMerge w:val="restart"/>
            <w:noWrap/>
          </w:tcPr>
          <w:p w14:paraId="292BCB37" w14:textId="77777777" w:rsidR="00330C94" w:rsidRPr="008D2F2C" w:rsidRDefault="00330C94" w:rsidP="00330C94">
            <w:pPr>
              <w:jc w:val="both"/>
              <w:rPr>
                <w:rFonts w:cs="Times New Roman"/>
                <w:bCs/>
                <w:sz w:val="24"/>
                <w:szCs w:val="24"/>
              </w:rPr>
            </w:pPr>
            <w:r w:rsidRPr="008D2F2C">
              <w:rPr>
                <w:rFonts w:cs="Times New Roman"/>
                <w:bCs/>
                <w:sz w:val="24"/>
                <w:szCs w:val="24"/>
              </w:rPr>
              <w:t>0.008*</w:t>
            </w:r>
          </w:p>
        </w:tc>
        <w:tc>
          <w:tcPr>
            <w:tcW w:w="638" w:type="dxa"/>
            <w:vMerge w:val="restart"/>
            <w:noWrap/>
            <w:hideMark/>
          </w:tcPr>
          <w:p w14:paraId="101FCE95" w14:textId="77777777" w:rsidR="00330C94" w:rsidRPr="008D2F2C" w:rsidRDefault="00330C94" w:rsidP="00330C94">
            <w:pPr>
              <w:jc w:val="both"/>
              <w:rPr>
                <w:rFonts w:cs="Times New Roman"/>
                <w:bCs/>
                <w:sz w:val="24"/>
                <w:szCs w:val="24"/>
              </w:rPr>
            </w:pPr>
            <w:r w:rsidRPr="008D2F2C">
              <w:rPr>
                <w:rFonts w:cs="Times New Roman"/>
                <w:bCs/>
                <w:sz w:val="24"/>
                <w:szCs w:val="24"/>
              </w:rPr>
              <w:t>13.9</w:t>
            </w:r>
          </w:p>
        </w:tc>
      </w:tr>
      <w:tr w:rsidR="00330C94" w:rsidRPr="008D2F2C" w14:paraId="1BCF3B2C" w14:textId="77777777" w:rsidTr="008D2F2C">
        <w:trPr>
          <w:trHeight w:val="284"/>
        </w:trPr>
        <w:tc>
          <w:tcPr>
            <w:tcW w:w="1492" w:type="dxa"/>
            <w:vMerge/>
            <w:noWrap/>
            <w:hideMark/>
          </w:tcPr>
          <w:p w14:paraId="7ED9C1C8" w14:textId="77777777" w:rsidR="00330C94" w:rsidRPr="008D2F2C" w:rsidRDefault="00330C94" w:rsidP="00330C94">
            <w:pPr>
              <w:jc w:val="both"/>
              <w:rPr>
                <w:rFonts w:cs="Times New Roman"/>
                <w:bCs/>
                <w:sz w:val="24"/>
                <w:szCs w:val="24"/>
              </w:rPr>
            </w:pPr>
          </w:p>
        </w:tc>
        <w:tc>
          <w:tcPr>
            <w:tcW w:w="992" w:type="dxa"/>
            <w:noWrap/>
          </w:tcPr>
          <w:p w14:paraId="02EC0767" w14:textId="77777777" w:rsidR="00330C94" w:rsidRPr="008D2F2C" w:rsidRDefault="00330C94" w:rsidP="00330C94">
            <w:pPr>
              <w:jc w:val="both"/>
              <w:rPr>
                <w:rFonts w:cs="Times New Roman"/>
                <w:bCs/>
                <w:sz w:val="24"/>
                <w:szCs w:val="24"/>
              </w:rPr>
            </w:pPr>
            <w:r w:rsidRPr="008D2F2C">
              <w:rPr>
                <w:rFonts w:cs="Times New Roman"/>
                <w:bCs/>
                <w:sz w:val="24"/>
                <w:szCs w:val="24"/>
              </w:rPr>
              <w:t>AG</w:t>
            </w:r>
          </w:p>
        </w:tc>
        <w:tc>
          <w:tcPr>
            <w:tcW w:w="1701" w:type="dxa"/>
            <w:noWrap/>
          </w:tcPr>
          <w:p w14:paraId="33E4A38E" w14:textId="77777777" w:rsidR="00330C94" w:rsidRPr="008D2F2C" w:rsidRDefault="00330C94" w:rsidP="00330C94">
            <w:pPr>
              <w:jc w:val="both"/>
              <w:rPr>
                <w:rFonts w:cs="Times New Roman"/>
                <w:bCs/>
                <w:sz w:val="24"/>
                <w:szCs w:val="24"/>
              </w:rPr>
            </w:pPr>
            <w:r w:rsidRPr="008D2F2C">
              <w:rPr>
                <w:rFonts w:cs="Times New Roman"/>
                <w:bCs/>
                <w:sz w:val="24"/>
                <w:szCs w:val="24"/>
              </w:rPr>
              <w:t>22 (42.3%)</w:t>
            </w:r>
          </w:p>
        </w:tc>
        <w:tc>
          <w:tcPr>
            <w:tcW w:w="1843" w:type="dxa"/>
            <w:noWrap/>
          </w:tcPr>
          <w:p w14:paraId="65634DB6" w14:textId="77777777" w:rsidR="00330C94" w:rsidRPr="008D2F2C" w:rsidRDefault="00330C94" w:rsidP="00330C94">
            <w:pPr>
              <w:jc w:val="both"/>
              <w:rPr>
                <w:rFonts w:cs="Times New Roman"/>
                <w:bCs/>
                <w:sz w:val="24"/>
                <w:szCs w:val="24"/>
              </w:rPr>
            </w:pPr>
            <w:r w:rsidRPr="008D2F2C">
              <w:rPr>
                <w:rFonts w:cs="Times New Roman"/>
                <w:bCs/>
                <w:sz w:val="24"/>
                <w:szCs w:val="24"/>
              </w:rPr>
              <w:t>11 (18%)</w:t>
            </w:r>
          </w:p>
        </w:tc>
        <w:tc>
          <w:tcPr>
            <w:tcW w:w="2097" w:type="dxa"/>
          </w:tcPr>
          <w:p w14:paraId="2DA928C4" w14:textId="77777777" w:rsidR="00330C94" w:rsidRPr="008D2F2C" w:rsidRDefault="00330C94" w:rsidP="00330C94">
            <w:pPr>
              <w:jc w:val="both"/>
              <w:rPr>
                <w:rFonts w:cs="Times New Roman"/>
                <w:bCs/>
                <w:sz w:val="24"/>
                <w:szCs w:val="24"/>
              </w:rPr>
            </w:pPr>
            <w:r w:rsidRPr="008D2F2C">
              <w:rPr>
                <w:rFonts w:cs="Times New Roman"/>
                <w:bCs/>
                <w:sz w:val="24"/>
                <w:szCs w:val="24"/>
              </w:rPr>
              <w:t>1 (5.3%)</w:t>
            </w:r>
          </w:p>
        </w:tc>
        <w:tc>
          <w:tcPr>
            <w:tcW w:w="876" w:type="dxa"/>
            <w:vMerge/>
            <w:noWrap/>
          </w:tcPr>
          <w:p w14:paraId="4D8DC563" w14:textId="77777777" w:rsidR="00330C94" w:rsidRPr="008D2F2C" w:rsidRDefault="00330C94" w:rsidP="00330C94">
            <w:pPr>
              <w:jc w:val="both"/>
              <w:rPr>
                <w:rFonts w:cs="Times New Roman"/>
                <w:bCs/>
                <w:sz w:val="24"/>
                <w:szCs w:val="24"/>
              </w:rPr>
            </w:pPr>
          </w:p>
        </w:tc>
        <w:tc>
          <w:tcPr>
            <w:tcW w:w="638" w:type="dxa"/>
            <w:vMerge/>
            <w:noWrap/>
          </w:tcPr>
          <w:p w14:paraId="52DA4D2B" w14:textId="77777777" w:rsidR="00330C94" w:rsidRPr="008D2F2C" w:rsidRDefault="00330C94" w:rsidP="00330C94">
            <w:pPr>
              <w:jc w:val="both"/>
              <w:rPr>
                <w:rFonts w:cs="Times New Roman"/>
                <w:bCs/>
                <w:sz w:val="24"/>
                <w:szCs w:val="24"/>
              </w:rPr>
            </w:pPr>
          </w:p>
        </w:tc>
      </w:tr>
      <w:tr w:rsidR="00330C94" w:rsidRPr="008D2F2C" w14:paraId="5F95569C" w14:textId="77777777" w:rsidTr="008D2F2C">
        <w:trPr>
          <w:trHeight w:val="284"/>
        </w:trPr>
        <w:tc>
          <w:tcPr>
            <w:tcW w:w="1492" w:type="dxa"/>
            <w:vMerge/>
            <w:noWrap/>
          </w:tcPr>
          <w:p w14:paraId="781DC493" w14:textId="77777777" w:rsidR="00330C94" w:rsidRPr="008D2F2C" w:rsidRDefault="00330C94" w:rsidP="00330C94">
            <w:pPr>
              <w:jc w:val="both"/>
              <w:rPr>
                <w:rFonts w:cs="Times New Roman"/>
                <w:bCs/>
                <w:sz w:val="24"/>
                <w:szCs w:val="24"/>
              </w:rPr>
            </w:pPr>
          </w:p>
        </w:tc>
        <w:tc>
          <w:tcPr>
            <w:tcW w:w="992" w:type="dxa"/>
            <w:noWrap/>
          </w:tcPr>
          <w:p w14:paraId="290B2115" w14:textId="77777777" w:rsidR="00330C94" w:rsidRPr="008D2F2C" w:rsidRDefault="00330C94" w:rsidP="00330C94">
            <w:pPr>
              <w:jc w:val="both"/>
              <w:rPr>
                <w:rFonts w:cs="Times New Roman"/>
                <w:bCs/>
                <w:sz w:val="24"/>
                <w:szCs w:val="24"/>
              </w:rPr>
            </w:pPr>
            <w:r w:rsidRPr="008D2F2C">
              <w:rPr>
                <w:rFonts w:cs="Times New Roman"/>
                <w:bCs/>
                <w:sz w:val="24"/>
                <w:szCs w:val="24"/>
              </w:rPr>
              <w:t>GG</w:t>
            </w:r>
          </w:p>
        </w:tc>
        <w:tc>
          <w:tcPr>
            <w:tcW w:w="1701" w:type="dxa"/>
            <w:noWrap/>
          </w:tcPr>
          <w:p w14:paraId="2B00E8D7" w14:textId="77777777" w:rsidR="00330C94" w:rsidRPr="008D2F2C" w:rsidRDefault="00330C94" w:rsidP="00330C94">
            <w:pPr>
              <w:jc w:val="both"/>
              <w:rPr>
                <w:rFonts w:cs="Times New Roman"/>
                <w:bCs/>
                <w:sz w:val="24"/>
                <w:szCs w:val="24"/>
              </w:rPr>
            </w:pPr>
            <w:r w:rsidRPr="008D2F2C">
              <w:rPr>
                <w:rFonts w:cs="Times New Roman"/>
                <w:bCs/>
                <w:sz w:val="24"/>
                <w:szCs w:val="24"/>
              </w:rPr>
              <w:t>14 (26.9%)</w:t>
            </w:r>
          </w:p>
        </w:tc>
        <w:tc>
          <w:tcPr>
            <w:tcW w:w="1843" w:type="dxa"/>
            <w:noWrap/>
          </w:tcPr>
          <w:p w14:paraId="5CF13B26" w14:textId="77777777" w:rsidR="00330C94" w:rsidRPr="008D2F2C" w:rsidRDefault="00330C94" w:rsidP="00330C94">
            <w:pPr>
              <w:jc w:val="both"/>
              <w:rPr>
                <w:rFonts w:cs="Times New Roman"/>
                <w:bCs/>
                <w:sz w:val="24"/>
                <w:szCs w:val="24"/>
              </w:rPr>
            </w:pPr>
            <w:r w:rsidRPr="008D2F2C">
              <w:rPr>
                <w:rFonts w:cs="Times New Roman"/>
                <w:bCs/>
                <w:sz w:val="24"/>
                <w:szCs w:val="24"/>
              </w:rPr>
              <w:t>24 (39.3 %)</w:t>
            </w:r>
          </w:p>
        </w:tc>
        <w:tc>
          <w:tcPr>
            <w:tcW w:w="2097" w:type="dxa"/>
          </w:tcPr>
          <w:p w14:paraId="2D76FFBE" w14:textId="77777777" w:rsidR="00330C94" w:rsidRPr="008D2F2C" w:rsidRDefault="00330C94" w:rsidP="00330C94">
            <w:pPr>
              <w:jc w:val="both"/>
              <w:rPr>
                <w:rFonts w:cs="Times New Roman"/>
                <w:bCs/>
                <w:sz w:val="24"/>
                <w:szCs w:val="24"/>
              </w:rPr>
            </w:pPr>
            <w:r w:rsidRPr="008D2F2C">
              <w:rPr>
                <w:rFonts w:cs="Times New Roman"/>
                <w:bCs/>
                <w:sz w:val="24"/>
                <w:szCs w:val="24"/>
              </w:rPr>
              <w:t>10 (52.6%)</w:t>
            </w:r>
          </w:p>
        </w:tc>
        <w:tc>
          <w:tcPr>
            <w:tcW w:w="876" w:type="dxa"/>
            <w:vMerge/>
            <w:noWrap/>
          </w:tcPr>
          <w:p w14:paraId="493DD4D2" w14:textId="77777777" w:rsidR="00330C94" w:rsidRPr="008D2F2C" w:rsidRDefault="00330C94" w:rsidP="00330C94">
            <w:pPr>
              <w:jc w:val="both"/>
              <w:rPr>
                <w:rFonts w:cs="Times New Roman"/>
                <w:bCs/>
                <w:sz w:val="24"/>
                <w:szCs w:val="24"/>
              </w:rPr>
            </w:pPr>
          </w:p>
        </w:tc>
        <w:tc>
          <w:tcPr>
            <w:tcW w:w="638" w:type="dxa"/>
            <w:vMerge/>
            <w:noWrap/>
          </w:tcPr>
          <w:p w14:paraId="641A49FD" w14:textId="77777777" w:rsidR="00330C94" w:rsidRPr="008D2F2C" w:rsidRDefault="00330C94" w:rsidP="00330C94">
            <w:pPr>
              <w:jc w:val="both"/>
              <w:rPr>
                <w:rFonts w:cs="Times New Roman"/>
                <w:bCs/>
                <w:sz w:val="24"/>
                <w:szCs w:val="24"/>
              </w:rPr>
            </w:pPr>
          </w:p>
        </w:tc>
      </w:tr>
      <w:tr w:rsidR="00330C94" w:rsidRPr="008D2F2C" w14:paraId="14780E0B" w14:textId="77777777" w:rsidTr="008D2F2C">
        <w:trPr>
          <w:trHeight w:val="284"/>
        </w:trPr>
        <w:tc>
          <w:tcPr>
            <w:tcW w:w="1492" w:type="dxa"/>
            <w:vMerge w:val="restart"/>
            <w:noWrap/>
          </w:tcPr>
          <w:p w14:paraId="7F28877E" w14:textId="34A192AF" w:rsidR="00330C94" w:rsidRPr="008D2F2C" w:rsidRDefault="00330C94" w:rsidP="00330C94">
            <w:pPr>
              <w:jc w:val="both"/>
              <w:rPr>
                <w:rFonts w:cs="Times New Roman"/>
                <w:bCs/>
                <w:sz w:val="24"/>
                <w:szCs w:val="24"/>
              </w:rPr>
            </w:pPr>
            <w:r w:rsidRPr="008D2F2C">
              <w:rPr>
                <w:rFonts w:cs="Times New Roman"/>
                <w:bCs/>
                <w:sz w:val="24"/>
                <w:szCs w:val="24"/>
              </w:rPr>
              <w:t>Рецессивная модель</w:t>
            </w:r>
          </w:p>
        </w:tc>
        <w:tc>
          <w:tcPr>
            <w:tcW w:w="992" w:type="dxa"/>
            <w:noWrap/>
          </w:tcPr>
          <w:p w14:paraId="50E2F165" w14:textId="77777777" w:rsidR="00330C94" w:rsidRPr="008D2F2C" w:rsidRDefault="00330C94" w:rsidP="00330C94">
            <w:pPr>
              <w:jc w:val="both"/>
              <w:rPr>
                <w:rFonts w:cs="Times New Roman"/>
                <w:bCs/>
                <w:sz w:val="24"/>
                <w:szCs w:val="24"/>
              </w:rPr>
            </w:pPr>
            <w:r w:rsidRPr="008D2F2C">
              <w:rPr>
                <w:rFonts w:cs="Times New Roman"/>
                <w:bCs/>
                <w:sz w:val="24"/>
                <w:szCs w:val="24"/>
              </w:rPr>
              <w:t>AA</w:t>
            </w:r>
          </w:p>
        </w:tc>
        <w:tc>
          <w:tcPr>
            <w:tcW w:w="1701" w:type="dxa"/>
            <w:noWrap/>
          </w:tcPr>
          <w:p w14:paraId="2D539CDD" w14:textId="77777777" w:rsidR="00330C94" w:rsidRPr="008D2F2C" w:rsidRDefault="00330C94" w:rsidP="00330C94">
            <w:pPr>
              <w:jc w:val="both"/>
              <w:rPr>
                <w:rFonts w:cs="Times New Roman"/>
                <w:bCs/>
                <w:sz w:val="24"/>
                <w:szCs w:val="24"/>
              </w:rPr>
            </w:pPr>
            <w:r w:rsidRPr="008D2F2C">
              <w:rPr>
                <w:rFonts w:cs="Times New Roman"/>
                <w:bCs/>
                <w:sz w:val="24"/>
                <w:szCs w:val="24"/>
              </w:rPr>
              <w:t>16 (30.8%)</w:t>
            </w:r>
          </w:p>
        </w:tc>
        <w:tc>
          <w:tcPr>
            <w:tcW w:w="1843" w:type="dxa"/>
            <w:noWrap/>
          </w:tcPr>
          <w:p w14:paraId="7BB596B5" w14:textId="77777777" w:rsidR="00330C94" w:rsidRPr="008D2F2C" w:rsidRDefault="00330C94" w:rsidP="00330C94">
            <w:pPr>
              <w:jc w:val="both"/>
              <w:rPr>
                <w:rFonts w:cs="Times New Roman"/>
                <w:bCs/>
                <w:sz w:val="24"/>
                <w:szCs w:val="24"/>
              </w:rPr>
            </w:pPr>
            <w:r w:rsidRPr="008D2F2C">
              <w:rPr>
                <w:rFonts w:cs="Times New Roman"/>
                <w:bCs/>
                <w:sz w:val="24"/>
                <w:szCs w:val="24"/>
              </w:rPr>
              <w:t>26 (42.6 %)</w:t>
            </w:r>
          </w:p>
        </w:tc>
        <w:tc>
          <w:tcPr>
            <w:tcW w:w="2097" w:type="dxa"/>
          </w:tcPr>
          <w:p w14:paraId="0063A873" w14:textId="77777777" w:rsidR="00330C94" w:rsidRPr="008D2F2C" w:rsidRDefault="00330C94" w:rsidP="00330C94">
            <w:pPr>
              <w:jc w:val="both"/>
              <w:rPr>
                <w:rFonts w:cs="Times New Roman"/>
                <w:bCs/>
                <w:sz w:val="24"/>
                <w:szCs w:val="24"/>
              </w:rPr>
            </w:pPr>
            <w:r w:rsidRPr="008D2F2C">
              <w:rPr>
                <w:rFonts w:cs="Times New Roman"/>
                <w:bCs/>
                <w:sz w:val="24"/>
                <w:szCs w:val="24"/>
              </w:rPr>
              <w:t>8 (42.1%)</w:t>
            </w:r>
          </w:p>
        </w:tc>
        <w:tc>
          <w:tcPr>
            <w:tcW w:w="876" w:type="dxa"/>
            <w:vMerge w:val="restart"/>
            <w:noWrap/>
          </w:tcPr>
          <w:p w14:paraId="0A41FFA6" w14:textId="77777777" w:rsidR="00330C94" w:rsidRPr="008D2F2C" w:rsidRDefault="00330C94" w:rsidP="00330C94">
            <w:pPr>
              <w:jc w:val="both"/>
              <w:rPr>
                <w:rFonts w:cs="Times New Roman"/>
                <w:bCs/>
                <w:sz w:val="24"/>
                <w:szCs w:val="24"/>
              </w:rPr>
            </w:pPr>
            <w:r w:rsidRPr="008D2F2C">
              <w:rPr>
                <w:rFonts w:cs="Times New Roman"/>
                <w:bCs/>
                <w:sz w:val="24"/>
                <w:szCs w:val="24"/>
              </w:rPr>
              <w:t>0.4</w:t>
            </w:r>
          </w:p>
        </w:tc>
        <w:tc>
          <w:tcPr>
            <w:tcW w:w="638" w:type="dxa"/>
            <w:vMerge w:val="restart"/>
            <w:noWrap/>
          </w:tcPr>
          <w:p w14:paraId="20F93BCE" w14:textId="77777777" w:rsidR="00330C94" w:rsidRPr="008D2F2C" w:rsidRDefault="00330C94" w:rsidP="00330C94">
            <w:pPr>
              <w:jc w:val="both"/>
              <w:rPr>
                <w:rFonts w:cs="Times New Roman"/>
                <w:bCs/>
                <w:sz w:val="24"/>
                <w:szCs w:val="24"/>
              </w:rPr>
            </w:pPr>
            <w:r w:rsidRPr="008D2F2C">
              <w:rPr>
                <w:rFonts w:cs="Times New Roman"/>
                <w:bCs/>
                <w:sz w:val="24"/>
                <w:szCs w:val="24"/>
              </w:rPr>
              <w:t>1.84</w:t>
            </w:r>
          </w:p>
        </w:tc>
      </w:tr>
      <w:tr w:rsidR="00330C94" w:rsidRPr="008D2F2C" w14:paraId="5BA92BC9" w14:textId="77777777" w:rsidTr="008D2F2C">
        <w:trPr>
          <w:trHeight w:val="284"/>
        </w:trPr>
        <w:tc>
          <w:tcPr>
            <w:tcW w:w="1492" w:type="dxa"/>
            <w:vMerge/>
            <w:noWrap/>
            <w:hideMark/>
          </w:tcPr>
          <w:p w14:paraId="5CBF79C6" w14:textId="77777777" w:rsidR="00330C94" w:rsidRPr="008D2F2C" w:rsidRDefault="00330C94" w:rsidP="00330C94">
            <w:pPr>
              <w:jc w:val="both"/>
              <w:rPr>
                <w:rFonts w:cs="Times New Roman"/>
                <w:bCs/>
                <w:sz w:val="24"/>
                <w:szCs w:val="24"/>
              </w:rPr>
            </w:pPr>
          </w:p>
        </w:tc>
        <w:tc>
          <w:tcPr>
            <w:tcW w:w="992" w:type="dxa"/>
            <w:noWrap/>
          </w:tcPr>
          <w:p w14:paraId="38AF84D9" w14:textId="77777777" w:rsidR="00330C94" w:rsidRPr="008D2F2C" w:rsidRDefault="00330C94" w:rsidP="00330C94">
            <w:pPr>
              <w:jc w:val="both"/>
              <w:rPr>
                <w:rFonts w:cs="Times New Roman"/>
                <w:bCs/>
                <w:sz w:val="24"/>
                <w:szCs w:val="24"/>
              </w:rPr>
            </w:pPr>
            <w:r w:rsidRPr="008D2F2C">
              <w:rPr>
                <w:rFonts w:cs="Times New Roman"/>
                <w:bCs/>
                <w:sz w:val="24"/>
                <w:szCs w:val="24"/>
              </w:rPr>
              <w:t>GG+ AG</w:t>
            </w:r>
          </w:p>
        </w:tc>
        <w:tc>
          <w:tcPr>
            <w:tcW w:w="1701" w:type="dxa"/>
            <w:noWrap/>
          </w:tcPr>
          <w:p w14:paraId="408847E2" w14:textId="77777777" w:rsidR="00330C94" w:rsidRPr="008D2F2C" w:rsidRDefault="00330C94" w:rsidP="00330C94">
            <w:pPr>
              <w:jc w:val="both"/>
              <w:rPr>
                <w:rFonts w:cs="Times New Roman"/>
                <w:bCs/>
                <w:sz w:val="24"/>
                <w:szCs w:val="24"/>
              </w:rPr>
            </w:pPr>
            <w:r w:rsidRPr="008D2F2C">
              <w:rPr>
                <w:rFonts w:cs="Times New Roman"/>
                <w:bCs/>
                <w:sz w:val="24"/>
                <w:szCs w:val="24"/>
              </w:rPr>
              <w:t>36 (69.2%)</w:t>
            </w:r>
          </w:p>
        </w:tc>
        <w:tc>
          <w:tcPr>
            <w:tcW w:w="1843" w:type="dxa"/>
            <w:noWrap/>
          </w:tcPr>
          <w:p w14:paraId="473A74C7" w14:textId="77777777" w:rsidR="00330C94" w:rsidRPr="008D2F2C" w:rsidRDefault="00330C94" w:rsidP="00330C94">
            <w:pPr>
              <w:jc w:val="both"/>
              <w:rPr>
                <w:rFonts w:cs="Times New Roman"/>
                <w:bCs/>
                <w:sz w:val="24"/>
                <w:szCs w:val="24"/>
              </w:rPr>
            </w:pPr>
            <w:r w:rsidRPr="008D2F2C">
              <w:rPr>
                <w:rFonts w:cs="Times New Roman"/>
                <w:bCs/>
                <w:sz w:val="24"/>
                <w:szCs w:val="24"/>
              </w:rPr>
              <w:t>35 (57.4%)</w:t>
            </w:r>
          </w:p>
        </w:tc>
        <w:tc>
          <w:tcPr>
            <w:tcW w:w="2097" w:type="dxa"/>
          </w:tcPr>
          <w:p w14:paraId="289EE1AB" w14:textId="77777777" w:rsidR="00330C94" w:rsidRPr="008D2F2C" w:rsidRDefault="00330C94" w:rsidP="00330C94">
            <w:pPr>
              <w:jc w:val="both"/>
              <w:rPr>
                <w:rFonts w:cs="Times New Roman"/>
                <w:bCs/>
                <w:sz w:val="24"/>
                <w:szCs w:val="24"/>
              </w:rPr>
            </w:pPr>
            <w:r w:rsidRPr="008D2F2C">
              <w:rPr>
                <w:rFonts w:cs="Times New Roman"/>
                <w:bCs/>
                <w:sz w:val="24"/>
                <w:szCs w:val="24"/>
              </w:rPr>
              <w:t>11 (57.9%)</w:t>
            </w:r>
          </w:p>
        </w:tc>
        <w:tc>
          <w:tcPr>
            <w:tcW w:w="876" w:type="dxa"/>
            <w:vMerge/>
            <w:noWrap/>
          </w:tcPr>
          <w:p w14:paraId="72441BC2" w14:textId="77777777" w:rsidR="00330C94" w:rsidRPr="008D2F2C" w:rsidRDefault="00330C94" w:rsidP="00330C94">
            <w:pPr>
              <w:jc w:val="both"/>
              <w:rPr>
                <w:rFonts w:cs="Times New Roman"/>
                <w:bCs/>
                <w:sz w:val="24"/>
                <w:szCs w:val="24"/>
              </w:rPr>
            </w:pPr>
          </w:p>
        </w:tc>
        <w:tc>
          <w:tcPr>
            <w:tcW w:w="638" w:type="dxa"/>
            <w:vMerge/>
            <w:noWrap/>
          </w:tcPr>
          <w:p w14:paraId="39E9DBFC" w14:textId="77777777" w:rsidR="00330C94" w:rsidRPr="008D2F2C" w:rsidRDefault="00330C94" w:rsidP="00330C94">
            <w:pPr>
              <w:jc w:val="both"/>
              <w:rPr>
                <w:rFonts w:cs="Times New Roman"/>
                <w:bCs/>
                <w:sz w:val="24"/>
                <w:szCs w:val="24"/>
              </w:rPr>
            </w:pPr>
          </w:p>
        </w:tc>
      </w:tr>
      <w:tr w:rsidR="00330C94" w:rsidRPr="008D2F2C" w14:paraId="796713CD" w14:textId="77777777" w:rsidTr="008D2F2C">
        <w:trPr>
          <w:trHeight w:val="284"/>
        </w:trPr>
        <w:tc>
          <w:tcPr>
            <w:tcW w:w="1492" w:type="dxa"/>
            <w:vMerge w:val="restart"/>
            <w:noWrap/>
          </w:tcPr>
          <w:p w14:paraId="0401A4AD" w14:textId="539AC2D7" w:rsidR="00330C94" w:rsidRPr="008D2F2C" w:rsidRDefault="00330C94" w:rsidP="00330C94">
            <w:pPr>
              <w:jc w:val="both"/>
              <w:rPr>
                <w:rFonts w:cs="Times New Roman"/>
                <w:bCs/>
                <w:sz w:val="24"/>
                <w:szCs w:val="24"/>
              </w:rPr>
            </w:pPr>
            <w:r w:rsidRPr="008D2F2C">
              <w:rPr>
                <w:rFonts w:cs="Times New Roman"/>
                <w:bCs/>
                <w:sz w:val="24"/>
                <w:szCs w:val="24"/>
                <w:lang w:val="kk-KZ"/>
              </w:rPr>
              <w:t>А</w:t>
            </w:r>
            <w:r w:rsidRPr="008D2F2C">
              <w:rPr>
                <w:rFonts w:cs="Times New Roman"/>
                <w:bCs/>
                <w:sz w:val="24"/>
                <w:szCs w:val="24"/>
              </w:rPr>
              <w:t>ллель</w:t>
            </w:r>
          </w:p>
        </w:tc>
        <w:tc>
          <w:tcPr>
            <w:tcW w:w="992" w:type="dxa"/>
            <w:noWrap/>
          </w:tcPr>
          <w:p w14:paraId="4E172E7A" w14:textId="77777777" w:rsidR="00330C94" w:rsidRPr="008D2F2C" w:rsidRDefault="00330C94" w:rsidP="00330C94">
            <w:pPr>
              <w:jc w:val="both"/>
              <w:rPr>
                <w:rFonts w:cs="Times New Roman"/>
                <w:bCs/>
                <w:sz w:val="24"/>
                <w:szCs w:val="24"/>
              </w:rPr>
            </w:pPr>
            <w:r w:rsidRPr="008D2F2C">
              <w:rPr>
                <w:rFonts w:cs="Times New Roman"/>
                <w:bCs/>
                <w:sz w:val="24"/>
                <w:szCs w:val="24"/>
              </w:rPr>
              <w:t>A</w:t>
            </w:r>
          </w:p>
        </w:tc>
        <w:tc>
          <w:tcPr>
            <w:tcW w:w="1701" w:type="dxa"/>
            <w:noWrap/>
          </w:tcPr>
          <w:p w14:paraId="6A5EEFE9" w14:textId="77777777" w:rsidR="00330C94" w:rsidRPr="008D2F2C" w:rsidRDefault="00330C94" w:rsidP="00330C94">
            <w:pPr>
              <w:jc w:val="both"/>
              <w:rPr>
                <w:rFonts w:cs="Times New Roman"/>
                <w:bCs/>
                <w:sz w:val="24"/>
                <w:szCs w:val="24"/>
              </w:rPr>
            </w:pPr>
            <w:r w:rsidRPr="008D2F2C">
              <w:rPr>
                <w:rFonts w:cs="Times New Roman"/>
                <w:bCs/>
                <w:sz w:val="24"/>
                <w:szCs w:val="24"/>
              </w:rPr>
              <w:t>54 (51.92%)</w:t>
            </w:r>
          </w:p>
        </w:tc>
        <w:tc>
          <w:tcPr>
            <w:tcW w:w="1843" w:type="dxa"/>
            <w:noWrap/>
          </w:tcPr>
          <w:p w14:paraId="5726A592" w14:textId="77777777" w:rsidR="00330C94" w:rsidRPr="008D2F2C" w:rsidRDefault="00330C94" w:rsidP="00330C94">
            <w:pPr>
              <w:jc w:val="both"/>
              <w:rPr>
                <w:rFonts w:cs="Times New Roman"/>
                <w:bCs/>
                <w:sz w:val="24"/>
                <w:szCs w:val="24"/>
              </w:rPr>
            </w:pPr>
            <w:r w:rsidRPr="008D2F2C">
              <w:rPr>
                <w:rFonts w:cs="Times New Roman"/>
                <w:bCs/>
                <w:sz w:val="24"/>
                <w:szCs w:val="24"/>
              </w:rPr>
              <w:t>63 (51.64%)</w:t>
            </w:r>
          </w:p>
        </w:tc>
        <w:tc>
          <w:tcPr>
            <w:tcW w:w="2097" w:type="dxa"/>
          </w:tcPr>
          <w:p w14:paraId="00AAA969" w14:textId="77777777" w:rsidR="00330C94" w:rsidRPr="008D2F2C" w:rsidRDefault="00330C94" w:rsidP="00330C94">
            <w:pPr>
              <w:jc w:val="both"/>
              <w:rPr>
                <w:rFonts w:cs="Times New Roman"/>
                <w:bCs/>
                <w:sz w:val="24"/>
                <w:szCs w:val="24"/>
              </w:rPr>
            </w:pPr>
            <w:r w:rsidRPr="008D2F2C">
              <w:rPr>
                <w:rFonts w:cs="Times New Roman"/>
                <w:bCs/>
                <w:sz w:val="24"/>
                <w:szCs w:val="24"/>
              </w:rPr>
              <w:t>17 (44.74%)</w:t>
            </w:r>
          </w:p>
        </w:tc>
        <w:tc>
          <w:tcPr>
            <w:tcW w:w="876" w:type="dxa"/>
            <w:vMerge w:val="restart"/>
            <w:noWrap/>
          </w:tcPr>
          <w:p w14:paraId="2E31CCAE" w14:textId="77777777" w:rsidR="00330C94" w:rsidRPr="008D2F2C" w:rsidRDefault="00330C94" w:rsidP="00330C94">
            <w:pPr>
              <w:jc w:val="both"/>
              <w:rPr>
                <w:rFonts w:cs="Times New Roman"/>
                <w:bCs/>
                <w:sz w:val="24"/>
                <w:szCs w:val="24"/>
              </w:rPr>
            </w:pPr>
            <w:r w:rsidRPr="008D2F2C">
              <w:rPr>
                <w:rFonts w:cs="Times New Roman"/>
                <w:bCs/>
                <w:sz w:val="24"/>
                <w:szCs w:val="24"/>
              </w:rPr>
              <w:t>0.7</w:t>
            </w:r>
          </w:p>
        </w:tc>
        <w:tc>
          <w:tcPr>
            <w:tcW w:w="638" w:type="dxa"/>
            <w:vMerge w:val="restart"/>
            <w:noWrap/>
          </w:tcPr>
          <w:p w14:paraId="4785F725" w14:textId="77777777" w:rsidR="00330C94" w:rsidRPr="008D2F2C" w:rsidRDefault="00330C94" w:rsidP="00330C94">
            <w:pPr>
              <w:jc w:val="both"/>
              <w:rPr>
                <w:rFonts w:cs="Times New Roman"/>
                <w:bCs/>
                <w:sz w:val="24"/>
                <w:szCs w:val="24"/>
              </w:rPr>
            </w:pPr>
            <w:r w:rsidRPr="008D2F2C">
              <w:rPr>
                <w:rFonts w:cs="Times New Roman"/>
                <w:bCs/>
                <w:sz w:val="24"/>
                <w:szCs w:val="24"/>
              </w:rPr>
              <w:t>0.6</w:t>
            </w:r>
          </w:p>
        </w:tc>
      </w:tr>
      <w:tr w:rsidR="00330C94" w:rsidRPr="008D2F2C" w14:paraId="1E1809DB" w14:textId="77777777" w:rsidTr="008D2F2C">
        <w:trPr>
          <w:trHeight w:val="184"/>
        </w:trPr>
        <w:tc>
          <w:tcPr>
            <w:tcW w:w="1492" w:type="dxa"/>
            <w:vMerge/>
            <w:noWrap/>
          </w:tcPr>
          <w:p w14:paraId="026FA167" w14:textId="77777777" w:rsidR="00330C94" w:rsidRPr="008D2F2C" w:rsidRDefault="00330C94" w:rsidP="00330C94">
            <w:pPr>
              <w:jc w:val="both"/>
              <w:rPr>
                <w:rFonts w:cs="Times New Roman"/>
                <w:bCs/>
                <w:sz w:val="24"/>
                <w:szCs w:val="24"/>
              </w:rPr>
            </w:pPr>
          </w:p>
        </w:tc>
        <w:tc>
          <w:tcPr>
            <w:tcW w:w="992" w:type="dxa"/>
            <w:noWrap/>
          </w:tcPr>
          <w:p w14:paraId="13C22832" w14:textId="034115C3" w:rsidR="00330C94" w:rsidRPr="00330C94" w:rsidRDefault="00330C94" w:rsidP="00330C94">
            <w:pPr>
              <w:jc w:val="both"/>
              <w:rPr>
                <w:rFonts w:cs="Times New Roman"/>
                <w:bCs/>
                <w:sz w:val="24"/>
                <w:szCs w:val="24"/>
                <w:lang w:val="ru-RU"/>
              </w:rPr>
            </w:pPr>
            <w:r w:rsidRPr="008D2F2C">
              <w:rPr>
                <w:rFonts w:cs="Times New Roman"/>
                <w:bCs/>
                <w:sz w:val="24"/>
                <w:szCs w:val="24"/>
              </w:rPr>
              <w:t>G</w:t>
            </w:r>
            <w:r w:rsidRPr="008D2F2C">
              <w:rPr>
                <w:rFonts w:cs="Times New Roman"/>
                <w:bCs/>
                <w:sz w:val="24"/>
                <w:szCs w:val="24"/>
                <w:vertAlign w:val="superscript"/>
              </w:rPr>
              <w:t>*</w:t>
            </w:r>
          </w:p>
        </w:tc>
        <w:tc>
          <w:tcPr>
            <w:tcW w:w="1701" w:type="dxa"/>
            <w:noWrap/>
          </w:tcPr>
          <w:p w14:paraId="1A8CCDA6" w14:textId="77777777" w:rsidR="00330C94" w:rsidRPr="008D2F2C" w:rsidRDefault="00330C94" w:rsidP="00330C94">
            <w:pPr>
              <w:jc w:val="both"/>
              <w:rPr>
                <w:rFonts w:cs="Times New Roman"/>
                <w:bCs/>
                <w:sz w:val="24"/>
                <w:szCs w:val="24"/>
              </w:rPr>
            </w:pPr>
            <w:r w:rsidRPr="008D2F2C">
              <w:rPr>
                <w:rFonts w:cs="Times New Roman"/>
                <w:bCs/>
                <w:sz w:val="24"/>
                <w:szCs w:val="24"/>
              </w:rPr>
              <w:t>50 (48.08%)</w:t>
            </w:r>
          </w:p>
        </w:tc>
        <w:tc>
          <w:tcPr>
            <w:tcW w:w="1843" w:type="dxa"/>
            <w:noWrap/>
          </w:tcPr>
          <w:p w14:paraId="26BA17B9" w14:textId="77777777" w:rsidR="00330C94" w:rsidRPr="008D2F2C" w:rsidRDefault="00330C94" w:rsidP="00330C94">
            <w:pPr>
              <w:jc w:val="both"/>
              <w:rPr>
                <w:rFonts w:cs="Times New Roman"/>
                <w:bCs/>
                <w:sz w:val="24"/>
                <w:szCs w:val="24"/>
              </w:rPr>
            </w:pPr>
            <w:r w:rsidRPr="008D2F2C">
              <w:rPr>
                <w:rFonts w:cs="Times New Roman"/>
                <w:bCs/>
                <w:sz w:val="24"/>
                <w:szCs w:val="24"/>
              </w:rPr>
              <w:t>59 (48.36%)</w:t>
            </w:r>
          </w:p>
        </w:tc>
        <w:tc>
          <w:tcPr>
            <w:tcW w:w="2097" w:type="dxa"/>
          </w:tcPr>
          <w:p w14:paraId="4C2CD372" w14:textId="77777777" w:rsidR="00330C94" w:rsidRPr="008D2F2C" w:rsidRDefault="00330C94" w:rsidP="00330C94">
            <w:pPr>
              <w:jc w:val="both"/>
              <w:rPr>
                <w:rFonts w:cs="Times New Roman"/>
                <w:bCs/>
                <w:sz w:val="24"/>
                <w:szCs w:val="24"/>
              </w:rPr>
            </w:pPr>
            <w:r w:rsidRPr="008D2F2C">
              <w:rPr>
                <w:rFonts w:cs="Times New Roman"/>
                <w:bCs/>
                <w:sz w:val="24"/>
                <w:szCs w:val="24"/>
              </w:rPr>
              <w:t>21 (55.26%)</w:t>
            </w:r>
          </w:p>
        </w:tc>
        <w:tc>
          <w:tcPr>
            <w:tcW w:w="876" w:type="dxa"/>
            <w:vMerge/>
            <w:noWrap/>
          </w:tcPr>
          <w:p w14:paraId="6EB8A1F0" w14:textId="77777777" w:rsidR="00330C94" w:rsidRPr="008D2F2C" w:rsidRDefault="00330C94" w:rsidP="00330C94">
            <w:pPr>
              <w:rPr>
                <w:rFonts w:eastAsia="Calibri" w:cs="Times New Roman"/>
                <w:bCs/>
                <w:sz w:val="24"/>
                <w:szCs w:val="24"/>
              </w:rPr>
            </w:pPr>
          </w:p>
        </w:tc>
        <w:tc>
          <w:tcPr>
            <w:tcW w:w="638" w:type="dxa"/>
            <w:vMerge/>
            <w:noWrap/>
          </w:tcPr>
          <w:p w14:paraId="3C29791C" w14:textId="77777777" w:rsidR="00330C94" w:rsidRPr="008D2F2C" w:rsidRDefault="00330C94" w:rsidP="00330C94">
            <w:pPr>
              <w:rPr>
                <w:rFonts w:eastAsia="Calibri" w:cs="Times New Roman"/>
                <w:bCs/>
                <w:sz w:val="24"/>
                <w:szCs w:val="24"/>
              </w:rPr>
            </w:pPr>
          </w:p>
        </w:tc>
      </w:tr>
      <w:tr w:rsidR="00330C94" w:rsidRPr="008D2F2C" w14:paraId="5935AB4A" w14:textId="77777777" w:rsidTr="002B5069">
        <w:trPr>
          <w:trHeight w:val="184"/>
        </w:trPr>
        <w:tc>
          <w:tcPr>
            <w:tcW w:w="9639" w:type="dxa"/>
            <w:gridSpan w:val="7"/>
            <w:noWrap/>
          </w:tcPr>
          <w:p w14:paraId="21446DD1" w14:textId="639BB47E" w:rsidR="00330C94" w:rsidRPr="00330C94" w:rsidRDefault="00330C94" w:rsidP="00330C94">
            <w:pPr>
              <w:ind w:firstLine="462"/>
              <w:jc w:val="both"/>
              <w:rPr>
                <w:rFonts w:cs="Times New Roman"/>
                <w:bCs/>
                <w:sz w:val="24"/>
                <w:szCs w:val="24"/>
                <w:lang w:val="kk-KZ"/>
              </w:rPr>
            </w:pPr>
            <w:r>
              <w:rPr>
                <w:rFonts w:cs="Times New Roman"/>
                <w:bCs/>
                <w:sz w:val="24"/>
                <w:szCs w:val="24"/>
                <w:lang w:val="kk-KZ"/>
              </w:rPr>
              <w:t xml:space="preserve">Примечание - </w:t>
            </w:r>
            <w:r w:rsidRPr="008D2F2C">
              <w:rPr>
                <w:rFonts w:cs="Times New Roman"/>
                <w:bCs/>
                <w:sz w:val="24"/>
                <w:szCs w:val="24"/>
                <w:lang w:val="kk-KZ"/>
              </w:rPr>
              <w:t>* аллель рассматривается как референтный аллель</w:t>
            </w:r>
          </w:p>
        </w:tc>
      </w:tr>
    </w:tbl>
    <w:p w14:paraId="69AF1721" w14:textId="77777777" w:rsidR="00330C94" w:rsidRDefault="00330C94" w:rsidP="00634FD1">
      <w:pPr>
        <w:spacing w:after="0" w:line="240" w:lineRule="auto"/>
        <w:ind w:firstLine="709"/>
        <w:contextualSpacing/>
        <w:jc w:val="both"/>
        <w:rPr>
          <w:rFonts w:cs="Times New Roman"/>
          <w:szCs w:val="28"/>
        </w:rPr>
      </w:pPr>
    </w:p>
    <w:p w14:paraId="2EA7316A" w14:textId="3B4F3B9F" w:rsidR="009606DB" w:rsidRPr="002B136D" w:rsidRDefault="009606DB" w:rsidP="00330C94">
      <w:pPr>
        <w:spacing w:after="0" w:line="240" w:lineRule="auto"/>
        <w:ind w:firstLine="567"/>
        <w:contextualSpacing/>
        <w:jc w:val="both"/>
        <w:rPr>
          <w:rFonts w:cs="Times New Roman"/>
          <w:szCs w:val="28"/>
        </w:rPr>
      </w:pPr>
      <w:proofErr w:type="gramStart"/>
      <w:r w:rsidRPr="002B136D">
        <w:rPr>
          <w:rFonts w:cs="Times New Roman"/>
          <w:szCs w:val="28"/>
        </w:rPr>
        <w:t>Таким образом</w:t>
      </w:r>
      <w:r w:rsidR="00F907C0" w:rsidRPr="002B136D">
        <w:rPr>
          <w:rFonts w:cs="Times New Roman"/>
          <w:szCs w:val="28"/>
        </w:rPr>
        <w:t>,</w:t>
      </w:r>
      <w:r w:rsidRPr="002B136D">
        <w:rPr>
          <w:rFonts w:cs="Times New Roman"/>
          <w:szCs w:val="28"/>
        </w:rPr>
        <w:t xml:space="preserve"> исследование генетических ассоциаций полиморфизмов в генах IL-17 и IL-38 у пациентов с различными формами эндокринной офтальмопатии (ЭОП) и сопоставление этих ассоциаций с данными о пациентах без ЭОП разной национальной принадлежности определило</w:t>
      </w:r>
      <w:r w:rsidR="003855A9" w:rsidRPr="002B136D">
        <w:rPr>
          <w:rFonts w:cs="Times New Roman"/>
          <w:szCs w:val="28"/>
        </w:rPr>
        <w:t>,</w:t>
      </w:r>
      <w:r w:rsidRPr="002B136D">
        <w:rPr>
          <w:rFonts w:cs="Times New Roman"/>
          <w:szCs w:val="28"/>
        </w:rPr>
        <w:t xml:space="preserve"> что в анализе уровней гормонов щитовидной железы и антител между пациентами с ЭОП и без ЭОП статистически значимых различий обнаружено не было.</w:t>
      </w:r>
      <w:proofErr w:type="gramEnd"/>
      <w:r w:rsidRPr="002B136D">
        <w:rPr>
          <w:rFonts w:cs="Times New Roman"/>
          <w:szCs w:val="28"/>
        </w:rPr>
        <w:t xml:space="preserve"> Это указывает на отсутствие прямой связи между этими гормональными показателями и наличием ЭОП.</w:t>
      </w:r>
    </w:p>
    <w:p w14:paraId="43EA683C" w14:textId="24D7893A" w:rsidR="009606DB" w:rsidRPr="002B136D" w:rsidRDefault="009606DB" w:rsidP="00330C94">
      <w:pPr>
        <w:spacing w:after="0" w:line="240" w:lineRule="auto"/>
        <w:ind w:firstLine="567"/>
        <w:contextualSpacing/>
        <w:jc w:val="both"/>
        <w:rPr>
          <w:rFonts w:cs="Times New Roman"/>
          <w:szCs w:val="28"/>
        </w:rPr>
      </w:pPr>
      <w:r w:rsidRPr="002B136D">
        <w:rPr>
          <w:rFonts w:cs="Times New Roman"/>
          <w:szCs w:val="28"/>
        </w:rPr>
        <w:t xml:space="preserve">Анализ генетических ассоциаций показал различную картину в зависимости от этнической принадлежности и активности заболевания. </w:t>
      </w:r>
      <w:r w:rsidR="00044321" w:rsidRPr="002B136D">
        <w:rPr>
          <w:rFonts w:cs="Times New Roman"/>
          <w:szCs w:val="28"/>
        </w:rPr>
        <w:t>Пациенты европеоидной национальности продемонстрировали статистически значимую связь (p=0.02) с повышенным риском ЭОП при генотипе CC и потенциальную защитную роль генотипа TT (полиморфизм rs3811058 /IL1F10). Роль аллели T также была отмечена, где выявлено статистически значимое различие (p=0.001), указывающее на увеличение риска ЭОП в 2,8 раза (1,5; 5,0) для этой этнической группы.</w:t>
      </w:r>
    </w:p>
    <w:p w14:paraId="12ADAC9B" w14:textId="7A269902" w:rsidR="009606DB" w:rsidRPr="002B136D" w:rsidRDefault="009606DB" w:rsidP="00330C94">
      <w:pPr>
        <w:spacing w:after="0" w:line="240" w:lineRule="auto"/>
        <w:ind w:firstLine="567"/>
        <w:contextualSpacing/>
        <w:jc w:val="both"/>
        <w:rPr>
          <w:rFonts w:cs="Times New Roman"/>
          <w:szCs w:val="28"/>
        </w:rPr>
      </w:pPr>
      <w:r w:rsidRPr="002B136D">
        <w:rPr>
          <w:rFonts w:cs="Times New Roman"/>
          <w:szCs w:val="28"/>
        </w:rPr>
        <w:t>В свою очередь у пациентов азиатской национальности не было найдено статистически значимых ассоциаций для полиморфизмов IL-17 и IL-38, что предполагает отсутствие сильной связи между этими полиморфизмами и ЭОП в данной этнической группе.</w:t>
      </w:r>
    </w:p>
    <w:p w14:paraId="2BC36285" w14:textId="508B0F88" w:rsidR="009606DB" w:rsidRPr="002B136D" w:rsidRDefault="009606DB" w:rsidP="00330C94">
      <w:pPr>
        <w:spacing w:after="0" w:line="240" w:lineRule="auto"/>
        <w:ind w:firstLine="567"/>
        <w:contextualSpacing/>
        <w:jc w:val="both"/>
        <w:rPr>
          <w:rFonts w:cs="Times New Roman"/>
          <w:szCs w:val="28"/>
        </w:rPr>
      </w:pPr>
      <w:r w:rsidRPr="002B136D">
        <w:rPr>
          <w:rFonts w:cs="Times New Roman"/>
          <w:szCs w:val="28"/>
        </w:rPr>
        <w:t>Полиморфиз</w:t>
      </w:r>
      <w:r w:rsidR="003E173E" w:rsidRPr="002B136D">
        <w:rPr>
          <w:rFonts w:cs="Times New Roman"/>
          <w:szCs w:val="28"/>
        </w:rPr>
        <w:t>м rs7570267</w:t>
      </w:r>
      <w:r w:rsidRPr="002B136D">
        <w:rPr>
          <w:rFonts w:cs="Times New Roman"/>
          <w:szCs w:val="28"/>
        </w:rPr>
        <w:t>/</w:t>
      </w:r>
      <w:r w:rsidR="003E173E" w:rsidRPr="002B136D">
        <w:rPr>
          <w:rFonts w:cs="Times New Roman"/>
          <w:i/>
          <w:szCs w:val="28"/>
        </w:rPr>
        <w:t>IL1F10</w:t>
      </w:r>
      <w:r w:rsidRPr="002B136D">
        <w:rPr>
          <w:rFonts w:cs="Times New Roman"/>
          <w:szCs w:val="28"/>
        </w:rPr>
        <w:t xml:space="preserve"> продемонстрировал статистическую значимость (p=0.0</w:t>
      </w:r>
      <w:r w:rsidR="00580037" w:rsidRPr="002B136D">
        <w:rPr>
          <w:rFonts w:cs="Times New Roman"/>
          <w:szCs w:val="28"/>
        </w:rPr>
        <w:t>02) и относительный шанс развития активности ЭОП сотсавил - 0.47 (0.2; 0.8).</w:t>
      </w:r>
      <w:r w:rsidRPr="002B136D">
        <w:rPr>
          <w:rFonts w:cs="Times New Roman"/>
          <w:szCs w:val="28"/>
        </w:rPr>
        <w:t xml:space="preserve"> </w:t>
      </w:r>
    </w:p>
    <w:p w14:paraId="23425FAB" w14:textId="4DA3A4FA" w:rsidR="00971CC2" w:rsidRPr="002B136D" w:rsidRDefault="00971CC2" w:rsidP="00330C94">
      <w:pPr>
        <w:spacing w:after="0" w:line="240" w:lineRule="auto"/>
        <w:ind w:firstLine="567"/>
        <w:contextualSpacing/>
        <w:jc w:val="both"/>
        <w:rPr>
          <w:rFonts w:cs="Times New Roman"/>
          <w:szCs w:val="28"/>
        </w:rPr>
      </w:pPr>
      <w:r w:rsidRPr="002B136D">
        <w:rPr>
          <w:rFonts w:cs="Times New Roman"/>
          <w:szCs w:val="28"/>
        </w:rPr>
        <w:lastRenderedPageBreak/>
        <w:t xml:space="preserve">При анализе носительства полиморфизма цитокинов в зависимости от тяжести ЭОП только ген </w:t>
      </w:r>
      <w:r w:rsidR="00DE4A1D" w:rsidRPr="002B136D">
        <w:rPr>
          <w:rFonts w:cs="Times New Roman"/>
          <w:szCs w:val="28"/>
        </w:rPr>
        <w:t>rs7570267/</w:t>
      </w:r>
      <w:r w:rsidR="00DE4A1D" w:rsidRPr="002B136D">
        <w:rPr>
          <w:rFonts w:cs="Times New Roman"/>
          <w:i/>
          <w:szCs w:val="28"/>
        </w:rPr>
        <w:t>IL1F10</w:t>
      </w:r>
      <w:r w:rsidR="00477387" w:rsidRPr="002B136D">
        <w:rPr>
          <w:rFonts w:cs="Times New Roman"/>
          <w:szCs w:val="28"/>
        </w:rPr>
        <w:t xml:space="preserve"> показал значимое различие, со </w:t>
      </w:r>
      <w:r w:rsidRPr="002B136D">
        <w:rPr>
          <w:rFonts w:cs="Times New Roman"/>
          <w:szCs w:val="28"/>
        </w:rPr>
        <w:t>сниженным риском тяжести ЭОП при наличии генотипа AG.</w:t>
      </w:r>
    </w:p>
    <w:p w14:paraId="12A6F5B9" w14:textId="445CDCBE" w:rsidR="009606DB" w:rsidRPr="002B136D" w:rsidRDefault="009606DB" w:rsidP="00330C94">
      <w:pPr>
        <w:spacing w:after="0" w:line="240" w:lineRule="auto"/>
        <w:ind w:firstLine="567"/>
        <w:contextualSpacing/>
        <w:jc w:val="both"/>
        <w:rPr>
          <w:rFonts w:cs="Times New Roman"/>
          <w:szCs w:val="28"/>
        </w:rPr>
      </w:pPr>
      <w:r w:rsidRPr="002B136D">
        <w:rPr>
          <w:rFonts w:cs="Times New Roman"/>
          <w:szCs w:val="28"/>
        </w:rPr>
        <w:t>Результаты исследования в целом согласуются с некоторыми предыдущими данными, которые также не обнаружили явной связи между гормональными показателями и ЭОП. Однако в отношении генетических ассоциаций результаты разнятся, что может быть обусловлено этническими и генетическими различиями в изучаемых популяциях.</w:t>
      </w:r>
    </w:p>
    <w:p w14:paraId="5EE4D78E" w14:textId="3A1388BE" w:rsidR="004F1848" w:rsidRDefault="009606DB" w:rsidP="00330C94">
      <w:pPr>
        <w:spacing w:after="0" w:line="240" w:lineRule="auto"/>
        <w:ind w:firstLine="567"/>
        <w:contextualSpacing/>
        <w:jc w:val="both"/>
        <w:rPr>
          <w:rFonts w:cs="Times New Roman"/>
          <w:szCs w:val="28"/>
        </w:rPr>
      </w:pPr>
      <w:r w:rsidRPr="002B136D">
        <w:rPr>
          <w:rFonts w:cs="Times New Roman"/>
          <w:szCs w:val="28"/>
        </w:rPr>
        <w:t xml:space="preserve">Нахождение статистически значимых ассоциаций в определенных подгруппах пациентов подчеркивает потенциальную важность этих </w:t>
      </w:r>
      <w:r w:rsidR="00330958" w:rsidRPr="002B136D">
        <w:rPr>
          <w:rFonts w:cs="Times New Roman"/>
          <w:szCs w:val="28"/>
        </w:rPr>
        <w:t>полиморфизмов в патогенезе ЭОП.</w:t>
      </w:r>
    </w:p>
    <w:p w14:paraId="5ABC1573" w14:textId="77777777" w:rsidR="00330C94" w:rsidRPr="002B136D" w:rsidRDefault="00330C94" w:rsidP="00330C94">
      <w:pPr>
        <w:spacing w:after="0" w:line="240" w:lineRule="auto"/>
        <w:ind w:firstLine="567"/>
        <w:contextualSpacing/>
        <w:jc w:val="both"/>
        <w:rPr>
          <w:rFonts w:cs="Times New Roman"/>
          <w:szCs w:val="28"/>
        </w:rPr>
      </w:pPr>
    </w:p>
    <w:p w14:paraId="76A13D3B" w14:textId="77777777" w:rsidR="006B0230" w:rsidRPr="006B0230" w:rsidRDefault="00A3590D" w:rsidP="006B0230">
      <w:pPr>
        <w:spacing w:after="0"/>
        <w:ind w:firstLine="567"/>
        <w:contextualSpacing/>
        <w:jc w:val="both"/>
        <w:rPr>
          <w:b/>
          <w:noProof/>
        </w:rPr>
      </w:pPr>
      <w:r w:rsidRPr="002B136D">
        <w:rPr>
          <w:b/>
          <w:noProof/>
          <w:lang w:eastAsia="ru-RU"/>
        </w:rPr>
        <w:t xml:space="preserve">3.5 </w:t>
      </w:r>
      <w:r w:rsidR="006B0230" w:rsidRPr="006B0230">
        <w:rPr>
          <w:b/>
          <w:noProof/>
        </w:rPr>
        <w:t>Разработка прогностической модели клинического течения эндокринной офтальмопатии на основе её генетических и иммунологических особенностей.</w:t>
      </w:r>
    </w:p>
    <w:p w14:paraId="6A77A1A3" w14:textId="0CE81EB5"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Данная модель, разработанная на основании генетических и иммунологических маркеров, ассоциируемая с клиническими особенностями эндокринной</w:t>
      </w:r>
      <w:r w:rsidR="00F35C00">
        <w:rPr>
          <w:noProof/>
          <w:lang w:val="kk-KZ" w:eastAsia="ru-RU"/>
        </w:rPr>
        <w:t xml:space="preserve"> офтальмопатии (ЭОП), является </w:t>
      </w:r>
      <w:r w:rsidRPr="002B136D">
        <w:rPr>
          <w:noProof/>
          <w:lang w:val="kk-KZ" w:eastAsia="ru-RU"/>
        </w:rPr>
        <w:t>необходимым алгоритмом диганостики и прогнозирования клинического варианта экдокринной офтальмопатии в каждом конкретном случае. В процессе работы над исследованием мы включили множество предполагаемых факторов, которые могли бы оказать влияние на развитие активности и тяжести данного заболевания. К числу таких факторов относятся:</w:t>
      </w:r>
    </w:p>
    <w:p w14:paraId="0A80CB96"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1. Информация из анамнеза: мы проанализировали жалобы пациентов, их возраст, национальность, пол, привычки, связанные с курением, а также длительность существующих патологий щитовидной железы и их дисфункции.</w:t>
      </w:r>
    </w:p>
    <w:p w14:paraId="0A0F01CD"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2. Клинические данные: особое внимание было уделено основным офтальмологическим показателям, характеризующим состояние здоровья пациентов.</w:t>
      </w:r>
    </w:p>
    <w:p w14:paraId="7CC4D3CF" w14:textId="727E1C4B"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3.</w:t>
      </w:r>
      <w:r w:rsidR="00330C94">
        <w:rPr>
          <w:noProof/>
          <w:lang w:val="kk-KZ" w:eastAsia="ru-RU"/>
        </w:rPr>
        <w:t xml:space="preserve"> </w:t>
      </w:r>
      <w:r w:rsidRPr="002B136D">
        <w:rPr>
          <w:noProof/>
          <w:lang w:val="kk-KZ" w:eastAsia="ru-RU"/>
        </w:rPr>
        <w:t>Результаты генетических исследований: среди исследуемых генетических маркеров были выделены такие, как rs9463772 (IL17F), rs3811058 (IL38) и rs7570267 (IL38).</w:t>
      </w:r>
    </w:p>
    <w:p w14:paraId="25FEB133"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4. Результаты иммунологических исследований: мы проанализировали серологические уровни интерлейкинов, конкретно ИЛ-17 и ИЛ-38, чтобы понять их корреляцию с клиническими проявлениями заболевания.</w:t>
      </w:r>
    </w:p>
    <w:p w14:paraId="25D2BAB2" w14:textId="71C13F85"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 xml:space="preserve">Все перечисленные переменные были выявлены как потенциальные предикторы активности болезни и были включены в алгоритм регрессии, основанный на методе дерева решений CHAID (Chi-squared Automatic Interaction Detector). Используя этот метод, мы смогли автоматически сгруппировать все полученные данные и провести их сравнение с использованием статистического теста Хи-квадрат. Важно отметить, что только те признаки, которые показали достоверные статистические различия с уровнем значимости (p&lt;0,05), были визуализированы в виде схемы, организованной в иерархической и последовательной структуре </w:t>
      </w:r>
      <w:r w:rsidR="00330C94">
        <w:rPr>
          <w:noProof/>
          <w:lang w:val="kk-KZ" w:eastAsia="ru-RU"/>
        </w:rPr>
        <w:t xml:space="preserve">(рисунок </w:t>
      </w:r>
      <w:r w:rsidRPr="002B136D">
        <w:rPr>
          <w:noProof/>
          <w:lang w:val="kk-KZ" w:eastAsia="ru-RU"/>
        </w:rPr>
        <w:t>2</w:t>
      </w:r>
      <w:r w:rsidR="007B402D">
        <w:rPr>
          <w:noProof/>
          <w:lang w:val="kk-KZ" w:eastAsia="ru-RU"/>
        </w:rPr>
        <w:t>6</w:t>
      </w:r>
      <w:r w:rsidRPr="002B136D">
        <w:rPr>
          <w:noProof/>
          <w:lang w:val="kk-KZ" w:eastAsia="ru-RU"/>
        </w:rPr>
        <w:t>).</w:t>
      </w:r>
    </w:p>
    <w:p w14:paraId="5D4C1667" w14:textId="205DCB82" w:rsidR="00A3590D" w:rsidRDefault="00A3590D" w:rsidP="00330C94">
      <w:pPr>
        <w:spacing w:after="0"/>
        <w:contextualSpacing/>
        <w:jc w:val="center"/>
        <w:rPr>
          <w:noProof/>
          <w:lang w:val="kk-KZ" w:eastAsia="ru-RU"/>
        </w:rPr>
      </w:pPr>
      <w:r w:rsidRPr="002B136D">
        <w:rPr>
          <w:rFonts w:cs="Times New Roman"/>
          <w:noProof/>
          <w:szCs w:val="28"/>
          <w:lang w:eastAsia="ru-RU"/>
        </w:rPr>
        <w:lastRenderedPageBreak/>
        <w:drawing>
          <wp:inline distT="0" distB="0" distL="0" distR="0" wp14:anchorId="435F5EB8" wp14:editId="3CC19B00">
            <wp:extent cx="3979333" cy="7245282"/>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9333" cy="7245282"/>
                    </a:xfrm>
                    <a:prstGeom prst="rect">
                      <a:avLst/>
                    </a:prstGeom>
                    <a:noFill/>
                    <a:ln>
                      <a:noFill/>
                    </a:ln>
                  </pic:spPr>
                </pic:pic>
              </a:graphicData>
            </a:graphic>
          </wp:inline>
        </w:drawing>
      </w:r>
    </w:p>
    <w:p w14:paraId="07CB613B" w14:textId="536CD24F" w:rsidR="00330C94" w:rsidRPr="00330C94" w:rsidRDefault="00330C94" w:rsidP="00330C94">
      <w:pPr>
        <w:spacing w:after="0" w:line="240" w:lineRule="auto"/>
        <w:contextualSpacing/>
        <w:jc w:val="center"/>
        <w:rPr>
          <w:bCs/>
          <w:noProof/>
          <w:lang w:eastAsia="ru-RU"/>
        </w:rPr>
      </w:pPr>
      <w:r w:rsidRPr="00330C94">
        <w:rPr>
          <w:bCs/>
          <w:noProof/>
          <w:lang w:eastAsia="ru-RU"/>
        </w:rPr>
        <w:t>Рисунок 2</w:t>
      </w:r>
      <w:r w:rsidR="007B402D">
        <w:rPr>
          <w:bCs/>
          <w:noProof/>
          <w:lang w:val="kk-KZ" w:eastAsia="ru-RU"/>
        </w:rPr>
        <w:t>6</w:t>
      </w:r>
      <w:r w:rsidRPr="00330C94">
        <w:rPr>
          <w:bCs/>
          <w:noProof/>
          <w:lang w:eastAsia="ru-RU"/>
        </w:rPr>
        <w:t xml:space="preserve"> - Прогностическая модель активности ЭОП</w:t>
      </w:r>
    </w:p>
    <w:p w14:paraId="6E9FE970" w14:textId="77777777" w:rsidR="00330C94" w:rsidRPr="002B136D" w:rsidRDefault="00330C94" w:rsidP="00A3590D">
      <w:pPr>
        <w:spacing w:after="0"/>
        <w:ind w:firstLine="709"/>
        <w:contextualSpacing/>
        <w:jc w:val="both"/>
        <w:rPr>
          <w:noProof/>
          <w:lang w:val="kk-KZ" w:eastAsia="ru-RU"/>
        </w:rPr>
      </w:pPr>
    </w:p>
    <w:p w14:paraId="4B045664"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 xml:space="preserve">Разработанная прогностическая модель была нацелена на оценку активности эндокринной офтальмопатии (ЭОП). Исследование проводилось на группе из 70 пациентов, внутри которой были выделены две подгруппы: 47 человек с подтвержденным активным аутоиммунным процессом, характеризующим активную форму ЭОП, и 23 пациента, у которых аутоиммунный процесс находился в неактивной фазе, что соответствовало </w:t>
      </w:r>
      <w:r w:rsidRPr="002B136D">
        <w:rPr>
          <w:noProof/>
          <w:lang w:val="kk-KZ" w:eastAsia="ru-RU"/>
        </w:rPr>
        <w:lastRenderedPageBreak/>
        <w:t>неактивной форме заболевания. В результате анализа данных, полученных от этих пациентов, были выявлены значимые предикторы, позволяющие с определенной вероятностью прогнозировать развитие активной формы эндокринной офтальмопатии.</w:t>
      </w:r>
    </w:p>
    <w:p w14:paraId="00732687"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После проведения статистического анализа, комбинация трех факторов – пола пациента, наличия определенной генетической вариации, а именно гена, кодирующего интерлейкин-38 (ИЛ-38), представленного rs9811058, и статуса курения (является ли пациент курильщиком или нет) – оказалась наиболее значимой при определении вероятности развития активной формы ЭОП. Эти три фактора показали наибольшую прогностическую ценность по сравнению с другими исследованными переменными.</w:t>
      </w:r>
    </w:p>
    <w:p w14:paraId="5C99C79B"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Для более детального анализа взаимосвязи между этими факторами и активностью ЭОП было построено дерево решений. Первым этапом разделения пациентов в дереве решений был пол (p=0.03), что указывает на статистически значимую разницу в частоте активной и неактивной форм ЭОП между мужчинами и женщинами. В обеих половых группах, тем не менее, преобладали пациенты с активной ЭОП. Однако, соотношение пациентов с активной и неактивной формой заболевания различалось: среди мужчин активная ЭОП наблюдалась в 85.7% случаев, в то время как среди женщин этот показатель составлял 59.2%. Таким образом, активная форма ЭОП была более распространена среди мужчин, чем среди женщин.</w:t>
      </w:r>
    </w:p>
    <w:p w14:paraId="128B78DA"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В то же время, доля женщин с неактивной формой ЭОП была примерно в три раза выше, чем доля мужчин с неактивной формой заболевания (40.8% против 14.3%). Это свидетельствует о том, что женщины, в сравнении с мужчинами, имели большую вероятность находиться в стадии ремиссии или иметь менее агрессивное течение ЭОП.</w:t>
      </w:r>
    </w:p>
    <w:p w14:paraId="0BA80596" w14:textId="77777777" w:rsidR="00A3590D" w:rsidRPr="002B136D" w:rsidRDefault="00A3590D" w:rsidP="00330C94">
      <w:pPr>
        <w:spacing w:after="0" w:line="240" w:lineRule="auto"/>
        <w:ind w:firstLine="567"/>
        <w:contextualSpacing/>
        <w:jc w:val="both"/>
        <w:rPr>
          <w:noProof/>
          <w:lang w:val="kk-KZ" w:eastAsia="ru-RU"/>
        </w:rPr>
      </w:pPr>
      <w:r w:rsidRPr="002B136D">
        <w:rPr>
          <w:noProof/>
          <w:lang w:val="kk-KZ" w:eastAsia="ru-RU"/>
        </w:rPr>
        <w:t>Далее, внутри группы мужчин была проведена дополнительная стратификация в зависимости от наличия или отсутствия генетической вариации rs9811058 (p=0.05). Было установлено, что у мужчин с ЭОП, несущих генотип CC по данной генетической вариации, активный процесс заболевания наблюдался в 100% случаев. В то же время, у мужчин с генотипом TT активная форма ЭОП встречалась в 70% случаев (p=0.05). Полученные результаты указывают на то, что наличие генотипа CC по rs9811058 ассоциировано с более высоким риском развития активной ЭОП у мужчин.</w:t>
      </w:r>
    </w:p>
    <w:p w14:paraId="40FC9B01" w14:textId="658FB128" w:rsidR="00A3590D" w:rsidRDefault="00A3590D" w:rsidP="00330C94">
      <w:pPr>
        <w:spacing w:after="0" w:line="240" w:lineRule="auto"/>
        <w:ind w:firstLine="567"/>
        <w:contextualSpacing/>
        <w:jc w:val="both"/>
        <w:rPr>
          <w:noProof/>
          <w:lang w:val="kk-KZ" w:eastAsia="ru-RU"/>
        </w:rPr>
      </w:pPr>
      <w:r w:rsidRPr="002B136D">
        <w:rPr>
          <w:noProof/>
          <w:lang w:val="kk-KZ" w:eastAsia="ru-RU"/>
        </w:rPr>
        <w:t>Среди мужчин с генотипом TT, статус курения оказывал дополнительное влияние на активность заболевания. Было обнаружено, что курение повышало вероятность развития активной ЭОП до 100%. Иными словами, если мужчина с генотипом TT курит, то вероятность развития у него активной формы ЭОП практически максимальна. В то же время, отсутствие курения обеспечивало определенную защиту от активного процесса: в 60% случаев у некурящих мужчин с генотипом TT наблюдалась неактивная форма ЭОП. Это подчеркивает важность отказа от курения для снижения риска развития активной ЭОП, особенно у мужчин, генетически предрасположенных к данному заболеванию.</w:t>
      </w:r>
    </w:p>
    <w:p w14:paraId="20C81B27" w14:textId="4DCD844F" w:rsidR="00330C94" w:rsidRPr="002B136D" w:rsidRDefault="00330C94" w:rsidP="00330C94">
      <w:pPr>
        <w:spacing w:after="0" w:line="240" w:lineRule="auto"/>
        <w:ind w:firstLine="567"/>
        <w:contextualSpacing/>
        <w:jc w:val="both"/>
        <w:rPr>
          <w:noProof/>
          <w:lang w:val="kk-KZ" w:eastAsia="ru-RU"/>
        </w:rPr>
      </w:pPr>
      <w:r w:rsidRPr="002B136D">
        <w:rPr>
          <w:noProof/>
          <w:lang w:val="kk-KZ" w:eastAsia="ru-RU"/>
        </w:rPr>
        <w:lastRenderedPageBreak/>
        <w:t>В результате, полученная чувствительность нашей модели составила 95,7%, а достоверность достигла 80%</w:t>
      </w:r>
      <w:r w:rsidR="007B402D">
        <w:rPr>
          <w:noProof/>
          <w:lang w:val="kk-KZ" w:eastAsia="ru-RU"/>
        </w:rPr>
        <w:t xml:space="preserve"> (рисунок 27)</w:t>
      </w:r>
      <w:r w:rsidRPr="002B136D">
        <w:rPr>
          <w:noProof/>
          <w:lang w:val="kk-KZ" w:eastAsia="ru-RU"/>
        </w:rPr>
        <w:t xml:space="preserve">. </w:t>
      </w:r>
    </w:p>
    <w:p w14:paraId="23DAED23" w14:textId="77777777" w:rsidR="00330C94" w:rsidRPr="00330C94" w:rsidRDefault="00330C94" w:rsidP="00330C94">
      <w:pPr>
        <w:spacing w:after="0" w:line="240" w:lineRule="auto"/>
        <w:ind w:firstLine="567"/>
        <w:contextualSpacing/>
        <w:jc w:val="both"/>
        <w:rPr>
          <w:noProof/>
          <w:lang w:val="kk-KZ" w:eastAsia="ru-RU"/>
        </w:rPr>
      </w:pPr>
    </w:p>
    <w:p w14:paraId="08D6F571" w14:textId="3B392EEA" w:rsidR="00A3590D" w:rsidRPr="002B136D" w:rsidRDefault="00A3590D" w:rsidP="00330C94">
      <w:pPr>
        <w:spacing w:after="0"/>
        <w:contextualSpacing/>
        <w:jc w:val="both"/>
        <w:rPr>
          <w:noProof/>
          <w:lang w:eastAsia="ru-RU"/>
        </w:rPr>
      </w:pPr>
      <w:r w:rsidRPr="002B136D">
        <w:rPr>
          <w:noProof/>
          <w:lang w:eastAsia="ru-RU"/>
        </w:rPr>
        <mc:AlternateContent>
          <mc:Choice Requires="wps">
            <w:drawing>
              <wp:anchor distT="0" distB="0" distL="114300" distR="114300" simplePos="0" relativeHeight="251670016" behindDoc="0" locked="0" layoutInCell="1" allowOverlap="1" wp14:anchorId="6A6426E3" wp14:editId="1F34D524">
                <wp:simplePos x="0" y="0"/>
                <wp:positionH relativeFrom="column">
                  <wp:posOffset>734695</wp:posOffset>
                </wp:positionH>
                <wp:positionV relativeFrom="paragraph">
                  <wp:posOffset>940012</wp:posOffset>
                </wp:positionV>
                <wp:extent cx="1681529" cy="782782"/>
                <wp:effectExtent l="0" t="0" r="13970" b="17780"/>
                <wp:wrapNone/>
                <wp:docPr id="32" name="Прямоугольник 32"/>
                <wp:cNvGraphicFramePr/>
                <a:graphic xmlns:a="http://schemas.openxmlformats.org/drawingml/2006/main">
                  <a:graphicData uri="http://schemas.microsoft.com/office/word/2010/wordprocessingShape">
                    <wps:wsp>
                      <wps:cNvSpPr/>
                      <wps:spPr>
                        <a:xfrm>
                          <a:off x="0" y="0"/>
                          <a:ext cx="1681529" cy="782782"/>
                        </a:xfrm>
                        <a:prstGeom prst="rect">
                          <a:avLst/>
                        </a:prstGeom>
                        <a:solidFill>
                          <a:sysClr val="window" lastClr="FFFFFF"/>
                        </a:solidFill>
                        <a:ln w="12700" cap="flat" cmpd="sng" algn="ctr">
                          <a:solidFill>
                            <a:sysClr val="windowText" lastClr="000000"/>
                          </a:solidFill>
                          <a:prstDash val="solid"/>
                        </a:ln>
                        <a:effectLst/>
                      </wps:spPr>
                      <wps:txbx>
                        <w:txbxContent>
                          <w:p w14:paraId="3913AADF" w14:textId="77777777" w:rsidR="0044499C" w:rsidRPr="00B91816" w:rsidRDefault="0044499C" w:rsidP="00A3590D">
                            <w:pPr>
                              <w:pStyle w:val="a3"/>
                              <w:numPr>
                                <w:ilvl w:val="0"/>
                                <w:numId w:val="29"/>
                              </w:numPr>
                              <w:rPr>
                                <w:b/>
                                <w:sz w:val="16"/>
                              </w:rPr>
                            </w:pPr>
                            <w:r w:rsidRPr="00B91816">
                              <w:rPr>
                                <w:b/>
                                <w:sz w:val="16"/>
                              </w:rPr>
                              <w:t>Легкая ЭОП</w:t>
                            </w:r>
                          </w:p>
                          <w:p w14:paraId="428EF099" w14:textId="77777777" w:rsidR="0044499C" w:rsidRPr="00B91816" w:rsidRDefault="0044499C" w:rsidP="00A3590D">
                            <w:pPr>
                              <w:pStyle w:val="a3"/>
                              <w:numPr>
                                <w:ilvl w:val="0"/>
                                <w:numId w:val="29"/>
                              </w:numPr>
                              <w:spacing w:line="360" w:lineRule="auto"/>
                              <w:rPr>
                                <w:rFonts w:cs="Times New Roman"/>
                                <w:b/>
                                <w:color w:val="000000" w:themeColor="text1"/>
                                <w:sz w:val="16"/>
                                <w:szCs w:val="28"/>
                              </w:rPr>
                            </w:pPr>
                            <w:r w:rsidRPr="00B91816">
                              <w:rPr>
                                <w:rFonts w:cs="Times New Roman"/>
                                <w:b/>
                                <w:color w:val="000000" w:themeColor="text1"/>
                                <w:sz w:val="16"/>
                                <w:szCs w:val="28"/>
                              </w:rPr>
                              <w:t>Умеренной тяжести</w:t>
                            </w:r>
                          </w:p>
                          <w:p w14:paraId="00B0F148" w14:textId="77777777" w:rsidR="0044499C" w:rsidRPr="00B91816" w:rsidRDefault="0044499C" w:rsidP="00A3590D">
                            <w:pPr>
                              <w:pStyle w:val="a3"/>
                              <w:numPr>
                                <w:ilvl w:val="0"/>
                                <w:numId w:val="29"/>
                              </w:numPr>
                              <w:rPr>
                                <w:b/>
                                <w:sz w:val="16"/>
                              </w:rPr>
                            </w:pPr>
                            <w:proofErr w:type="gramStart"/>
                            <w:r w:rsidRPr="00B91816">
                              <w:rPr>
                                <w:rFonts w:cs="Times New Roman"/>
                                <w:b/>
                                <w:color w:val="000000" w:themeColor="text1"/>
                                <w:sz w:val="16"/>
                                <w:szCs w:val="28"/>
                              </w:rPr>
                              <w:t>Угрожающая</w:t>
                            </w:r>
                            <w:proofErr w:type="gramEnd"/>
                            <w:r w:rsidRPr="00B91816">
                              <w:rPr>
                                <w:rFonts w:cs="Times New Roman"/>
                                <w:b/>
                                <w:color w:val="000000" w:themeColor="text1"/>
                                <w:sz w:val="16"/>
                                <w:szCs w:val="28"/>
                              </w:rPr>
                              <w:t xml:space="preserve"> потерей зрения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6" style="position:absolute;left:0;text-align:left;margin-left:57.85pt;margin-top:74pt;width:132.4pt;height:6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" fillcolor="window" strokecolor="windowText" strokeweight="1pt">
                <v:textbox>
                  <w:txbxContent>
                    <w:p w14:paraId="3913AADF" w14:textId="77777777" w:rsidR="0044499C" w:rsidRPr="00B91816" w:rsidRDefault="0044499C" w:rsidP="00A3590D">
                      <w:pPr>
                        <w:pStyle w:val="a3"/>
                        <w:numPr>
                          <w:ilvl w:val="0"/>
                          <w:numId w:val="29"/>
                        </w:numPr>
                        <w:rPr>
                          <w:b/>
                          <w:sz w:val="16"/>
                        </w:rPr>
                      </w:pPr>
                      <w:r w:rsidRPr="00B91816">
                        <w:rPr>
                          <w:b/>
                          <w:sz w:val="16"/>
                        </w:rPr>
                        <w:t>Легкая ЭОП</w:t>
                      </w:r>
                    </w:p>
                    <w:p w14:paraId="428EF099" w14:textId="77777777" w:rsidR="0044499C" w:rsidRPr="00B91816" w:rsidRDefault="0044499C" w:rsidP="00A3590D">
                      <w:pPr>
                        <w:pStyle w:val="a3"/>
                        <w:numPr>
                          <w:ilvl w:val="0"/>
                          <w:numId w:val="29"/>
                        </w:numPr>
                        <w:spacing w:line="360" w:lineRule="auto"/>
                        <w:rPr>
                          <w:rFonts w:cs="Times New Roman"/>
                          <w:b/>
                          <w:color w:val="000000" w:themeColor="text1"/>
                          <w:sz w:val="16"/>
                          <w:szCs w:val="28"/>
                        </w:rPr>
                      </w:pPr>
                      <w:r w:rsidRPr="00B91816">
                        <w:rPr>
                          <w:rFonts w:cs="Times New Roman"/>
                          <w:b/>
                          <w:color w:val="000000" w:themeColor="text1"/>
                          <w:sz w:val="16"/>
                          <w:szCs w:val="28"/>
                        </w:rPr>
                        <w:t>Умеренной тяжести</w:t>
                      </w:r>
                    </w:p>
                    <w:p w14:paraId="00B0F148" w14:textId="77777777" w:rsidR="0044499C" w:rsidRPr="00B91816" w:rsidRDefault="0044499C" w:rsidP="00A3590D">
                      <w:pPr>
                        <w:pStyle w:val="a3"/>
                        <w:numPr>
                          <w:ilvl w:val="0"/>
                          <w:numId w:val="29"/>
                        </w:numPr>
                        <w:rPr>
                          <w:b/>
                          <w:sz w:val="16"/>
                        </w:rPr>
                      </w:pPr>
                      <w:proofErr w:type="gramStart"/>
                      <w:r w:rsidRPr="00B91816">
                        <w:rPr>
                          <w:rFonts w:cs="Times New Roman"/>
                          <w:b/>
                          <w:color w:val="000000" w:themeColor="text1"/>
                          <w:sz w:val="16"/>
                          <w:szCs w:val="28"/>
                        </w:rPr>
                        <w:t>Угрожающая</w:t>
                      </w:r>
                      <w:proofErr w:type="gramEnd"/>
                      <w:r w:rsidRPr="00B91816">
                        <w:rPr>
                          <w:rFonts w:cs="Times New Roman"/>
                          <w:b/>
                          <w:color w:val="000000" w:themeColor="text1"/>
                          <w:sz w:val="16"/>
                          <w:szCs w:val="28"/>
                        </w:rPr>
                        <w:t xml:space="preserve"> потерей зрения</w:t>
                      </w:r>
                    </w:p>
                  </w:txbxContent>
                </v:textbox>
              </v:rect>
            </w:pict>
          </mc:Fallback>
        </mc:AlternateContent>
      </w:r>
      <w:r w:rsidRPr="002B136D">
        <w:rPr>
          <w:noProof/>
          <w:lang w:eastAsia="ru-RU"/>
        </w:rPr>
        <w:drawing>
          <wp:inline distT="0" distB="0" distL="0" distR="0" wp14:anchorId="48E19786" wp14:editId="117EDA88">
            <wp:extent cx="6120765" cy="70478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7047865"/>
                    </a:xfrm>
                    <a:prstGeom prst="rect">
                      <a:avLst/>
                    </a:prstGeom>
                    <a:noFill/>
                  </pic:spPr>
                </pic:pic>
              </a:graphicData>
            </a:graphic>
          </wp:inline>
        </w:drawing>
      </w:r>
    </w:p>
    <w:p w14:paraId="2B6BC7BA" w14:textId="23526AB2" w:rsidR="00330C94" w:rsidRPr="00330C94" w:rsidRDefault="00330C94" w:rsidP="00330C94">
      <w:pPr>
        <w:spacing w:after="0" w:line="240" w:lineRule="auto"/>
        <w:contextualSpacing/>
        <w:jc w:val="center"/>
        <w:rPr>
          <w:bCs/>
          <w:noProof/>
          <w:lang w:eastAsia="ru-RU"/>
        </w:rPr>
      </w:pPr>
      <w:r w:rsidRPr="00330C94">
        <w:rPr>
          <w:bCs/>
          <w:noProof/>
          <w:lang w:eastAsia="ru-RU"/>
        </w:rPr>
        <w:t>Рисунок 2</w:t>
      </w:r>
      <w:r w:rsidR="007B402D">
        <w:rPr>
          <w:bCs/>
          <w:noProof/>
          <w:lang w:eastAsia="ru-RU"/>
        </w:rPr>
        <w:t>7</w:t>
      </w:r>
      <w:r w:rsidRPr="00330C94">
        <w:rPr>
          <w:bCs/>
          <w:noProof/>
          <w:lang w:eastAsia="ru-RU"/>
        </w:rPr>
        <w:t xml:space="preserve"> - Прогностическая модель тяжести ЭОП</w:t>
      </w:r>
    </w:p>
    <w:p w14:paraId="3992AE9E" w14:textId="77777777" w:rsidR="00A3590D" w:rsidRPr="002B136D" w:rsidRDefault="00A3590D" w:rsidP="00A3590D">
      <w:pPr>
        <w:spacing w:after="0"/>
        <w:ind w:firstLine="709"/>
        <w:contextualSpacing/>
        <w:jc w:val="both"/>
        <w:rPr>
          <w:noProof/>
          <w:lang w:eastAsia="ru-RU"/>
        </w:rPr>
      </w:pPr>
    </w:p>
    <w:p w14:paraId="4B41B093" w14:textId="24E0B558" w:rsidR="00A3590D" w:rsidRPr="002B136D" w:rsidRDefault="00A3590D" w:rsidP="00330C94">
      <w:pPr>
        <w:spacing w:after="0" w:line="240" w:lineRule="auto"/>
        <w:ind w:firstLine="567"/>
        <w:contextualSpacing/>
        <w:jc w:val="both"/>
        <w:rPr>
          <w:noProof/>
          <w:lang w:eastAsia="ru-RU"/>
        </w:rPr>
      </w:pPr>
      <w:r w:rsidRPr="002B136D">
        <w:rPr>
          <w:noProof/>
          <w:lang w:eastAsia="ru-RU"/>
        </w:rPr>
        <w:t xml:space="preserve">Прогностическая модель, разработанная на основе анализа данных 132 пациентов, страдающих эндокринной офтальмопатией (ЭОП), позволила выявить характерное распределение степеней тяжести данного заболевания </w:t>
      </w:r>
      <w:r w:rsidR="00EF13AB">
        <w:rPr>
          <w:noProof/>
          <w:lang w:eastAsia="ru-RU"/>
        </w:rPr>
        <w:t>(рисунок</w:t>
      </w:r>
      <w:r w:rsidR="00330C94">
        <w:rPr>
          <w:noProof/>
          <w:lang w:eastAsia="ru-RU"/>
        </w:rPr>
        <w:t xml:space="preserve"> </w:t>
      </w:r>
      <w:r w:rsidRPr="002B136D">
        <w:rPr>
          <w:noProof/>
          <w:lang w:eastAsia="ru-RU"/>
        </w:rPr>
        <w:t xml:space="preserve">126). Полученные результаты показали, что среди исследуемой </w:t>
      </w:r>
      <w:r w:rsidRPr="002B136D">
        <w:rPr>
          <w:noProof/>
          <w:lang w:eastAsia="ru-RU"/>
        </w:rPr>
        <w:lastRenderedPageBreak/>
        <w:t>группы пациентов преобладали случаи легкой и умеренной степени тяжести ЭОП. В частности, легкая степень ЭОП была зафиксирована у 39,4% пациентов, умеренная степень тяжести ЭОП оказалась наиболее распространенной, составляя 46,2% от общего числа пациентов. Тяжелая степень ЭОП, представляющая наибольшую угрозу для зрительных функций, наблюдалась у 14,4% пациентов, что подчеркивает необходимость своевременной диагностики и лечения для предотвращения неблагоприятных исходов.</w:t>
      </w:r>
    </w:p>
    <w:p w14:paraId="321FD4B0" w14:textId="43C663CC" w:rsidR="00A3590D" w:rsidRPr="002B136D" w:rsidRDefault="00A3590D" w:rsidP="00330C94">
      <w:pPr>
        <w:spacing w:after="0" w:line="240" w:lineRule="auto"/>
        <w:ind w:firstLine="567"/>
        <w:jc w:val="both"/>
        <w:rPr>
          <w:noProof/>
          <w:lang w:eastAsia="ru-RU"/>
        </w:rPr>
      </w:pPr>
      <w:r w:rsidRPr="002B136D">
        <w:rPr>
          <w:noProof/>
          <w:lang w:eastAsia="ru-RU"/>
        </w:rPr>
        <w:t>Для более детальног</w:t>
      </w:r>
      <w:r w:rsidR="00F35C00">
        <w:rPr>
          <w:noProof/>
          <w:lang w:eastAsia="ru-RU"/>
        </w:rPr>
        <w:t xml:space="preserve">о изучения влияния </w:t>
      </w:r>
      <w:r w:rsidRPr="002B136D">
        <w:rPr>
          <w:noProof/>
          <w:lang w:eastAsia="ru-RU"/>
        </w:rPr>
        <w:t>факторов на течение ЭОП был проведен анализ дерева решений, который позволил оценить связь между полиморфизмом rs7570267 гена IL38 и степенью тяжести заболевания. Статистический анализ выявил значимую ассоциацию между данным полиморфизмом и тяжестью ЭОП (р=0,03):</w:t>
      </w:r>
    </w:p>
    <w:p w14:paraId="0A2F4340" w14:textId="77777777" w:rsidR="00A3590D" w:rsidRPr="002B136D" w:rsidRDefault="00A3590D" w:rsidP="007B2271">
      <w:pPr>
        <w:tabs>
          <w:tab w:val="left" w:pos="851"/>
        </w:tabs>
        <w:spacing w:after="0" w:line="240" w:lineRule="auto"/>
        <w:ind w:firstLine="567"/>
        <w:jc w:val="both"/>
        <w:rPr>
          <w:noProof/>
          <w:lang w:eastAsia="ru-RU"/>
        </w:rPr>
      </w:pPr>
      <w:r w:rsidRPr="002B136D">
        <w:rPr>
          <w:noProof/>
          <w:lang w:eastAsia="ru-RU"/>
        </w:rPr>
        <w:t>1.</w:t>
      </w:r>
      <w:r w:rsidRPr="002B136D">
        <w:rPr>
          <w:noProof/>
          <w:lang w:eastAsia="ru-RU"/>
        </w:rPr>
        <w:tab/>
        <w:t>У пациентов с гетерозиготным генотипом AG по полиморфизму rs7570267 гена IL38 наблюдалось значительное снижение частоты тяжелых форм ЭОП. В частности, тяжелые формы ЭОП были выявлены лишь примерно у 3% носителей гетерозиготного генотипа AG, что почти в 6 раз меньше, чем у пациентов с гомозиготными вариантами. При этом легкая форма ЭОП у носителей генотипа AG встречалась значительно чаще, составляя 64,7% случаев, что почти вдвое превышает показатель для общей выборки. Умеренная тяжесть ЭОП у данной категории пациентов встречалась реже, составляя 32%. Полученные данные указывают на потенциальную роль гетерозиготного варианта AG в смягчении течения ЭОП и снижении риска развития тяжелых форм заболевания.</w:t>
      </w:r>
    </w:p>
    <w:p w14:paraId="5233A386" w14:textId="751028D4" w:rsidR="00A3590D" w:rsidRPr="002B136D" w:rsidRDefault="00F35C00" w:rsidP="00330C94">
      <w:pPr>
        <w:spacing w:after="0" w:line="240" w:lineRule="auto"/>
        <w:ind w:firstLine="567"/>
        <w:jc w:val="both"/>
        <w:rPr>
          <w:noProof/>
          <w:lang w:eastAsia="ru-RU"/>
        </w:rPr>
      </w:pPr>
      <w:r>
        <w:rPr>
          <w:noProof/>
          <w:lang w:eastAsia="ru-RU"/>
        </w:rPr>
        <w:t xml:space="preserve">1.1 </w:t>
      </w:r>
      <w:r w:rsidR="00A3590D" w:rsidRPr="002B136D">
        <w:rPr>
          <w:noProof/>
          <w:lang w:eastAsia="ru-RU"/>
        </w:rPr>
        <w:t>Далее, для более глубокого анализа факторов, влияющих на течение ЭОП у пациентов с гетерозиготным генотипом AG в гене rs7570267, выборка была распределена по полиморфизму rs9463772 кодирующего ИЛ-17 (р=0,09). Было установлено, что генотип CC данного гена ассоциирован с более благоприятным течением ЭОП. В частности, у пациентов с генотипом CC в 73% случаев наблюдалась легкая форма ЭОП, а в 27% – умеренная. Тяжелые формы ЭОП у носителей AG с генотипом CC по rs9463772 не встречались.</w:t>
      </w:r>
    </w:p>
    <w:p w14:paraId="22152B24" w14:textId="77777777" w:rsidR="00A3590D" w:rsidRPr="002B136D" w:rsidRDefault="00A3590D" w:rsidP="00330C94">
      <w:pPr>
        <w:spacing w:after="0" w:line="240" w:lineRule="auto"/>
        <w:ind w:firstLine="567"/>
        <w:jc w:val="both"/>
        <w:rPr>
          <w:noProof/>
          <w:lang w:eastAsia="ru-RU"/>
        </w:rPr>
      </w:pPr>
      <w:r w:rsidRPr="002B136D">
        <w:rPr>
          <w:noProof/>
          <w:lang w:eastAsia="ru-RU"/>
        </w:rPr>
        <w:t>Напротив, наличие генотипа CT по полиморфизму rs9463772 существенно изменяет течение ЭОП у носителей генотипа AG. Генотип CT статистически значимо повышает риск развития умеренной степени тяжести ЭОП, увеличивая ее частоту до 50%. Одновременно наблюдается снижение вероятности легкой формы ЭОП вдвое. Более того, генотип CT ассоциирован с появлением тяжелых форм ЭОП, вероятность которых возрастает до 12,5% (p=0,009). Таким образом, полиморфизм rs9463772 гена ИЛ-17 оказывает существенное влияние на течение ЭОП у носителей генотипа AG по rs7570267, определяя вероятность развития различных степеней тяжести заболевания.</w:t>
      </w:r>
    </w:p>
    <w:p w14:paraId="2124C74A" w14:textId="77777777" w:rsidR="00A3590D" w:rsidRPr="002B136D" w:rsidRDefault="00A3590D" w:rsidP="00330C94">
      <w:pPr>
        <w:spacing w:after="0" w:line="240" w:lineRule="auto"/>
        <w:ind w:firstLine="567"/>
        <w:jc w:val="both"/>
        <w:rPr>
          <w:noProof/>
          <w:lang w:eastAsia="ru-RU"/>
        </w:rPr>
      </w:pPr>
      <w:r w:rsidRPr="002B136D">
        <w:rPr>
          <w:noProof/>
          <w:lang w:eastAsia="ru-RU"/>
        </w:rPr>
        <w:t xml:space="preserve">2. В частности, было установлено, что у пациентов, являющихся носителями гомозиготных вариантов гена IL38 (AA или GG), распределение степеней тяжести ЭОП существенно отличается от общей выборки. У носителей гомозиготных вариантов легкая степень ЭОП наблюдалась в 30,6% </w:t>
      </w:r>
      <w:r w:rsidRPr="002B136D">
        <w:rPr>
          <w:noProof/>
          <w:lang w:eastAsia="ru-RU"/>
        </w:rPr>
        <w:lastRenderedPageBreak/>
        <w:t xml:space="preserve">случаев, что несколько ниже, чем в общей группе пациентов. Умеренная степень тяжести ЭОП у данной категории пациентов составляла 51%, что несколько выше, чем в общей выборке. Тяжелая степень ЭОП была зафиксирована у 18,4% носителей гомозиготных вариантов, что также превышает показатель для общей группы пациентов. </w:t>
      </w:r>
    </w:p>
    <w:p w14:paraId="1AFE391A" w14:textId="77777777" w:rsidR="00A3590D" w:rsidRPr="002B136D" w:rsidRDefault="00A3590D" w:rsidP="00330C94">
      <w:pPr>
        <w:spacing w:after="0" w:line="240" w:lineRule="auto"/>
        <w:ind w:firstLine="567"/>
        <w:jc w:val="both"/>
        <w:rPr>
          <w:noProof/>
          <w:lang w:eastAsia="ru-RU"/>
        </w:rPr>
      </w:pPr>
      <w:r w:rsidRPr="002B136D">
        <w:rPr>
          <w:noProof/>
          <w:lang w:eastAsia="ru-RU"/>
        </w:rPr>
        <w:t>2.1 Рассматривая гомозиготные варианты (AA/GG) гена rs7570267, пациенты данной группы были разделены по этнической принадлежности на две основные категории: азиатов и европеоидов (p=0,02). Анализ результатов, полученных для европеоидной группы, показал, что заболевание в основном протекало с умеренной степенью тяжести. В частности, умеренная тяжесть ЭОП была зафиксирована у 70% пациентов европеоидной группы. Тяжелая форма ЭОП, представляющая угрозу для потери зрения, встречалась у 18% пациентов. Легкое течение заболевания было выявлено лишь в 12% случаев.</w:t>
      </w:r>
    </w:p>
    <w:p w14:paraId="25E15E68" w14:textId="73D824B0" w:rsidR="00A3590D" w:rsidRPr="002B136D" w:rsidRDefault="00A3590D" w:rsidP="00330C94">
      <w:pPr>
        <w:spacing w:after="0" w:line="240" w:lineRule="auto"/>
        <w:ind w:firstLine="567"/>
        <w:contextualSpacing/>
        <w:jc w:val="both"/>
        <w:rPr>
          <w:noProof/>
          <w:lang w:eastAsia="ru-RU"/>
        </w:rPr>
      </w:pPr>
      <w:r w:rsidRPr="002B136D">
        <w:rPr>
          <w:noProof/>
          <w:lang w:eastAsia="ru-RU"/>
        </w:rPr>
        <w:t>Дальнейшее разветление европеоидной группы было проведено по возрастному признаку (p=0,01). Было установлено, что в европеоидной этнической группе умеренная тяжесть ЭОП выявляется в 84% случаев в возрасте до 47,5 лет, а легкое течение – в 10%. Наоборот, с возрастанием возраста от 47,5 лет повышаются риски тяжелого течения заболевания до 38,5%, а вероятность умеренной тяжести снижается почти в два раза. Легкое течение ЭОП повышается на 5%. Полученные результаты указывают на то, что возраст может являться важным фактором, влияющим на течение ЭОП у пациентов европеоидной этнической принадлежности и гомозиготными генотипами (AA/GG) гена rs7570267.</w:t>
      </w:r>
    </w:p>
    <w:p w14:paraId="51EF8BF4" w14:textId="77777777" w:rsidR="00A3590D" w:rsidRPr="002B136D" w:rsidRDefault="00A3590D" w:rsidP="00330C94">
      <w:pPr>
        <w:spacing w:after="0" w:line="240" w:lineRule="auto"/>
        <w:ind w:firstLine="567"/>
        <w:contextualSpacing/>
        <w:jc w:val="both"/>
        <w:rPr>
          <w:noProof/>
          <w:lang w:eastAsia="ru-RU"/>
        </w:rPr>
      </w:pPr>
      <w:r w:rsidRPr="002B136D">
        <w:rPr>
          <w:noProof/>
          <w:lang w:eastAsia="ru-RU"/>
        </w:rPr>
        <w:t>2.2 Пациенты с азиатской этнической принадлежностью с гомозиготными вариациями (AA/GG) гена rs7570267 распределились в зависимости от тяжести ЭОП следующим образом: легкая степень (39,4%), умеренная (42,4%), угрожающая потерей зрения (18,2%). При сравнении с европеоидной группой (12%) можно отметить, что легкое течение в 3 раза больше у азиатов. Таким образом, можно предположить, что данный генетический статус в сочетании с азиатской этнической принадлежностью может повысить вероятность легкого течения ЭОП на 39%.</w:t>
      </w:r>
    </w:p>
    <w:p w14:paraId="6DD8F71D" w14:textId="77777777" w:rsidR="00A3590D" w:rsidRPr="002B136D" w:rsidRDefault="00A3590D" w:rsidP="00330C94">
      <w:pPr>
        <w:spacing w:after="0" w:line="240" w:lineRule="auto"/>
        <w:ind w:firstLine="567"/>
        <w:contextualSpacing/>
        <w:jc w:val="both"/>
        <w:rPr>
          <w:noProof/>
          <w:lang w:eastAsia="ru-RU"/>
        </w:rPr>
      </w:pPr>
      <w:r w:rsidRPr="002B136D">
        <w:rPr>
          <w:noProof/>
          <w:lang w:eastAsia="ru-RU"/>
        </w:rPr>
        <w:t xml:space="preserve">Затем пациенты-азиаты с ЭОП были разделены на две группы по половому признаку. </w:t>
      </w:r>
      <w:proofErr w:type="gramStart"/>
      <w:r w:rsidRPr="002B136D">
        <w:rPr>
          <w:noProof/>
          <w:lang w:eastAsia="ru-RU"/>
        </w:rPr>
        <w:t>У женщин в основном превалируют легкая (46,8%) и умеренная (44,7%) тяжести, в то время как у мужчин данной группы чаще встречается тяжелая степень ЭОП (42,1%, которое превалирует в 5 раз больше, чем у женщин-азиаток (8,5%)).</w:t>
      </w:r>
      <w:proofErr w:type="gramEnd"/>
      <w:r w:rsidRPr="002B136D">
        <w:rPr>
          <w:noProof/>
          <w:lang w:eastAsia="ru-RU"/>
        </w:rPr>
        <w:t xml:space="preserve"> На втором месте у мужчин-азиатов умеренная тяжесть (36,8%), и, что интересно, легкое течение у пациентов данной группы встречается лишь в 21% случаях. На основании этих данных можно сделать вывод, что ЭОП протекает тяжелее у пациентов мужского пола с азиатской этнической группы и гомозиготными генотипами (AA/GG) гена rs7570267.</w:t>
      </w:r>
    </w:p>
    <w:p w14:paraId="378D0DD2" w14:textId="07FB40A2" w:rsidR="00A3590D" w:rsidRPr="002B136D" w:rsidRDefault="00A3590D" w:rsidP="00330C94">
      <w:pPr>
        <w:spacing w:after="0" w:line="240" w:lineRule="auto"/>
        <w:ind w:firstLine="567"/>
        <w:contextualSpacing/>
        <w:jc w:val="both"/>
        <w:rPr>
          <w:noProof/>
          <w:lang w:eastAsia="ru-RU"/>
        </w:rPr>
      </w:pPr>
      <w:r w:rsidRPr="002B136D">
        <w:rPr>
          <w:noProof/>
          <w:lang w:eastAsia="ru-RU"/>
        </w:rPr>
        <w:t xml:space="preserve">Следующее разделение группы у мужчин азиатов было проведено в зависимости от длительности заболевания щитовидной железы (р=0,02). Установлено, что длительность заболевания щитовидной железы более 2,5 лет повышает риски тяжелой степени ЭОП на 70%, в то время как при </w:t>
      </w:r>
      <w:r w:rsidRPr="002B136D">
        <w:rPr>
          <w:noProof/>
          <w:lang w:eastAsia="ru-RU"/>
        </w:rPr>
        <w:lastRenderedPageBreak/>
        <w:t>продолжительности до 2,5 лет данная степень встречается только в 3,4%. Таким образом, можно сказать, что длительность патологии щитовидной железы является одним из влияющих факторов на тяжесть ЭОП. В группе до 2,5 года, напротив, ЭОП протекала в умеренной степени тяжести (66,7%), по сравнению со второй группой, где данный показатель составил всего лишь 10%. А легкие степени почти встречались в одинаковом количестве в обеих группах по длительности заболевания щитовидной железы у мужчин азиатов.</w:t>
      </w:r>
    </w:p>
    <w:p w14:paraId="3957F58D" w14:textId="77777777" w:rsidR="00A3590D" w:rsidRPr="002B136D" w:rsidRDefault="00A3590D" w:rsidP="00330C94">
      <w:pPr>
        <w:spacing w:after="0" w:line="240" w:lineRule="auto"/>
        <w:ind w:firstLine="567"/>
        <w:contextualSpacing/>
        <w:jc w:val="both"/>
        <w:rPr>
          <w:noProof/>
          <w:lang w:eastAsia="ru-RU"/>
        </w:rPr>
      </w:pPr>
      <w:r w:rsidRPr="002B136D">
        <w:rPr>
          <w:noProof/>
          <w:lang w:eastAsia="ru-RU"/>
        </w:rPr>
        <w:t xml:space="preserve">У азиаток наблюдается статистически значимая связь между тяжестью эндокринной офтальмопатии (ЭОП) и статусом курения. Эта зависимость была выявлена на основе статистического анализа с уровнем значимости p=0,09, что указывает на определенную тенденцию. Детальный анализ показал, что у курящих женщин азиатского происхождения умеренная тяжесть эндокринной офтальмопатии встречалась значительно чаще, чем у тех, кто никогда не курил. В частности, умеренная форма ЭОП была диагностирована у 55,2% курящих пациенток. В противоположность этому, у некурящих азиаток преобладала легкая форма заболевания. Легкая форма ЭОП была зарегистрирована у 55,6% некурящих, что существенно выше, чем доля курящих с аналогичной степенью тяжести (41,4%). Примечательно, что, вопреки общемировой тенденции, согласно которой курение часто ассоциируется с более тяжелым течением эндокринной офтальмопатии, тяжелая форма заболевания несколько чаще наблюдалась у некурящих азиатских женщин в данной выборке. </w:t>
      </w:r>
      <w:proofErr w:type="gramStart"/>
      <w:r w:rsidRPr="002B136D">
        <w:rPr>
          <w:noProof/>
          <w:lang w:eastAsia="ru-RU"/>
        </w:rPr>
        <w:t>Процент некурящих с тяжелой формой ЭОП составил 16,7%, в то время как среди курящих тяжелая ЭОП была выявлена лишь в 3,4% случаев.</w:t>
      </w:r>
      <w:proofErr w:type="gramEnd"/>
      <w:r w:rsidRPr="002B136D">
        <w:rPr>
          <w:noProof/>
          <w:lang w:eastAsia="ru-RU"/>
        </w:rPr>
        <w:t xml:space="preserve"> Эта неожиданная находка может быть обусловлена специфическими генетическими особенностями данной выборки и этнической принадлежностью пациенток, что требует дальнейших исследований для подтверждения и более глубокого понимания механизмов, лежащих в основе данной взаимосвязи. Таким образом, наблюдаемые различия могут быть связаны не только с курением, но и с уникальными характеристиками изучаемой группы населения.</w:t>
      </w:r>
    </w:p>
    <w:p w14:paraId="7E73E7E7" w14:textId="77777777" w:rsidR="00A3590D" w:rsidRPr="002B136D" w:rsidRDefault="00A3590D" w:rsidP="00330C94">
      <w:pPr>
        <w:spacing w:after="0" w:line="240" w:lineRule="auto"/>
        <w:ind w:firstLine="567"/>
        <w:contextualSpacing/>
        <w:jc w:val="both"/>
        <w:rPr>
          <w:noProof/>
          <w:lang w:eastAsia="ru-RU"/>
        </w:rPr>
      </w:pPr>
      <w:r w:rsidRPr="002B136D">
        <w:rPr>
          <w:noProof/>
          <w:lang w:eastAsia="ru-RU"/>
        </w:rPr>
        <w:t xml:space="preserve">Группа с курящими азиатками разделилась на 2 подгруппы по возрастному признаку. Было выявлено, что курение может способствовать развитию ЭОП в молодом возрасте. </w:t>
      </w:r>
      <w:proofErr w:type="gramStart"/>
      <w:r w:rsidRPr="002B136D">
        <w:rPr>
          <w:noProof/>
          <w:lang w:eastAsia="ru-RU"/>
        </w:rPr>
        <w:t>Например, у женщин со статусом курильщика до 33,5 лет ЭОП развивается в основном в 61,5% случаев в легкой степени, в то время как в группе, где женщины после 33,5 лет, данная тяжесть составила 25%. Умеренная тяжесть в первой группе составила 30,8%, что в 2,5 раза меньше, чем в группе старше 33,5 лет, где она составила 75%. В другой группе, где</w:t>
      </w:r>
      <w:proofErr w:type="gramEnd"/>
      <w:r w:rsidRPr="002B136D">
        <w:rPr>
          <w:noProof/>
          <w:lang w:eastAsia="ru-RU"/>
        </w:rPr>
        <w:t xml:space="preserve"> были некурящие женщины, выборка разделилась на 2 ветви в зависимости от возраста: до и после 50,5 лет. В группе после данного возрастного показателя выявлена 100% вероятность легкого течения ЭОП. Во второй группе до 50,5 лет у пациентов легкая и умеренная тяжести были в одинаковом количестве (38,5%), а тяжелое течение составило 23,1%. Таким образом, гомозиготные вариации (AA/GG) гена rs7570267, статус курения и возраст являются важными факторами, влияющими на течение ЭОП у азиатских женщин.</w:t>
      </w:r>
    </w:p>
    <w:p w14:paraId="3F948646" w14:textId="77777777" w:rsidR="00A3590D" w:rsidRPr="002B136D" w:rsidRDefault="00A3590D" w:rsidP="00330C94">
      <w:pPr>
        <w:spacing w:after="0" w:line="240" w:lineRule="auto"/>
        <w:ind w:firstLine="567"/>
        <w:contextualSpacing/>
        <w:jc w:val="both"/>
        <w:rPr>
          <w:noProof/>
          <w:lang w:eastAsia="ru-RU"/>
        </w:rPr>
      </w:pPr>
      <w:r w:rsidRPr="002B136D">
        <w:rPr>
          <w:noProof/>
          <w:lang w:eastAsia="ru-RU"/>
        </w:rPr>
        <w:lastRenderedPageBreak/>
        <w:t>Исходя из вышеперечисленных данных, можно сказать, что гетерозиготный вариант (AG) гена rs7570267 оказывает защитное действие против умеренной и тяжелой ЭОП, подчеркивая важность генетики в исходах заболевания. Напротив, гомозиготные варианты этого гена в совокупности с указанными факторами риска ассоциированы с более тяжелым течением ЭОП.</w:t>
      </w:r>
    </w:p>
    <w:p w14:paraId="3FF000EC" w14:textId="77777777" w:rsidR="00A3590D" w:rsidRPr="002B136D" w:rsidRDefault="00A3590D" w:rsidP="00330C94">
      <w:pPr>
        <w:spacing w:after="0" w:line="240" w:lineRule="auto"/>
        <w:ind w:firstLine="567"/>
        <w:contextualSpacing/>
        <w:jc w:val="both"/>
        <w:rPr>
          <w:noProof/>
          <w:lang w:eastAsia="ru-RU"/>
        </w:rPr>
      </w:pPr>
      <w:r w:rsidRPr="002B136D">
        <w:rPr>
          <w:noProof/>
          <w:lang w:eastAsia="ru-RU"/>
        </w:rPr>
        <w:t>Следовательно, результаты исследования подтверждают значимость факторов, таких как полиморфизм в генах rs7570267 (IL38) и rs9463772 (IL-17), курение, пол, возрастные особенности, этническая принадлежность и длительность болезни Грейвса, на течение ЭОП, особенно в развитии тяжелых форм.</w:t>
      </w:r>
    </w:p>
    <w:p w14:paraId="7560413C" w14:textId="77777777" w:rsidR="00A3590D" w:rsidRPr="002B136D" w:rsidRDefault="00A3590D" w:rsidP="00330C94">
      <w:pPr>
        <w:spacing w:after="0" w:line="240" w:lineRule="auto"/>
        <w:ind w:firstLine="567"/>
        <w:contextualSpacing/>
        <w:jc w:val="both"/>
        <w:rPr>
          <w:noProof/>
          <w:lang w:eastAsia="ru-RU"/>
        </w:rPr>
      </w:pPr>
      <w:proofErr w:type="gramStart"/>
      <w:r w:rsidRPr="002B136D">
        <w:rPr>
          <w:noProof/>
          <w:lang w:eastAsia="ru-RU"/>
        </w:rPr>
        <w:t>Предложенная модель позволяет идентифицировать пациентов с болезнью Грейвса, подверженных высокому риску развития тяжелой ЭОП.</w:t>
      </w:r>
      <w:proofErr w:type="gramEnd"/>
    </w:p>
    <w:p w14:paraId="08B3A365" w14:textId="77777777" w:rsidR="00A3590D" w:rsidRPr="002B136D" w:rsidRDefault="00A3590D" w:rsidP="00330C94">
      <w:pPr>
        <w:spacing w:after="0" w:line="240" w:lineRule="auto"/>
        <w:ind w:firstLine="567"/>
        <w:contextualSpacing/>
        <w:jc w:val="both"/>
        <w:rPr>
          <w:noProof/>
          <w:lang w:eastAsia="ru-RU"/>
        </w:rPr>
      </w:pPr>
    </w:p>
    <w:p w14:paraId="6E901242" w14:textId="77777777" w:rsidR="00A3590D" w:rsidRPr="002B136D" w:rsidRDefault="00A3590D" w:rsidP="00330C94">
      <w:pPr>
        <w:spacing w:after="0" w:line="240" w:lineRule="auto"/>
        <w:ind w:firstLine="567"/>
        <w:contextualSpacing/>
        <w:jc w:val="both"/>
        <w:rPr>
          <w:noProof/>
          <w:lang w:eastAsia="ru-RU"/>
        </w:rPr>
      </w:pPr>
    </w:p>
    <w:p w14:paraId="28197380" w14:textId="77777777" w:rsidR="00A3590D" w:rsidRPr="002B136D" w:rsidRDefault="00A3590D" w:rsidP="00330C94">
      <w:pPr>
        <w:spacing w:after="0" w:line="240" w:lineRule="auto"/>
        <w:ind w:firstLine="567"/>
        <w:contextualSpacing/>
        <w:jc w:val="both"/>
        <w:rPr>
          <w:noProof/>
          <w:lang w:eastAsia="ru-RU"/>
        </w:rPr>
      </w:pPr>
    </w:p>
    <w:p w14:paraId="7370C333" w14:textId="77777777" w:rsidR="00A3590D" w:rsidRPr="002B136D" w:rsidRDefault="00A3590D" w:rsidP="00A3590D">
      <w:pPr>
        <w:spacing w:after="0"/>
        <w:ind w:firstLine="709"/>
        <w:contextualSpacing/>
        <w:jc w:val="both"/>
        <w:rPr>
          <w:lang w:val="kk-KZ"/>
        </w:rPr>
      </w:pPr>
    </w:p>
    <w:p w14:paraId="4A9247A2" w14:textId="77777777" w:rsidR="00A3590D" w:rsidRPr="002B136D" w:rsidRDefault="00A3590D" w:rsidP="00A3590D">
      <w:pPr>
        <w:spacing w:after="0"/>
        <w:ind w:firstLine="709"/>
        <w:contextualSpacing/>
        <w:jc w:val="both"/>
        <w:rPr>
          <w:lang w:val="kk-KZ"/>
        </w:rPr>
      </w:pPr>
    </w:p>
    <w:p w14:paraId="68D2DC7A" w14:textId="77777777" w:rsidR="00A3590D" w:rsidRPr="002B136D" w:rsidRDefault="00A3590D" w:rsidP="00A3590D">
      <w:pPr>
        <w:spacing w:after="0"/>
        <w:ind w:firstLine="709"/>
        <w:contextualSpacing/>
        <w:jc w:val="both"/>
        <w:rPr>
          <w:lang w:val="kk-KZ"/>
        </w:rPr>
      </w:pPr>
    </w:p>
    <w:p w14:paraId="7C613139" w14:textId="77777777" w:rsidR="00A3590D" w:rsidRPr="002B136D" w:rsidRDefault="00A3590D" w:rsidP="00A3590D">
      <w:pPr>
        <w:spacing w:after="0"/>
        <w:ind w:firstLine="709"/>
        <w:contextualSpacing/>
        <w:jc w:val="both"/>
        <w:rPr>
          <w:lang w:val="kk-KZ"/>
        </w:rPr>
      </w:pPr>
    </w:p>
    <w:p w14:paraId="37AA500B" w14:textId="77777777" w:rsidR="00A3590D" w:rsidRPr="002B136D" w:rsidRDefault="00A3590D" w:rsidP="00A3590D">
      <w:pPr>
        <w:spacing w:after="0"/>
        <w:ind w:firstLine="709"/>
        <w:contextualSpacing/>
        <w:jc w:val="both"/>
        <w:rPr>
          <w:lang w:val="kk-KZ"/>
        </w:rPr>
      </w:pPr>
    </w:p>
    <w:p w14:paraId="1BCD84E6" w14:textId="77777777" w:rsidR="00A3590D" w:rsidRPr="002B136D" w:rsidRDefault="00A3590D" w:rsidP="00A3590D">
      <w:pPr>
        <w:spacing w:after="0"/>
        <w:ind w:firstLine="709"/>
        <w:contextualSpacing/>
        <w:jc w:val="both"/>
        <w:rPr>
          <w:lang w:val="kk-KZ"/>
        </w:rPr>
      </w:pPr>
    </w:p>
    <w:p w14:paraId="3670294C" w14:textId="77777777" w:rsidR="00A3590D" w:rsidRPr="002B136D" w:rsidRDefault="00A3590D" w:rsidP="00A3590D">
      <w:pPr>
        <w:spacing w:after="0"/>
        <w:ind w:firstLine="709"/>
        <w:contextualSpacing/>
        <w:jc w:val="both"/>
        <w:rPr>
          <w:lang w:val="kk-KZ"/>
        </w:rPr>
      </w:pPr>
    </w:p>
    <w:p w14:paraId="07ED15DD" w14:textId="77777777" w:rsidR="00A3590D" w:rsidRPr="002B136D" w:rsidRDefault="00A3590D" w:rsidP="00A3590D">
      <w:pPr>
        <w:spacing w:after="0"/>
        <w:ind w:firstLine="709"/>
        <w:contextualSpacing/>
        <w:jc w:val="both"/>
        <w:rPr>
          <w:lang w:val="kk-KZ"/>
        </w:rPr>
      </w:pPr>
    </w:p>
    <w:p w14:paraId="2D6C7D2D" w14:textId="77777777" w:rsidR="00A3590D" w:rsidRPr="002B136D" w:rsidRDefault="00A3590D" w:rsidP="00A3590D">
      <w:pPr>
        <w:spacing w:after="0"/>
        <w:ind w:firstLine="709"/>
        <w:contextualSpacing/>
        <w:jc w:val="both"/>
        <w:rPr>
          <w:lang w:val="kk-KZ"/>
        </w:rPr>
      </w:pPr>
    </w:p>
    <w:p w14:paraId="360B0289" w14:textId="77777777" w:rsidR="00A3590D" w:rsidRPr="002B136D" w:rsidRDefault="00A3590D" w:rsidP="00A3590D">
      <w:pPr>
        <w:spacing w:after="0"/>
        <w:ind w:firstLine="709"/>
        <w:contextualSpacing/>
        <w:jc w:val="both"/>
        <w:rPr>
          <w:lang w:val="kk-KZ"/>
        </w:rPr>
      </w:pPr>
    </w:p>
    <w:p w14:paraId="5F6D1DC8" w14:textId="77777777" w:rsidR="00A3590D" w:rsidRPr="002B136D" w:rsidRDefault="00A3590D" w:rsidP="00A3590D">
      <w:pPr>
        <w:spacing w:after="0"/>
        <w:ind w:firstLine="709"/>
        <w:contextualSpacing/>
        <w:jc w:val="both"/>
        <w:rPr>
          <w:lang w:val="kk-KZ"/>
        </w:rPr>
      </w:pPr>
    </w:p>
    <w:p w14:paraId="781C5D97" w14:textId="77777777" w:rsidR="00A3590D" w:rsidRPr="002B136D" w:rsidRDefault="00A3590D" w:rsidP="00A3590D">
      <w:pPr>
        <w:spacing w:after="0"/>
        <w:ind w:firstLine="709"/>
        <w:contextualSpacing/>
        <w:jc w:val="both"/>
        <w:rPr>
          <w:lang w:val="kk-KZ"/>
        </w:rPr>
      </w:pPr>
    </w:p>
    <w:p w14:paraId="733F652F" w14:textId="77777777" w:rsidR="00A3590D" w:rsidRPr="002B136D" w:rsidRDefault="00A3590D" w:rsidP="00A3590D">
      <w:pPr>
        <w:spacing w:after="0"/>
        <w:ind w:firstLine="709"/>
        <w:contextualSpacing/>
        <w:jc w:val="both"/>
        <w:rPr>
          <w:lang w:val="kk-KZ"/>
        </w:rPr>
      </w:pPr>
    </w:p>
    <w:p w14:paraId="6219BB87" w14:textId="77777777" w:rsidR="00A3590D" w:rsidRPr="002B136D" w:rsidRDefault="00A3590D" w:rsidP="00A3590D">
      <w:pPr>
        <w:spacing w:after="0"/>
        <w:ind w:firstLine="709"/>
        <w:contextualSpacing/>
        <w:jc w:val="both"/>
        <w:rPr>
          <w:lang w:val="kk-KZ"/>
        </w:rPr>
      </w:pPr>
    </w:p>
    <w:p w14:paraId="103C02D6" w14:textId="77777777" w:rsidR="00A3590D" w:rsidRPr="002B136D" w:rsidRDefault="00A3590D" w:rsidP="00A3590D">
      <w:pPr>
        <w:spacing w:after="0"/>
        <w:ind w:firstLine="709"/>
        <w:contextualSpacing/>
        <w:jc w:val="both"/>
        <w:rPr>
          <w:lang w:val="kk-KZ"/>
        </w:rPr>
      </w:pPr>
    </w:p>
    <w:p w14:paraId="69458895" w14:textId="77777777" w:rsidR="00A3590D" w:rsidRPr="002B136D" w:rsidRDefault="00A3590D" w:rsidP="00A3590D">
      <w:pPr>
        <w:spacing w:after="0"/>
        <w:ind w:firstLine="709"/>
        <w:contextualSpacing/>
        <w:jc w:val="both"/>
        <w:rPr>
          <w:lang w:val="kk-KZ"/>
        </w:rPr>
      </w:pPr>
    </w:p>
    <w:p w14:paraId="2B95A8DA" w14:textId="77777777" w:rsidR="00A3590D" w:rsidRPr="002B136D" w:rsidRDefault="00A3590D" w:rsidP="00A3590D">
      <w:pPr>
        <w:spacing w:after="0"/>
        <w:ind w:firstLine="709"/>
        <w:contextualSpacing/>
        <w:jc w:val="both"/>
        <w:rPr>
          <w:lang w:val="kk-KZ"/>
        </w:rPr>
      </w:pPr>
    </w:p>
    <w:p w14:paraId="277B7C2D" w14:textId="77777777" w:rsidR="00A3590D" w:rsidRPr="002B136D" w:rsidRDefault="00A3590D" w:rsidP="00A3590D">
      <w:pPr>
        <w:spacing w:after="0"/>
        <w:ind w:firstLine="709"/>
        <w:contextualSpacing/>
        <w:jc w:val="both"/>
        <w:rPr>
          <w:lang w:val="kk-KZ"/>
        </w:rPr>
      </w:pPr>
    </w:p>
    <w:p w14:paraId="4757A10A" w14:textId="77777777" w:rsidR="00A3590D" w:rsidRPr="002B136D" w:rsidRDefault="00A3590D" w:rsidP="00A3590D">
      <w:pPr>
        <w:spacing w:after="0"/>
        <w:ind w:firstLine="709"/>
        <w:contextualSpacing/>
        <w:jc w:val="both"/>
        <w:rPr>
          <w:lang w:val="kk-KZ"/>
        </w:rPr>
      </w:pPr>
    </w:p>
    <w:p w14:paraId="07C9DC8B" w14:textId="77777777" w:rsidR="00A3590D" w:rsidRPr="002B136D" w:rsidRDefault="00A3590D" w:rsidP="00A3590D">
      <w:pPr>
        <w:spacing w:after="0"/>
        <w:ind w:firstLine="709"/>
        <w:contextualSpacing/>
        <w:jc w:val="both"/>
        <w:rPr>
          <w:lang w:val="kk-KZ"/>
        </w:rPr>
      </w:pPr>
    </w:p>
    <w:p w14:paraId="661E8727" w14:textId="77777777" w:rsidR="00A3590D" w:rsidRPr="002B136D" w:rsidRDefault="00A3590D" w:rsidP="00A3590D">
      <w:pPr>
        <w:spacing w:after="0"/>
        <w:ind w:firstLine="709"/>
        <w:contextualSpacing/>
        <w:jc w:val="both"/>
        <w:rPr>
          <w:lang w:val="kk-KZ"/>
        </w:rPr>
      </w:pPr>
    </w:p>
    <w:p w14:paraId="3C33C806" w14:textId="77777777" w:rsidR="00A3590D" w:rsidRPr="002B136D" w:rsidRDefault="00A3590D" w:rsidP="00A3590D">
      <w:pPr>
        <w:spacing w:after="0"/>
        <w:ind w:firstLine="709"/>
        <w:contextualSpacing/>
        <w:jc w:val="both"/>
        <w:rPr>
          <w:lang w:val="kk-KZ"/>
        </w:rPr>
      </w:pPr>
    </w:p>
    <w:p w14:paraId="298D5464" w14:textId="77777777" w:rsidR="00A3590D" w:rsidRPr="002B136D" w:rsidRDefault="00A3590D" w:rsidP="00A3590D">
      <w:pPr>
        <w:spacing w:after="0"/>
        <w:ind w:firstLine="709"/>
        <w:contextualSpacing/>
        <w:jc w:val="both"/>
        <w:rPr>
          <w:lang w:val="kk-KZ"/>
        </w:rPr>
      </w:pPr>
    </w:p>
    <w:p w14:paraId="2DEB3B60" w14:textId="77777777" w:rsidR="00A3590D" w:rsidRPr="002B136D" w:rsidRDefault="00A3590D" w:rsidP="00A3590D">
      <w:pPr>
        <w:spacing w:after="0"/>
        <w:ind w:firstLine="709"/>
        <w:contextualSpacing/>
        <w:jc w:val="both"/>
        <w:rPr>
          <w:lang w:val="kk-KZ"/>
        </w:rPr>
      </w:pPr>
    </w:p>
    <w:p w14:paraId="47FD633A" w14:textId="77777777" w:rsidR="00A3590D" w:rsidRPr="002B136D" w:rsidRDefault="00A3590D" w:rsidP="00A3590D">
      <w:pPr>
        <w:spacing w:after="0"/>
        <w:ind w:firstLine="709"/>
        <w:contextualSpacing/>
        <w:jc w:val="both"/>
      </w:pPr>
    </w:p>
    <w:p w14:paraId="1B8C7F90" w14:textId="46045C16" w:rsidR="003A404C" w:rsidRDefault="003A404C" w:rsidP="007B2271">
      <w:pPr>
        <w:tabs>
          <w:tab w:val="left" w:pos="1013"/>
        </w:tabs>
        <w:spacing w:after="0"/>
        <w:contextualSpacing/>
        <w:jc w:val="center"/>
        <w:rPr>
          <w:rFonts w:cs="Times New Roman"/>
          <w:b/>
          <w:szCs w:val="28"/>
        </w:rPr>
      </w:pPr>
      <w:r w:rsidRPr="002B136D">
        <w:rPr>
          <w:rFonts w:cs="Times New Roman"/>
          <w:b/>
          <w:szCs w:val="28"/>
        </w:rPr>
        <w:lastRenderedPageBreak/>
        <w:t>ЗАКЛЮЧЕНИЕ</w:t>
      </w:r>
    </w:p>
    <w:p w14:paraId="04A11FD0" w14:textId="77777777" w:rsidR="007B2271" w:rsidRPr="002B136D" w:rsidRDefault="007B2271" w:rsidP="007B2271">
      <w:pPr>
        <w:tabs>
          <w:tab w:val="left" w:pos="1013"/>
        </w:tabs>
        <w:spacing w:after="0"/>
        <w:contextualSpacing/>
        <w:jc w:val="center"/>
        <w:rPr>
          <w:rFonts w:cs="Times New Roman"/>
          <w:b/>
          <w:szCs w:val="28"/>
        </w:rPr>
      </w:pPr>
    </w:p>
    <w:p w14:paraId="780676C6" w14:textId="77777777" w:rsidR="003A404C" w:rsidRPr="002B136D" w:rsidRDefault="003A404C" w:rsidP="007B2271">
      <w:pPr>
        <w:spacing w:after="0" w:line="240" w:lineRule="auto"/>
        <w:ind w:firstLine="567"/>
        <w:contextualSpacing/>
        <w:jc w:val="both"/>
      </w:pPr>
      <w:r w:rsidRPr="002B136D">
        <w:t>Эндокринная офтальмопатия – иммуноопосредованное заболевание, при котором аутоиммунная реакция поражает ткани глазных орбит. Это вызывает экзофтальм, отек, покраснение, болезненность глаз, ограничение подвижности и, как следствие, ухудшение качества жизни. Развитие болезни обусловлено взаимодействием генетических факторов и особенностей иммунной системы с внешними факторами, такими как стресс, курение и инфекции. Диагностика и лечение требуют индивидуального подхода из-за сложности этого взаимодействия.</w:t>
      </w:r>
    </w:p>
    <w:p w14:paraId="2B07845D" w14:textId="77777777" w:rsidR="003A404C" w:rsidRPr="002B136D" w:rsidRDefault="003A404C" w:rsidP="007B2271">
      <w:pPr>
        <w:spacing w:after="0" w:line="240" w:lineRule="auto"/>
        <w:ind w:firstLine="567"/>
        <w:contextualSpacing/>
        <w:jc w:val="both"/>
      </w:pPr>
      <w:r w:rsidRPr="002B136D">
        <w:t>Несмотря на значительные исследования, точный патогенез ЭОП до сих пор не был полностью выяснен. Патогенез относится к механизмам развития заболевания, и в случае ЭОП он остается предметом научных споров и исследований. Это означает, что ученые все еще пытаются полностью понять, как именно иммунная система взаимодействует с глазными тканями, вызывая воспаление и другие симптомы заболевания. Эта неопределенность затрудняет разработку эффективных методов лечения и профилактики.</w:t>
      </w:r>
    </w:p>
    <w:p w14:paraId="5A6DB5FB" w14:textId="77777777" w:rsidR="003A404C" w:rsidRPr="002B136D" w:rsidRDefault="003A404C" w:rsidP="007B2271">
      <w:pPr>
        <w:spacing w:after="0" w:line="240" w:lineRule="auto"/>
        <w:ind w:firstLine="567"/>
        <w:contextualSpacing/>
        <w:jc w:val="both"/>
      </w:pPr>
      <w:r w:rsidRPr="002B136D">
        <w:t xml:space="preserve">Сывороточные Th1/Th2/Th17-ассоциированные цитокины и хемокины, ключевые регуляторы иммунного ответа, вероятно, отражают активность и участвуют в патогенезе </w:t>
      </w:r>
      <w:proofErr w:type="gramStart"/>
      <w:r w:rsidRPr="002B136D">
        <w:t>эндокринной</w:t>
      </w:r>
      <w:proofErr w:type="gramEnd"/>
      <w:r w:rsidRPr="002B136D">
        <w:t xml:space="preserve"> офтальмопатии (ЭОП). Th17 клетки, продуцируя IL-17, могут стимулировать фибробластные и антигенпрезентирующие клетки к секреции IL-1, IL-6, IL-8 и TNF, способствуя развитию ЭОП. Взаимодействие IL-17 с иммунными клетками усиливает выработку провоспалительных цитокинов и хемоаттрактантов, усиливая миграцию иммунных клеток в орбиту и формируя воспалительную среду, которая усугубляет воспаление в орбитальных тканях и прогрессирование ЭОП. Экспериментальное повышение IL-38 подавляет выработку IL-17, подчеркивая роль IL-17 в воспалительных реакциях. Подавление IL-17 высокими уровнями IL-38 может представлять собой часть сложного механизма регуляции иммунного ответа.</w:t>
      </w:r>
    </w:p>
    <w:p w14:paraId="3DEB41FD" w14:textId="77777777" w:rsidR="003A404C" w:rsidRPr="002B136D" w:rsidRDefault="003A404C" w:rsidP="007B2271">
      <w:pPr>
        <w:spacing w:after="0" w:line="240" w:lineRule="auto"/>
        <w:ind w:firstLine="567"/>
        <w:contextualSpacing/>
        <w:jc w:val="both"/>
      </w:pPr>
      <w:r w:rsidRPr="002B136D">
        <w:t xml:space="preserve">Многочисленные исследования определили курение как основной фактор риска развития офтальмопатии, указывая на его сильную связь с повышенным риском и прогрессированием заболевания. Курение влияет на иммунную систему и усиливает воспаление, что делает его значимым фактором в развитии тяжелого течения ЭОП. Наше исследование также выявило явную связь между курением (активным и пассивным) и активной формой офтальмопатии, подтверждая, что курение является ключевым предиктором в развитии заболевания. Эти данные подчеркивают негативное влияние курения на течение ЭОП и указывают на необходимость строгих рекомендаций по отказу от курения как части комплексного лечения и профилактики. </w:t>
      </w:r>
    </w:p>
    <w:p w14:paraId="054F5EA8" w14:textId="77777777" w:rsidR="003A404C" w:rsidRPr="002B136D" w:rsidRDefault="003A404C" w:rsidP="007B2271">
      <w:pPr>
        <w:spacing w:after="0" w:line="240" w:lineRule="auto"/>
        <w:ind w:firstLine="567"/>
        <w:contextualSpacing/>
        <w:jc w:val="both"/>
      </w:pPr>
      <w:r w:rsidRPr="002B136D">
        <w:t xml:space="preserve">Современные исследования офтальмопатии акцентируются на роли </w:t>
      </w:r>
      <w:proofErr w:type="gramStart"/>
      <w:r w:rsidRPr="002B136D">
        <w:t>про</w:t>
      </w:r>
      <w:proofErr w:type="gramEnd"/>
      <w:r w:rsidRPr="002B136D">
        <w:t xml:space="preserve">- и </w:t>
      </w:r>
      <w:proofErr w:type="gramStart"/>
      <w:r w:rsidRPr="002B136D">
        <w:t>противовоспалительных</w:t>
      </w:r>
      <w:proofErr w:type="gramEnd"/>
      <w:r w:rsidRPr="002B136D">
        <w:t xml:space="preserve"> цитокинов, а также полиморфизме генов, кодирующих эти цитокины. Изучение этих цитокинов, ключевых медиаторов иммунного </w:t>
      </w:r>
      <w:r w:rsidRPr="002B136D">
        <w:lastRenderedPageBreak/>
        <w:t xml:space="preserve">ответа, позволяет понять механизмы развития и прогрессирования </w:t>
      </w:r>
      <w:proofErr w:type="gramStart"/>
      <w:r w:rsidRPr="002B136D">
        <w:t>эндокринной</w:t>
      </w:r>
      <w:proofErr w:type="gramEnd"/>
      <w:r w:rsidRPr="002B136D">
        <w:t xml:space="preserve"> офтальмопатии (ЭОП).</w:t>
      </w:r>
    </w:p>
    <w:p w14:paraId="5AF6C6CF" w14:textId="2EFF0190" w:rsidR="00843E38" w:rsidRPr="002B136D" w:rsidRDefault="00843E38" w:rsidP="007B2271">
      <w:pPr>
        <w:spacing w:after="0" w:line="240" w:lineRule="auto"/>
        <w:ind w:firstLine="567"/>
        <w:contextualSpacing/>
        <w:jc w:val="both"/>
      </w:pPr>
      <w:r w:rsidRPr="002B136D">
        <w:rPr>
          <w:b/>
        </w:rPr>
        <w:t>Цель исследования: </w:t>
      </w:r>
      <w:r w:rsidRPr="002B136D">
        <w:t>установить иммунологические и генетические особенности эндокринной офтальмопатии и разработать прогностическую модель клинического течения.</w:t>
      </w:r>
    </w:p>
    <w:p w14:paraId="7B21AEAF" w14:textId="77777777" w:rsidR="003A404C" w:rsidRPr="002B136D" w:rsidRDefault="003A404C" w:rsidP="007B2271">
      <w:pPr>
        <w:spacing w:after="0" w:line="240" w:lineRule="auto"/>
        <w:ind w:firstLine="567"/>
        <w:contextualSpacing/>
        <w:jc w:val="both"/>
      </w:pPr>
      <w:r w:rsidRPr="002B136D">
        <w:t xml:space="preserve">Для достижения указанной цели, был выполнен ряд задач, изложенных ниже. </w:t>
      </w:r>
    </w:p>
    <w:p w14:paraId="563759AC" w14:textId="65010FDA" w:rsidR="003A404C" w:rsidRPr="002B136D" w:rsidRDefault="003A404C" w:rsidP="007B2271">
      <w:pPr>
        <w:spacing w:after="0" w:line="240" w:lineRule="auto"/>
        <w:ind w:firstLine="567"/>
        <w:contextualSpacing/>
        <w:jc w:val="both"/>
      </w:pPr>
      <w:r w:rsidRPr="002B136D">
        <w:t xml:space="preserve">В рамках реализации </w:t>
      </w:r>
      <w:r w:rsidRPr="002B136D">
        <w:rPr>
          <w:b/>
        </w:rPr>
        <w:t>первой</w:t>
      </w:r>
      <w:r w:rsidRPr="002B136D">
        <w:t xml:space="preserve"> задачи исследования были проанализированы клинические особенности ЭОП с учетом половозрастных особенностей, стадии активности и тяжести заболевания. Нами были определины гендерно-специфические различия в течении ЭОП, выявив более тяжелое течение у мужчин и особенности, связанные с гормональными и метаболическими факторами у женщин. Эти данные подчеркивает необходимость индивидуализированного подхода в лечении, основанного на статистически значимых данных, и является значительным вкладом в улучшение клинической практики и лечения.</w:t>
      </w:r>
    </w:p>
    <w:p w14:paraId="2477FD1E" w14:textId="77777777" w:rsidR="003A404C" w:rsidRPr="002B136D" w:rsidRDefault="003A404C" w:rsidP="007B2271">
      <w:pPr>
        <w:spacing w:after="0" w:line="240" w:lineRule="auto"/>
        <w:ind w:firstLine="567"/>
        <w:contextualSpacing/>
        <w:jc w:val="both"/>
      </w:pPr>
      <w:r w:rsidRPr="002B136D">
        <w:t xml:space="preserve">В результате выполнения </w:t>
      </w:r>
      <w:r w:rsidRPr="002B136D">
        <w:rPr>
          <w:b/>
        </w:rPr>
        <w:t xml:space="preserve">второй </w:t>
      </w:r>
      <w:r w:rsidRPr="002B136D">
        <w:t>поставленной задачи, касающейся иммунологического исследования, была выявлена достоверная связь между дисбалансом уровней IL-38 и IL-17 в сыворотке крови и слезах пациентов и развитием эндокринной офтальмопатии (</w:t>
      </w:r>
      <w:proofErr w:type="gramStart"/>
      <w:r w:rsidRPr="002B136D">
        <w:t>р</w:t>
      </w:r>
      <w:proofErr w:type="gramEnd"/>
      <w:r w:rsidRPr="002B136D">
        <w:t>=0,01). Обнаруженный дисбаланс характеризуется следующей закономерностью: наблюдается повышенный уровень IL-17, который является провоспалительным цитокином, и одновременно пониженный уровень IL-38, являющегося потенциальным супрессором воспаления. Важно отметить, что этот дисбаланс цитокинов напрямую коррелирует с клинической активностью ЭОП (</w:t>
      </w:r>
      <w:proofErr w:type="gramStart"/>
      <w:r w:rsidRPr="002B136D">
        <w:t>р</w:t>
      </w:r>
      <w:proofErr w:type="gramEnd"/>
      <w:r w:rsidRPr="002B136D">
        <w:t xml:space="preserve">=0,01), то есть с выраженностью симптомов и стадией развития заболевания. В частности, было установлено, что концентрация IL-17 значительно выше в нестимулированной слезе, сыворотке крови и орбитальной жировой ткани пациентов, находящихся в активной фазе ЭОП. Кроме того, выявлено, что уровень IL-17 в крови пациентов прямо пропорционален активности и тяжести заболевания, то есть чем выше уровень IL-17 в крови, тем более активно протекает ЭОП и тем тяжелее её проявления. Полученные данные однозначно подтверждают важную роль IL-17 как потенциального медиатора воспаления при </w:t>
      </w:r>
      <w:proofErr w:type="gramStart"/>
      <w:r w:rsidRPr="002B136D">
        <w:t>активной</w:t>
      </w:r>
      <w:proofErr w:type="gramEnd"/>
      <w:r w:rsidRPr="002B136D">
        <w:t xml:space="preserve"> эндокринной офтальмопатии. Эти результаты также указывают на значимость ИЛ-17 и ИЛ-38 как биомаркеров, которые могут быть использованы для объективной оценки активности заболевания и мониторинга эффективности проводимой терапии.</w:t>
      </w:r>
    </w:p>
    <w:p w14:paraId="2A363560" w14:textId="77777777" w:rsidR="003A404C" w:rsidRPr="002B136D" w:rsidRDefault="003A404C" w:rsidP="007B2271">
      <w:pPr>
        <w:spacing w:after="0" w:line="240" w:lineRule="auto"/>
        <w:ind w:firstLine="567"/>
        <w:contextualSpacing/>
        <w:jc w:val="both"/>
      </w:pPr>
      <w:r w:rsidRPr="002B136D">
        <w:t xml:space="preserve">В свою очередь, уровень IL-38 у пациентов с </w:t>
      </w:r>
      <w:proofErr w:type="gramStart"/>
      <w:r w:rsidRPr="002B136D">
        <w:t>активной</w:t>
      </w:r>
      <w:proofErr w:type="gramEnd"/>
      <w:r w:rsidRPr="002B136D">
        <w:t xml:space="preserve"> ЭОП был ниже по сравнению с контрольной и неактивной группами. Также, самые минимальные концентрации ИЛ-38 в крови были определены у пациентов с легкой тяжестью ЭОП, нежели с умеренной и степенью, угрожающей потерей зрения (</w:t>
      </w:r>
      <w:proofErr w:type="gramStart"/>
      <w:r w:rsidRPr="002B136D">
        <w:t>р</w:t>
      </w:r>
      <w:proofErr w:type="gramEnd"/>
      <w:r w:rsidRPr="002B136D">
        <w:t xml:space="preserve">=0,03). Это может указывать на то, что сниженный уровень IL-38 связан с более высокой активностью заболевания. Учитывая потенциальную роль IL-38 в регуляции воспалительных процессов, эти результаты могут иметь </w:t>
      </w:r>
      <w:proofErr w:type="gramStart"/>
      <w:r w:rsidRPr="002B136D">
        <w:t xml:space="preserve">важное </w:t>
      </w:r>
      <w:r w:rsidRPr="002B136D">
        <w:lastRenderedPageBreak/>
        <w:t>значение</w:t>
      </w:r>
      <w:proofErr w:type="gramEnd"/>
      <w:r w:rsidRPr="002B136D">
        <w:t xml:space="preserve"> для понимания патогенеза ЭОП и разработки новых подходов к лечению.</w:t>
      </w:r>
    </w:p>
    <w:p w14:paraId="7CAA76AB" w14:textId="77777777" w:rsidR="003A404C" w:rsidRPr="002B136D" w:rsidRDefault="003A404C" w:rsidP="007B2271">
      <w:pPr>
        <w:spacing w:after="0" w:line="240" w:lineRule="auto"/>
        <w:ind w:firstLine="567"/>
        <w:contextualSpacing/>
        <w:jc w:val="both"/>
      </w:pPr>
      <w:r w:rsidRPr="002B136D">
        <w:t xml:space="preserve">Для дальнейшего обоснования значимой роли интерлейкина-17 (ИЛ-17) и интерлейкина-38 (ИЛ-38) в развитии патогенетических механизмов эндокринной офтальмопатии (ЭОП), что являлось </w:t>
      </w:r>
      <w:r w:rsidRPr="002B136D">
        <w:rPr>
          <w:b/>
        </w:rPr>
        <w:t xml:space="preserve">третьей </w:t>
      </w:r>
      <w:r w:rsidRPr="002B136D">
        <w:t>задачей настоящего исследования, был предпринят иммуногистохимический анализ образцов орбитальной жировой ткани. Эти образцы были получены от пациентов, страдающих ЭОП, а также от пациентов с пролапсом орбитальной клетчатки, которые послужили контрольной группой.</w:t>
      </w:r>
    </w:p>
    <w:p w14:paraId="3297734F" w14:textId="77777777" w:rsidR="003A404C" w:rsidRPr="002B136D" w:rsidRDefault="003A404C" w:rsidP="007B2271">
      <w:pPr>
        <w:spacing w:after="0" w:line="240" w:lineRule="auto"/>
        <w:ind w:firstLine="567"/>
        <w:contextualSpacing/>
        <w:jc w:val="both"/>
      </w:pPr>
      <w:r w:rsidRPr="002B136D">
        <w:t xml:space="preserve">Проведенное гистологическое исследование позволило выявить существенные различия в клеточном составе тканей, взятых из обеих групп. В контрольной группе, представленной образцами с пролапсом орбитальной клетчатки, наблюдалась типичная картина нормальной жировой ткани. Характерной чертой являлось наличие </w:t>
      </w:r>
      <w:proofErr w:type="gramStart"/>
      <w:r w:rsidRPr="002B136D">
        <w:t>однородных</w:t>
      </w:r>
      <w:proofErr w:type="gramEnd"/>
      <w:r w:rsidRPr="002B136D">
        <w:t xml:space="preserve"> адипоцитов, равномерно распределенных в ткани. В отличие от этого, в группе пациентов с ЭОП были обнаружены выраженные фиброзированные очаги. Эти очаги характеризовались наличием иммунной инфильтрации, указывающей на активный воспалительный процесс, а также признаками неоадипогенеза – формирования новых жировых клеток.</w:t>
      </w:r>
    </w:p>
    <w:p w14:paraId="772F7AD5" w14:textId="77777777" w:rsidR="003A404C" w:rsidRPr="002B136D" w:rsidRDefault="003A404C" w:rsidP="007B2271">
      <w:pPr>
        <w:spacing w:after="0" w:line="240" w:lineRule="auto"/>
        <w:ind w:firstLine="567"/>
        <w:contextualSpacing/>
        <w:jc w:val="both"/>
      </w:pPr>
      <w:r w:rsidRPr="002B136D">
        <w:t xml:space="preserve">Анализ экспрессии ИЛ-17 и ИЛ-38 также продемонстрировал значительные различия между группами. В контрольной группе визуализация ИЛ-17 была ограничена: он обнаруживался лишь в отдельных, немногочисленных участках межклеточного пространства. В то же время, в группе пациентов с ЭОП наблюдалась </w:t>
      </w:r>
      <w:proofErr w:type="gramStart"/>
      <w:r w:rsidRPr="002B136D">
        <w:t>значительная</w:t>
      </w:r>
      <w:proofErr w:type="gramEnd"/>
      <w:r w:rsidRPr="002B136D">
        <w:t xml:space="preserve"> гиперэкспрессия ИЛ-17, особенно выраженная в очагах фиброза, что свидетельствует о его вовлеченности в процесс формирования фиброзной ткани.</w:t>
      </w:r>
    </w:p>
    <w:p w14:paraId="7388351D" w14:textId="77777777" w:rsidR="003A404C" w:rsidRPr="002B136D" w:rsidRDefault="003A404C" w:rsidP="007B2271">
      <w:pPr>
        <w:spacing w:after="0" w:line="240" w:lineRule="auto"/>
        <w:ind w:firstLine="567"/>
        <w:contextualSpacing/>
        <w:jc w:val="both"/>
      </w:pPr>
      <w:r w:rsidRPr="002B136D">
        <w:t>Распределение ИЛ-38 также отличалось в обеих группах. В контрольных образцах ИЛ-38 был распределен относительно равномерно по всей ткани. Однако в группе ЭОП он локализовался преимущественно в фиброзированных очагах, подобно ИЛ-17. Полученные данные позволяют сделать вывод о важной и, возможно, ключевой роли ИЛ-17 и ИЛ-38 в развит</w:t>
      </w:r>
      <w:proofErr w:type="gramStart"/>
      <w:r w:rsidRPr="002B136D">
        <w:t>ии ау</w:t>
      </w:r>
      <w:proofErr w:type="gramEnd"/>
      <w:r w:rsidRPr="002B136D">
        <w:t>тоиммунного процесса, лежащего в основе патогенеза эндокринной офтальмопатии.</w:t>
      </w:r>
    </w:p>
    <w:p w14:paraId="4B6A7D6A" w14:textId="77777777" w:rsidR="003A404C" w:rsidRPr="002B136D" w:rsidRDefault="003A404C" w:rsidP="007B2271">
      <w:pPr>
        <w:spacing w:after="0" w:line="240" w:lineRule="auto"/>
        <w:ind w:firstLine="567"/>
        <w:contextualSpacing/>
        <w:jc w:val="both"/>
      </w:pPr>
      <w:r w:rsidRPr="002B136D">
        <w:t xml:space="preserve">Результаты </w:t>
      </w:r>
      <w:r w:rsidRPr="002B136D">
        <w:rPr>
          <w:b/>
        </w:rPr>
        <w:t xml:space="preserve">четвертого </w:t>
      </w:r>
      <w:r w:rsidRPr="002B136D">
        <w:t xml:space="preserve">генетического исследования выявили значимую связь между определенными генетическими вариантами и риском развития и тяжестью эндокринной офтальмопатии (ЭОП) у пациентов европеоидной этнической группы. В частности, исследование сосредоточилось на полиморфизмах в гене IL38, а именно rs3811058 и rs7570267. Анализ показал, что у пациентов европеоидной этнической группы наличие генотипа CC в полиморфизме rs3811058 (IL38) </w:t>
      </w:r>
      <w:proofErr w:type="gramStart"/>
      <w:r w:rsidRPr="002B136D">
        <w:t>значительно ассоциировано</w:t>
      </w:r>
      <w:proofErr w:type="gramEnd"/>
      <w:r w:rsidRPr="002B136D">
        <w:t xml:space="preserve"> с повышенной вероятностью развития эндокринной офтальмопатии (ЭОП). Статистический анализ показал отношение шансов (OR) равное 2.7, с уровнем значимости p=0.02, что подтверждает эту ассоциацию. Интересно, что генотип TT в том же полиморфизме rs3811058 (IL38), по-видимому, обладает потенциальным защитным эффектом против развития ЭОП у пациентов с болезнью Грейвса, </w:t>
      </w:r>
      <w:r w:rsidRPr="002B136D">
        <w:lastRenderedPageBreak/>
        <w:t xml:space="preserve">что также подтверждается статистической значимостью (p=0.02). Кроме того, исследование выявило связь между генетическими вариациями в гене rs7570267 (IL38) и характеристиками течения </w:t>
      </w:r>
      <w:proofErr w:type="gramStart"/>
      <w:r w:rsidRPr="002B136D">
        <w:t>эндокринной</w:t>
      </w:r>
      <w:proofErr w:type="gramEnd"/>
      <w:r w:rsidRPr="002B136D">
        <w:t xml:space="preserve"> офтальмопатии, такими как активность и тяжесть заболевания. Было установлено, что различия в генотипах rs7570267 (IL38) значимо связаны с активностью и тяжестью ЭОП (p&lt;0.05). В частности, генотип AG в данном полиморфизме может оказывать защитное действие против развития тяжелого течения ЭОП (</w:t>
      </w:r>
      <w:proofErr w:type="gramStart"/>
      <w:r w:rsidRPr="002B136D">
        <w:t>р</w:t>
      </w:r>
      <w:proofErr w:type="gramEnd"/>
      <w:r w:rsidRPr="002B136D">
        <w:t>=0,05). Полученные данные в совокупности указывают на то, что генетическая предрасположенность, обусловленная вариациями в гене IL38, оказывает существенное влияние на развитие и прогрессирование эндокринной офтальмопатии. Это подчеркивает важную роль генетических факторов в определении риска и клинического течения этого аутоиммунного заболевания.</w:t>
      </w:r>
    </w:p>
    <w:p w14:paraId="4F5A2A4B" w14:textId="77777777" w:rsidR="003A404C" w:rsidRPr="002B136D" w:rsidRDefault="003A404C" w:rsidP="007B2271">
      <w:pPr>
        <w:spacing w:after="0" w:line="240" w:lineRule="auto"/>
        <w:ind w:firstLine="567"/>
        <w:contextualSpacing/>
        <w:jc w:val="both"/>
      </w:pPr>
      <w:r w:rsidRPr="002B136D">
        <w:t xml:space="preserve">В рамках реализации </w:t>
      </w:r>
      <w:r w:rsidRPr="002B136D">
        <w:rPr>
          <w:b/>
        </w:rPr>
        <w:t>пятой</w:t>
      </w:r>
      <w:r w:rsidRPr="002B136D">
        <w:t xml:space="preserve"> задачи научно-исследовательской работы были разработаны прогностические модели, направленные на прогнозирование активности и степени тяжести эндокринной офтальмопатии (ЭОП). В процессе разработки моделей использовались иммунологические данные и данные генетического анализа пациентов.</w:t>
      </w:r>
    </w:p>
    <w:p w14:paraId="7659028D" w14:textId="2E2EF039" w:rsidR="007723E7" w:rsidRPr="002B136D" w:rsidRDefault="007723E7" w:rsidP="007B2271">
      <w:pPr>
        <w:spacing w:after="0" w:line="240" w:lineRule="auto"/>
        <w:ind w:firstLine="567"/>
        <w:contextualSpacing/>
        <w:jc w:val="both"/>
      </w:pPr>
      <w:r w:rsidRPr="002B136D">
        <w:t xml:space="preserve">Прогностическая модель ЭОП выявила значимые факторы риска развития активной фазы: мужской пол </w:t>
      </w:r>
      <w:r w:rsidRPr="002B136D">
        <w:rPr>
          <w:rFonts w:cs="Times New Roman"/>
        </w:rPr>
        <w:t>→</w:t>
      </w:r>
      <w:r w:rsidRPr="002B136D">
        <w:t xml:space="preserve"> TT генотип rs3811058/ИЛ-38 (70%) </w:t>
      </w:r>
      <w:r w:rsidRPr="002B136D">
        <w:rPr>
          <w:rFonts w:cs="Times New Roman"/>
        </w:rPr>
        <w:t>→</w:t>
      </w:r>
      <w:r w:rsidRPr="002B136D">
        <w:t>курение (100%). Интересно отметить, что наличие СС генотипа по однонуклеотидному полиморфизму rs3811058 ассоциируется с практически 100% вероятностью развития активной формы заболевания.</w:t>
      </w:r>
    </w:p>
    <w:p w14:paraId="25109B83" w14:textId="77777777" w:rsidR="007723E7" w:rsidRPr="002B136D" w:rsidRDefault="007723E7" w:rsidP="007B2271">
      <w:pPr>
        <w:spacing w:after="0" w:line="240" w:lineRule="auto"/>
        <w:ind w:firstLine="567"/>
        <w:contextualSpacing/>
        <w:jc w:val="both"/>
      </w:pPr>
      <w:r w:rsidRPr="002B136D">
        <w:t>Помимо модели активности ЭОП, модель прогнозирования тяжести выявила следующие ассоциации: гетерозигота rs7570267 связана с более легкой формой ЭОП (p=0,03), однако генотип CT IL-17 rs9463772 у носителей rs7570267 повышает вероятность умеренной тяжести на 50% (p=0,009), указывая на комбинированный генетический эффект.</w:t>
      </w:r>
    </w:p>
    <w:p w14:paraId="092AAAD0" w14:textId="630ADACA" w:rsidR="007723E7" w:rsidRPr="002B136D" w:rsidRDefault="007723E7" w:rsidP="007B2271">
      <w:pPr>
        <w:spacing w:after="0" w:line="240" w:lineRule="auto"/>
        <w:ind w:firstLine="567"/>
        <w:contextualSpacing/>
        <w:jc w:val="both"/>
      </w:pPr>
      <w:r w:rsidRPr="002B136D">
        <w:t xml:space="preserve">У </w:t>
      </w:r>
      <w:r w:rsidR="006E4AFB" w:rsidRPr="002B136D">
        <w:t xml:space="preserve">европеоидной этнической группы </w:t>
      </w:r>
      <w:r w:rsidRPr="002B136D">
        <w:t>старше 47,5 лет гомозиготный вариант IL-38 rs3811058 увеличивает вероятность тяжелой формы ЭОП на 39% (p=0,01), что подчеркивает взаимодействие возраста и генов. Аналогично, у азиатских мужчин с ЭОП гомозиготност</w:t>
      </w:r>
      <w:r w:rsidR="006E4AFB" w:rsidRPr="002B136D">
        <w:t xml:space="preserve">ь по rs3811058 </w:t>
      </w:r>
      <w:proofErr w:type="gramStart"/>
      <w:r w:rsidR="006E4AFB" w:rsidRPr="002B136D">
        <w:t>связана</w:t>
      </w:r>
      <w:proofErr w:type="gramEnd"/>
      <w:r w:rsidR="006E4AFB" w:rsidRPr="002B136D">
        <w:t xml:space="preserve"> с 42%</w:t>
      </w:r>
      <w:r w:rsidRPr="002B136D">
        <w:t xml:space="preserve"> увеличением вероятности тяжелой формы (p=0,01). Этот риск возрастает до 70% при длительности болезни Грейвса более 2,5 лет (p=0,02), что подчеркивает роль этнической принадлежности и сопутствующих заболеваний.</w:t>
      </w:r>
    </w:p>
    <w:p w14:paraId="44E7A635" w14:textId="77777777" w:rsidR="007723E7" w:rsidRPr="002B136D" w:rsidRDefault="007723E7" w:rsidP="007B2271">
      <w:pPr>
        <w:spacing w:after="0" w:line="240" w:lineRule="auto"/>
        <w:ind w:firstLine="567"/>
        <w:contextualSpacing/>
        <w:jc w:val="both"/>
      </w:pPr>
      <w:proofErr w:type="gramStart"/>
      <w:r w:rsidRPr="002B136D">
        <w:t>У азиатских курящих женщин начало симптомов ЭОП наступает раньше (p=0,009): в среднем в 33,5 года против 50,5 лет у некурящих.</w:t>
      </w:r>
      <w:proofErr w:type="gramEnd"/>
      <w:r w:rsidRPr="002B136D">
        <w:t xml:space="preserve"> Это подчеркивает курение как критический модифицируемый фактор риска, влияющий на начало и тяжесть ЭОП, особенно у азиатских женщин.</w:t>
      </w:r>
    </w:p>
    <w:p w14:paraId="388F8822" w14:textId="77777777" w:rsidR="003A404C" w:rsidRPr="002B136D" w:rsidRDefault="003A404C" w:rsidP="007B2271">
      <w:pPr>
        <w:spacing w:after="0" w:line="240" w:lineRule="auto"/>
        <w:ind w:firstLine="567"/>
        <w:contextualSpacing/>
        <w:jc w:val="both"/>
      </w:pPr>
      <w:r w:rsidRPr="002B136D">
        <w:t xml:space="preserve">Прогностическая модель активности продемонстрировала высокую чувствительность (95,7%) и точность (80%) прогнозирования, а также специфичность по тяжести (75%), подтверждая ключевую роль цитокинов и генетических факторов в развитии активного аутоиммунного процесса и тяжелого течения ЭОП. </w:t>
      </w:r>
    </w:p>
    <w:p w14:paraId="4677CACF" w14:textId="77777777" w:rsidR="00C32FC7" w:rsidRPr="002B136D" w:rsidRDefault="00C32FC7" w:rsidP="007B2271">
      <w:pPr>
        <w:spacing w:after="0" w:line="240" w:lineRule="auto"/>
        <w:ind w:firstLine="567"/>
        <w:contextualSpacing/>
        <w:jc w:val="both"/>
      </w:pPr>
      <w:r w:rsidRPr="002B136D">
        <w:lastRenderedPageBreak/>
        <w:t xml:space="preserve">Таким образом, изучение и установление особенностей иммунологических и генетических характеристик ЭОП позволило разработать прогностические модели для оценки тяжести течения, изменений со стороны органа зрения у пациентов с патологией щитовидной железы. Это еще глубже дает понимание механизмов патогенеза ЭОП, способствует ранней диагностике, выявлению пациентов с риском тяжелого течения при болезни Грейвса и разработке превентивного, персонализированного и эффективного подхода лечения для предотвращения необратимых изменений в тканях глаза и орбиты. </w:t>
      </w:r>
    </w:p>
    <w:p w14:paraId="11780B28" w14:textId="7CAC3DE3" w:rsidR="00C32FC7" w:rsidRPr="002B136D" w:rsidRDefault="00C32FC7" w:rsidP="007B2271">
      <w:pPr>
        <w:spacing w:after="0" w:line="240" w:lineRule="auto"/>
        <w:ind w:firstLine="567"/>
        <w:contextualSpacing/>
        <w:jc w:val="both"/>
      </w:pPr>
      <w:r w:rsidRPr="002B136D">
        <w:t>Все поставленные задачи выполнены, цель достигнута в данном исследовании.</w:t>
      </w:r>
    </w:p>
    <w:p w14:paraId="660B7FDC" w14:textId="77777777" w:rsidR="003A404C" w:rsidRDefault="003A404C" w:rsidP="007B2271">
      <w:pPr>
        <w:spacing w:after="0" w:line="240" w:lineRule="auto"/>
        <w:ind w:firstLine="567"/>
        <w:contextualSpacing/>
        <w:jc w:val="both"/>
        <w:rPr>
          <w:lang w:val="kk-KZ"/>
        </w:rPr>
      </w:pPr>
    </w:p>
    <w:p w14:paraId="66F26823" w14:textId="74CA1301" w:rsidR="003A404C" w:rsidRPr="002B136D" w:rsidRDefault="003A404C" w:rsidP="007B2271">
      <w:pPr>
        <w:spacing w:after="0" w:line="240" w:lineRule="auto"/>
        <w:ind w:firstLine="567"/>
        <w:contextualSpacing/>
        <w:jc w:val="both"/>
        <w:rPr>
          <w:b/>
          <w:lang w:val="kk-KZ"/>
        </w:rPr>
      </w:pPr>
      <w:r w:rsidRPr="002B136D">
        <w:rPr>
          <w:b/>
          <w:lang w:val="kk-KZ"/>
        </w:rPr>
        <w:t>Выводы</w:t>
      </w:r>
    </w:p>
    <w:p w14:paraId="31726B7E" w14:textId="77777777" w:rsidR="00825C08" w:rsidRPr="002B136D" w:rsidRDefault="00825C08" w:rsidP="007B2271">
      <w:pPr>
        <w:numPr>
          <w:ilvl w:val="0"/>
          <w:numId w:val="32"/>
        </w:numPr>
        <w:tabs>
          <w:tab w:val="num" w:pos="720"/>
          <w:tab w:val="left" w:pos="851"/>
        </w:tabs>
        <w:spacing w:after="0" w:line="240" w:lineRule="auto"/>
        <w:ind w:left="0" w:firstLine="567"/>
        <w:contextualSpacing/>
        <w:jc w:val="both"/>
      </w:pPr>
      <w:proofErr w:type="gramStart"/>
      <w:r w:rsidRPr="002B136D">
        <w:t>Выявлены особенности клинических проявлений ЭОП, в частности, преобладание: гипертиреоидной патологии щитовидной железы (78,8%), лиц женского пола (70%), чаще в возрасте 25-57 лет (60%), с признаками синдрома сухого глаза (95%), отеком периорбитальных тканей (90%), увеличением глазодвигательных мышц (63%), выраженным экзофтальмом и умеренной тяжестью (60%), ретракцией век (57%), активной формой (56%), повышением ВГД (52%), ограничением подвижности глазных яблок (51%).</w:t>
      </w:r>
      <w:proofErr w:type="gramEnd"/>
    </w:p>
    <w:p w14:paraId="051BFA7C" w14:textId="77777777" w:rsidR="00825C08" w:rsidRPr="002B136D" w:rsidRDefault="00825C08" w:rsidP="007B2271">
      <w:pPr>
        <w:pStyle w:val="a3"/>
        <w:numPr>
          <w:ilvl w:val="0"/>
          <w:numId w:val="32"/>
        </w:numPr>
        <w:tabs>
          <w:tab w:val="left" w:pos="851"/>
        </w:tabs>
        <w:spacing w:after="0" w:line="240" w:lineRule="auto"/>
        <w:ind w:left="0" w:firstLine="567"/>
        <w:jc w:val="both"/>
      </w:pPr>
      <w:r w:rsidRPr="002B136D">
        <w:t xml:space="preserve">Уровень ИЛ-17 в крови, слезе и клетчатке у пациентов </w:t>
      </w:r>
      <w:proofErr w:type="gramStart"/>
      <w:r w:rsidRPr="002B136D">
        <w:t>с</w:t>
      </w:r>
      <w:proofErr w:type="gramEnd"/>
      <w:r w:rsidRPr="002B136D">
        <w:t xml:space="preserve"> активной ЭОП был значительно выше (13,77±5,65, 37,21±8,84 и 24,34±6,87 соответственно) по сравнению с неактивной ЭОП (3,93±0,94, 20,52±5,21 и 16,81±6,97 соответственно) (p=0,01). В отличие от этого, уровень IL-38 в сыворотке, слезе и клетчатке при активной ЭОП был значительно ниже (8,97±6,31, 12,55±6,32 и 9,23±6,78 соответственно) по сравнению с неактивной формой ЭОП (17,45±7,92, 24,13±7,55 и 20,18±5,23 соответственно) (</w:t>
      </w:r>
      <w:proofErr w:type="gramStart"/>
      <w:r w:rsidRPr="002B136D">
        <w:t>р</w:t>
      </w:r>
      <w:proofErr w:type="gramEnd"/>
      <w:r w:rsidRPr="002B136D">
        <w:t>=0,01).</w:t>
      </w:r>
    </w:p>
    <w:p w14:paraId="7DF91580" w14:textId="260F030C" w:rsidR="00825C08" w:rsidRPr="002B136D" w:rsidRDefault="00825C08" w:rsidP="007B2271">
      <w:pPr>
        <w:tabs>
          <w:tab w:val="left" w:pos="851"/>
        </w:tabs>
        <w:spacing w:after="0" w:line="240" w:lineRule="auto"/>
        <w:ind w:firstLine="567"/>
        <w:contextualSpacing/>
        <w:jc w:val="both"/>
      </w:pPr>
      <w:r w:rsidRPr="002B136D">
        <w:t>Содержание ИЛ-17 повышалось в зависимости от тяжести ЭОП: от 6,4±0,6 (легкая степень) до 8,9±0,9 (умеренная), достигая максимума при тяжелой степени (15,1±7,2), что в 2,5 раза выше, чем ИЛ-38 (6,2±0,6).</w:t>
      </w:r>
    </w:p>
    <w:p w14:paraId="0714F5E6" w14:textId="77777777" w:rsidR="0097529E" w:rsidRPr="0097529E" w:rsidRDefault="0097529E" w:rsidP="0097529E">
      <w:pPr>
        <w:pStyle w:val="a3"/>
        <w:numPr>
          <w:ilvl w:val="0"/>
          <w:numId w:val="32"/>
        </w:numPr>
        <w:tabs>
          <w:tab w:val="left" w:pos="851"/>
        </w:tabs>
        <w:spacing w:after="0" w:line="240" w:lineRule="auto"/>
        <w:ind w:left="0" w:firstLine="357"/>
        <w:jc w:val="both"/>
      </w:pPr>
      <w:r w:rsidRPr="0097529E">
        <w:t xml:space="preserve">Гистологическое и иммуногистохимическое исследование орбитальной жировой ткани подтверждает увеличение ИЛ-17 и уменьшение ИЛ-38 у пациентов с ЭОП (p≤0,05). При этом отмечается умеренная корреляция IL-17 (r = 0,3, </w:t>
      </w:r>
      <w:proofErr w:type="gramStart"/>
      <w:r w:rsidRPr="0097529E">
        <w:t>р</w:t>
      </w:r>
      <w:proofErr w:type="gramEnd"/>
      <w:r w:rsidRPr="0097529E">
        <w:t>=0,14) и IL-38 (r = -0,433, p = 0,030) с клинической активностью ЭОП, что указывает на их ключевую роль в модуляции воспалительного ответа как основного звена патогенеза ЭОП.</w:t>
      </w:r>
    </w:p>
    <w:p w14:paraId="1448DFC6" w14:textId="78BBE814" w:rsidR="00825C08" w:rsidRPr="002B136D" w:rsidRDefault="00825C08" w:rsidP="0097529E">
      <w:pPr>
        <w:pStyle w:val="a3"/>
        <w:numPr>
          <w:ilvl w:val="0"/>
          <w:numId w:val="32"/>
        </w:numPr>
        <w:tabs>
          <w:tab w:val="left" w:pos="851"/>
        </w:tabs>
        <w:spacing w:after="0" w:line="240" w:lineRule="auto"/>
        <w:ind w:left="0" w:firstLine="357"/>
        <w:jc w:val="both"/>
      </w:pPr>
      <w:r w:rsidRPr="002B136D">
        <w:rPr>
          <w:lang w:val="kk-KZ"/>
        </w:rPr>
        <w:t>Генетические вариации в гене rs7570267 (IL38) статистически значимо связаны с активностью (</w:t>
      </w:r>
      <w:r w:rsidRPr="002B136D">
        <w:t xml:space="preserve">OR =0.47, р=0,002) </w:t>
      </w:r>
      <w:r w:rsidR="00F35C00">
        <w:rPr>
          <w:lang w:val="kk-KZ"/>
        </w:rPr>
        <w:t xml:space="preserve">и тяжестью </w:t>
      </w:r>
      <w:r w:rsidRPr="002B136D">
        <w:rPr>
          <w:lang w:val="kk-KZ"/>
        </w:rPr>
        <w:t>(Х</w:t>
      </w:r>
      <w:r w:rsidRPr="002B136D">
        <w:rPr>
          <w:vertAlign w:val="superscript"/>
          <w:lang w:val="kk-KZ"/>
        </w:rPr>
        <w:t>2</w:t>
      </w:r>
      <w:r w:rsidRPr="002B136D">
        <w:rPr>
          <w:lang w:val="kk-KZ"/>
        </w:rPr>
        <w:t xml:space="preserve">=13,9 р=0,008) эндокринной офтальмопатии, </w:t>
      </w:r>
      <w:r w:rsidRPr="002B136D">
        <w:t>что подтверждает влияние генетических факторов на клинические проявления офтальмопатии.</w:t>
      </w:r>
    </w:p>
    <w:p w14:paraId="199D9DE2" w14:textId="7A2F957F" w:rsidR="00825C08" w:rsidRPr="002B136D" w:rsidRDefault="00825C08" w:rsidP="007B2271">
      <w:pPr>
        <w:pStyle w:val="a3"/>
        <w:numPr>
          <w:ilvl w:val="0"/>
          <w:numId w:val="32"/>
        </w:numPr>
        <w:tabs>
          <w:tab w:val="left" w:pos="851"/>
        </w:tabs>
        <w:spacing w:after="0" w:line="240" w:lineRule="auto"/>
        <w:ind w:left="0" w:firstLine="567"/>
        <w:jc w:val="both"/>
      </w:pPr>
      <w:r w:rsidRPr="002B136D">
        <w:t>Разработаны прогностические модели клинического течения по активности и тяжести ЭОП, на основе дерева решений с учетом иммунологических, генетических и клинических параметров. Чувствительность модели активности составляет 95,7%, модели тяжести – 75%, общая точность прогнозирования – 80%.</w:t>
      </w:r>
    </w:p>
    <w:p w14:paraId="241A5088" w14:textId="37F3D2C7" w:rsidR="00BC470C" w:rsidRPr="002B136D" w:rsidRDefault="00CA2B93" w:rsidP="007B2271">
      <w:pPr>
        <w:spacing w:after="0" w:line="240" w:lineRule="auto"/>
        <w:contextualSpacing/>
        <w:jc w:val="center"/>
        <w:rPr>
          <w:rFonts w:cs="Times New Roman"/>
          <w:b/>
          <w:szCs w:val="28"/>
          <w:lang w:val="en-US"/>
        </w:rPr>
      </w:pPr>
      <w:r w:rsidRPr="002B136D">
        <w:rPr>
          <w:rFonts w:cs="Times New Roman"/>
          <w:b/>
          <w:szCs w:val="28"/>
        </w:rPr>
        <w:lastRenderedPageBreak/>
        <w:t>СПИСОК</w:t>
      </w:r>
      <w:r w:rsidRPr="002B136D">
        <w:rPr>
          <w:rFonts w:cs="Times New Roman"/>
          <w:b/>
          <w:szCs w:val="28"/>
          <w:lang w:val="en-US"/>
        </w:rPr>
        <w:t xml:space="preserve"> </w:t>
      </w:r>
      <w:r w:rsidRPr="002B136D">
        <w:rPr>
          <w:rFonts w:cs="Times New Roman"/>
          <w:b/>
          <w:szCs w:val="28"/>
        </w:rPr>
        <w:t>ИСПОЛЬЗОВАННЫХ</w:t>
      </w:r>
      <w:r w:rsidRPr="002B136D">
        <w:rPr>
          <w:rFonts w:cs="Times New Roman"/>
          <w:b/>
          <w:szCs w:val="28"/>
          <w:lang w:val="en-US"/>
        </w:rPr>
        <w:t xml:space="preserve"> </w:t>
      </w:r>
      <w:r w:rsidRPr="002B136D">
        <w:rPr>
          <w:rFonts w:cs="Times New Roman"/>
          <w:b/>
          <w:szCs w:val="28"/>
        </w:rPr>
        <w:t>ИСТОЧНИКОВ</w:t>
      </w:r>
    </w:p>
    <w:p w14:paraId="3B6826FC" w14:textId="77777777" w:rsidR="00634FD1" w:rsidRPr="002B136D" w:rsidRDefault="00634FD1" w:rsidP="00AE5AAA">
      <w:pPr>
        <w:spacing w:after="0" w:line="240" w:lineRule="auto"/>
        <w:ind w:firstLine="709"/>
        <w:contextualSpacing/>
        <w:jc w:val="both"/>
        <w:rPr>
          <w:rFonts w:cs="Times New Roman"/>
          <w:szCs w:val="28"/>
          <w:lang w:val="en-US"/>
        </w:rPr>
      </w:pPr>
    </w:p>
    <w:p w14:paraId="147134FD" w14:textId="77777777" w:rsidR="004B4DE2" w:rsidRPr="004B4DE2" w:rsidRDefault="00937F46" w:rsidP="00A64D1A">
      <w:pPr>
        <w:pStyle w:val="ab"/>
        <w:spacing w:after="0" w:line="240" w:lineRule="auto"/>
        <w:ind w:firstLine="709"/>
        <w:jc w:val="both"/>
        <w:rPr>
          <w:lang w:val="en-US"/>
        </w:rPr>
      </w:pPr>
      <w:r w:rsidRPr="002B136D">
        <w:rPr>
          <w:szCs w:val="28"/>
        </w:rPr>
        <w:fldChar w:fldCharType="begin"/>
      </w:r>
      <w:r w:rsidR="00CA76F8" w:rsidRPr="002B136D">
        <w:rPr>
          <w:szCs w:val="28"/>
          <w:lang w:val="en-US"/>
        </w:rPr>
        <w:instrText xml:space="preserve"> ADDIN ZOTERO_BIBL {"uncited":[],"omitted":[],"custom":[]} CSL_BIBLIOGRAPHY </w:instrText>
      </w:r>
      <w:r w:rsidRPr="002B136D">
        <w:rPr>
          <w:szCs w:val="28"/>
        </w:rPr>
        <w:fldChar w:fldCharType="separate"/>
      </w:r>
      <w:r w:rsidR="004B4DE2" w:rsidRPr="004B4DE2">
        <w:rPr>
          <w:lang w:val="en-US"/>
        </w:rPr>
        <w:t>1.</w:t>
      </w:r>
      <w:r w:rsidR="004B4DE2" w:rsidRPr="004B4DE2">
        <w:rPr>
          <w:lang w:val="en-US"/>
        </w:rPr>
        <w:tab/>
        <w:t>Bartley G.B. The epidemiologic characteristics and clinical course of ophthalmopathy associated with autoimmune thyroid disease in Olmsted County, Minnesota. Trans. Am Ophthalmol Soc 1994; 92: 477—588.</w:t>
      </w:r>
    </w:p>
    <w:p w14:paraId="560A7D7D" w14:textId="77777777" w:rsidR="004B4DE2" w:rsidRDefault="004B4DE2" w:rsidP="00A64D1A">
      <w:pPr>
        <w:pStyle w:val="ab"/>
        <w:spacing w:after="0" w:line="240" w:lineRule="auto"/>
        <w:ind w:firstLine="709"/>
        <w:jc w:val="both"/>
      </w:pPr>
      <w:r w:rsidRPr="004B4DE2">
        <w:rPr>
          <w:lang w:val="en-US"/>
        </w:rPr>
        <w:t>2.</w:t>
      </w:r>
      <w:r w:rsidRPr="004B4DE2">
        <w:rPr>
          <w:lang w:val="en-US"/>
        </w:rPr>
        <w:tab/>
        <w:t xml:space="preserve">Smith TJ, Hegedüs L. Graves’ Disease. N Engl J Med. 2016 Oct 20;375(16):1552-1565. doi: 10.1056/NEJMra1510030. </w:t>
      </w:r>
      <w:r>
        <w:t>PMID: 27797318.</w:t>
      </w:r>
    </w:p>
    <w:p w14:paraId="6B7D0B5C" w14:textId="77777777" w:rsidR="004B4DE2" w:rsidRDefault="004B4DE2" w:rsidP="00A64D1A">
      <w:pPr>
        <w:pStyle w:val="ab"/>
        <w:spacing w:after="0" w:line="240" w:lineRule="auto"/>
        <w:ind w:firstLine="709"/>
        <w:jc w:val="both"/>
      </w:pPr>
      <w:r>
        <w:t>3.</w:t>
      </w:r>
      <w:r>
        <w:tab/>
        <w:t>Федеральные клинические рекомендации по диагностике и лечению эндокринной офтальмопатии при аутоиммунной патологии щитовидной железы /И. И. Дедов [и др.] // Проблемы эндокринологии. –2015. – № 1 – С. 61-74.</w:t>
      </w:r>
    </w:p>
    <w:p w14:paraId="3729B84A" w14:textId="77777777" w:rsidR="004B4DE2" w:rsidRPr="004B4DE2" w:rsidRDefault="004B4DE2" w:rsidP="00A64D1A">
      <w:pPr>
        <w:pStyle w:val="ab"/>
        <w:spacing w:after="0" w:line="240" w:lineRule="auto"/>
        <w:ind w:firstLine="709"/>
        <w:jc w:val="both"/>
        <w:rPr>
          <w:lang w:val="en-US"/>
        </w:rPr>
      </w:pPr>
      <w:r w:rsidRPr="004B4DE2">
        <w:rPr>
          <w:lang w:val="en-US"/>
        </w:rPr>
        <w:t>4.</w:t>
      </w:r>
      <w:r w:rsidRPr="004B4DE2">
        <w:rPr>
          <w:lang w:val="en-US"/>
        </w:rPr>
        <w:tab/>
        <w:t xml:space="preserve">Pan Y, Wang M, Chen X, Chen Y, Ai S, Wang M, Su W, Liang D. Elevated IL-38 inhibits IL-23R expression and IL-17A production in thyroid-associated ophthalmopathy. </w:t>
      </w:r>
      <w:r w:rsidRPr="00701FE0">
        <w:rPr>
          <w:lang w:val="en-US"/>
        </w:rPr>
        <w:t xml:space="preserve">Int Immunopharmacol. 2021 Feb;91:107300. doi: 10.1016/j.intimp.2020.107300. </w:t>
      </w:r>
      <w:r w:rsidRPr="004B4DE2">
        <w:rPr>
          <w:lang w:val="en-US"/>
        </w:rPr>
        <w:t>Epub 2020 Dec 28. PMID: 33383445.</w:t>
      </w:r>
    </w:p>
    <w:p w14:paraId="568FD010" w14:textId="77777777" w:rsidR="004B4DE2" w:rsidRPr="00701FE0" w:rsidRDefault="004B4DE2" w:rsidP="00A64D1A">
      <w:pPr>
        <w:pStyle w:val="ab"/>
        <w:spacing w:after="0" w:line="240" w:lineRule="auto"/>
        <w:ind w:firstLine="709"/>
        <w:jc w:val="both"/>
        <w:rPr>
          <w:lang w:val="en-US"/>
        </w:rPr>
      </w:pPr>
      <w:r w:rsidRPr="004B4DE2">
        <w:rPr>
          <w:lang w:val="en-US"/>
        </w:rPr>
        <w:t>5.</w:t>
      </w:r>
      <w:r w:rsidRPr="004B4DE2">
        <w:rPr>
          <w:lang w:val="en-US"/>
        </w:rPr>
        <w:tab/>
        <w:t xml:space="preserve">Negi S, Tandel N, Sharma P, Kumar R, Tyagi RK. Aceclofenac and methotrexate combination therapy could influence Th1/Th17 axis to modulate rheumatoid-arthritis-induced inflammation. </w:t>
      </w:r>
      <w:r w:rsidRPr="00701FE0">
        <w:rPr>
          <w:lang w:val="en-US"/>
        </w:rPr>
        <w:t>Drug Discov Today. 2023 Aug;28(8):103671. doi: 10.1016/j.drudis.2023.103671. Epub 2023 Jun 16. PMID: 37330038.</w:t>
      </w:r>
    </w:p>
    <w:p w14:paraId="662DE634" w14:textId="5141A590" w:rsidR="004B4DE2" w:rsidRDefault="004B4DE2" w:rsidP="00A64D1A">
      <w:pPr>
        <w:pStyle w:val="ab"/>
        <w:spacing w:after="0" w:line="240" w:lineRule="auto"/>
        <w:ind w:firstLine="709"/>
        <w:jc w:val="both"/>
      </w:pPr>
      <w:r w:rsidRPr="00701FE0">
        <w:rPr>
          <w:lang w:val="en-US"/>
        </w:rPr>
        <w:t>6.</w:t>
      </w:r>
      <w:r w:rsidRPr="00701FE0">
        <w:rPr>
          <w:lang w:val="en-US"/>
        </w:rPr>
        <w:tab/>
      </w:r>
      <w:r>
        <w:t>Е</w:t>
      </w:r>
      <w:r w:rsidRPr="00701FE0">
        <w:rPr>
          <w:lang w:val="en-US"/>
        </w:rPr>
        <w:t>.</w:t>
      </w:r>
      <w:r>
        <w:t>С</w:t>
      </w:r>
      <w:r w:rsidRPr="00701FE0">
        <w:rPr>
          <w:lang w:val="en-US"/>
        </w:rPr>
        <w:t xml:space="preserve">. </w:t>
      </w:r>
      <w:r>
        <w:t>Таскина</w:t>
      </w:r>
      <w:r w:rsidRPr="00701FE0">
        <w:rPr>
          <w:lang w:val="en-US"/>
        </w:rPr>
        <w:t xml:space="preserve">, </w:t>
      </w:r>
      <w:r>
        <w:t>С</w:t>
      </w:r>
      <w:r w:rsidRPr="00701FE0">
        <w:rPr>
          <w:lang w:val="en-US"/>
        </w:rPr>
        <w:t>.</w:t>
      </w:r>
      <w:r>
        <w:t>В</w:t>
      </w:r>
      <w:r w:rsidRPr="00701FE0">
        <w:rPr>
          <w:lang w:val="en-US"/>
        </w:rPr>
        <w:t xml:space="preserve">. </w:t>
      </w:r>
      <w:r>
        <w:t>Харинцева</w:t>
      </w:r>
      <w:r w:rsidRPr="00701FE0">
        <w:rPr>
          <w:lang w:val="en-US"/>
        </w:rPr>
        <w:t xml:space="preserve">, </w:t>
      </w:r>
      <w:r>
        <w:t>Морфофункциональная</w:t>
      </w:r>
      <w:r w:rsidRPr="00701FE0">
        <w:rPr>
          <w:lang w:val="en-US"/>
        </w:rPr>
        <w:t xml:space="preserve"> </w:t>
      </w:r>
      <w:r>
        <w:t>характеристика</w:t>
      </w:r>
      <w:r w:rsidRPr="00701FE0">
        <w:rPr>
          <w:lang w:val="en-US"/>
        </w:rPr>
        <w:t xml:space="preserve"> </w:t>
      </w:r>
      <w:r>
        <w:t>и</w:t>
      </w:r>
      <w:r w:rsidRPr="00701FE0">
        <w:rPr>
          <w:lang w:val="en-US"/>
        </w:rPr>
        <w:t xml:space="preserve"> </w:t>
      </w:r>
      <w:r>
        <w:t>иммунологическая</w:t>
      </w:r>
      <w:r w:rsidRPr="00701FE0">
        <w:rPr>
          <w:lang w:val="en-US"/>
        </w:rPr>
        <w:t xml:space="preserve"> </w:t>
      </w:r>
      <w:r>
        <w:t>регуляция</w:t>
      </w:r>
      <w:r w:rsidRPr="00701FE0">
        <w:rPr>
          <w:lang w:val="en-US"/>
        </w:rPr>
        <w:t xml:space="preserve"> </w:t>
      </w:r>
      <w:r>
        <w:t>функции</w:t>
      </w:r>
      <w:r w:rsidRPr="00701FE0">
        <w:rPr>
          <w:lang w:val="en-US"/>
        </w:rPr>
        <w:t xml:space="preserve"> </w:t>
      </w:r>
      <w:r>
        <w:t>орбитальных</w:t>
      </w:r>
      <w:r w:rsidR="00F35C00">
        <w:rPr>
          <w:lang w:val="en-US"/>
        </w:rPr>
        <w:t xml:space="preserve">, </w:t>
      </w:r>
      <w:r w:rsidRPr="00701FE0">
        <w:rPr>
          <w:lang w:val="en-US"/>
        </w:rPr>
        <w:t xml:space="preserve">Clinical and experimental thyroidology. </w:t>
      </w:r>
      <w:r>
        <w:t>2018;14(4). In Press. doi: https://doi.org/10.14341/ket10147 фибробластов при эндокринной офтальмопатии.</w:t>
      </w:r>
    </w:p>
    <w:p w14:paraId="09E5446B" w14:textId="77777777" w:rsidR="004B4DE2" w:rsidRPr="004B4DE2" w:rsidRDefault="004B4DE2" w:rsidP="00A64D1A">
      <w:pPr>
        <w:pStyle w:val="ab"/>
        <w:spacing w:after="0" w:line="240" w:lineRule="auto"/>
        <w:ind w:firstLine="709"/>
        <w:jc w:val="both"/>
        <w:rPr>
          <w:lang w:val="en-US"/>
        </w:rPr>
      </w:pPr>
      <w:r w:rsidRPr="004B4DE2">
        <w:rPr>
          <w:lang w:val="en-US"/>
        </w:rPr>
        <w:t>7.</w:t>
      </w:r>
      <w:r w:rsidRPr="004B4DE2">
        <w:rPr>
          <w:lang w:val="en-US"/>
        </w:rPr>
        <w:tab/>
        <w:t>Tout I, Noack M, Miossec P. Differential effects of interleukin-17A and 17F on cell interactions between immune cells and stromal cells from synovium or skin. Sci Rep. 2023 Nov 6;13(1):19223. doi: 10.1038/s41598-023-45653-8. PMID: 37932356; PMCID: PMC10628108.</w:t>
      </w:r>
    </w:p>
    <w:p w14:paraId="3B7E6316" w14:textId="77777777" w:rsidR="004B4DE2" w:rsidRPr="004B4DE2" w:rsidRDefault="004B4DE2" w:rsidP="00A64D1A">
      <w:pPr>
        <w:pStyle w:val="ab"/>
        <w:spacing w:after="0" w:line="240" w:lineRule="auto"/>
        <w:ind w:firstLine="709"/>
        <w:jc w:val="both"/>
        <w:rPr>
          <w:lang w:val="en-US"/>
        </w:rPr>
      </w:pPr>
      <w:r w:rsidRPr="004B4DE2">
        <w:rPr>
          <w:lang w:val="en-US"/>
        </w:rPr>
        <w:t>8.</w:t>
      </w:r>
      <w:r w:rsidRPr="004B4DE2">
        <w:rPr>
          <w:lang w:val="en-US"/>
        </w:rPr>
        <w:tab/>
        <w:t>Jiang M, Zhao J, Wang P, Yan S, Wang Y. Research progress in Th17 cells and the relevant cytokines in Graves’ ophthalmopathy. Zhong Nan Da Xue Xue Bao Yi Xue Ban. 2022 Dec 28;47(12):1748-1753. English, Chinese. doi: 10.11817/j.issn.1672-7347.2022.220205. PMID: 36748387; PMCID: PMC10930278.</w:t>
      </w:r>
    </w:p>
    <w:p w14:paraId="7AAC0EE4" w14:textId="77777777" w:rsidR="004B4DE2" w:rsidRPr="004B4DE2" w:rsidRDefault="004B4DE2" w:rsidP="00A64D1A">
      <w:pPr>
        <w:pStyle w:val="ab"/>
        <w:spacing w:after="0" w:line="240" w:lineRule="auto"/>
        <w:ind w:firstLine="709"/>
        <w:jc w:val="both"/>
        <w:rPr>
          <w:lang w:val="en-US"/>
        </w:rPr>
      </w:pPr>
      <w:r w:rsidRPr="004B4DE2">
        <w:rPr>
          <w:lang w:val="en-US"/>
        </w:rPr>
        <w:t>9.</w:t>
      </w:r>
      <w:r w:rsidRPr="004B4DE2">
        <w:rPr>
          <w:lang w:val="en-US"/>
        </w:rPr>
        <w:tab/>
        <w:t>Lu Y, Xing C, Zhang C, Lv X, Liu G, Chen F, Hou Z, Zhang D. Promotion of IL‑17/NF‑</w:t>
      </w:r>
      <w:r>
        <w:t>κ</w:t>
      </w:r>
      <w:r w:rsidRPr="004B4DE2">
        <w:rPr>
          <w:lang w:val="en-US"/>
        </w:rPr>
        <w:t>B signaling in autoimmune thyroid diseases. Exp Ther Med. 2022 Dec 6;25(1):51. doi: 10.3892/etm.2022.11750. PMID: 36588813; PMCID: PMC9780515.</w:t>
      </w:r>
    </w:p>
    <w:p w14:paraId="35C4411B" w14:textId="7EBA116E" w:rsidR="004B4DE2" w:rsidRDefault="004B4DE2" w:rsidP="00A64D1A">
      <w:pPr>
        <w:pStyle w:val="ab"/>
        <w:spacing w:after="0" w:line="240" w:lineRule="auto"/>
        <w:ind w:firstLine="709"/>
        <w:jc w:val="both"/>
      </w:pPr>
      <w:r w:rsidRPr="004B4DE2">
        <w:rPr>
          <w:lang w:val="en-US"/>
        </w:rPr>
        <w:t>10.</w:t>
      </w:r>
      <w:r w:rsidRPr="004B4DE2">
        <w:rPr>
          <w:lang w:val="en-US"/>
        </w:rPr>
        <w:tab/>
      </w:r>
      <w:r>
        <w:t>Таскина</w:t>
      </w:r>
      <w:r w:rsidRPr="004B4DE2">
        <w:rPr>
          <w:lang w:val="en-US"/>
        </w:rPr>
        <w:t xml:space="preserve">, </w:t>
      </w:r>
      <w:r>
        <w:t>Елизавета</w:t>
      </w:r>
      <w:r w:rsidRPr="004B4DE2">
        <w:rPr>
          <w:lang w:val="en-US"/>
        </w:rPr>
        <w:t xml:space="preserve"> </w:t>
      </w:r>
      <w:r>
        <w:t>Сергеевна</w:t>
      </w:r>
      <w:r w:rsidRPr="004B4DE2">
        <w:rPr>
          <w:lang w:val="en-US"/>
        </w:rPr>
        <w:t xml:space="preserve">. </w:t>
      </w:r>
      <w:r>
        <w:t>Некоторые патогенетические факторы развития фиброза экстраокулярных мышц и ретробульбарной клетчатки у пациентов с эндокринной офтальмопатией : диссертация ... кандидата медицинских наук : 14.03.03 / Таскина Елизавета Сергеевна; [Место защиты: ФГБОУ ВО «Читинская государственная медицинская академия» Министерства здравоох</w:t>
      </w:r>
      <w:r w:rsidR="00B0686C">
        <w:t xml:space="preserve">ранения Российской Федерации]. – Чита, 2019. </w:t>
      </w:r>
      <w:r>
        <w:t xml:space="preserve"> 144 с. : ил</w:t>
      </w:r>
      <w:proofErr w:type="gramStart"/>
      <w:r>
        <w:t>..</w:t>
      </w:r>
      <w:proofErr w:type="gramEnd"/>
    </w:p>
    <w:p w14:paraId="45028173" w14:textId="77777777" w:rsidR="004B4DE2" w:rsidRPr="004B4DE2" w:rsidRDefault="004B4DE2" w:rsidP="00A64D1A">
      <w:pPr>
        <w:pStyle w:val="ab"/>
        <w:spacing w:after="0" w:line="240" w:lineRule="auto"/>
        <w:ind w:firstLine="709"/>
        <w:jc w:val="both"/>
        <w:rPr>
          <w:lang w:val="en-US"/>
        </w:rPr>
      </w:pPr>
      <w:r w:rsidRPr="004B4DE2">
        <w:rPr>
          <w:lang w:val="en-US"/>
        </w:rPr>
        <w:lastRenderedPageBreak/>
        <w:t>11.</w:t>
      </w:r>
      <w:r w:rsidRPr="004B4DE2">
        <w:rPr>
          <w:lang w:val="en-US"/>
        </w:rPr>
        <w:tab/>
        <w:t>Sijie Fang, Yazhuo Huang, Sisi Zhong, Yangyang Li, Yidan Zhang, Yinwei Li, Jing Sun, Xingtong Liu, Yang Wang, Shuo Zhang, Tianle Xu, Xiaodong Sun, Ping Gu, Dan Li, Huifang Zhou, Bin Li, Xianqun Fan, Regulation of Orbital Fibrosis and Adipogenesis by Pathogenic Th17 Cells in Graves Orbitopathy, The Journal of Clinical Endocrinology &amp; Metabolism, Volume 102, Issue 11, 1 November 2017, Pages 4273–4283, https://doi.org/10.1210/jc.2017-01349.</w:t>
      </w:r>
    </w:p>
    <w:p w14:paraId="0C2CEE0D" w14:textId="77777777" w:rsidR="004B4DE2" w:rsidRPr="004B4DE2" w:rsidRDefault="004B4DE2" w:rsidP="00A64D1A">
      <w:pPr>
        <w:pStyle w:val="ab"/>
        <w:spacing w:after="0" w:line="240" w:lineRule="auto"/>
        <w:ind w:firstLine="709"/>
        <w:jc w:val="both"/>
        <w:rPr>
          <w:lang w:val="en-US"/>
        </w:rPr>
      </w:pPr>
      <w:r w:rsidRPr="004B4DE2">
        <w:rPr>
          <w:lang w:val="en-US"/>
        </w:rPr>
        <w:t>12.</w:t>
      </w:r>
      <w:r w:rsidRPr="004B4DE2">
        <w:rPr>
          <w:lang w:val="en-US"/>
        </w:rPr>
        <w:tab/>
        <w:t xml:space="preserve">Schrijver B, Kooiman MA, Kasteleijn E, van Holten-Neelen C, Virakul S, Paridaens D, Peeters RP, van Hagen PM, Dalm VASH, Dik WA. Basic Fibroblast Growth Factor Induces Adipogenesis in Orbital Fibroblasts: Implications for the Pathogenesis of Graves’ Orbitopathy. </w:t>
      </w:r>
      <w:r w:rsidRPr="00701FE0">
        <w:rPr>
          <w:lang w:val="en-US"/>
        </w:rPr>
        <w:t xml:space="preserve">Thyroid. 2019 Mar;29(3):395-404. doi: 10.1089/thy.2018.0544. </w:t>
      </w:r>
      <w:r w:rsidRPr="004B4DE2">
        <w:rPr>
          <w:lang w:val="en-US"/>
        </w:rPr>
        <w:t>Epub 2019 Feb 27. PMID: 30724135.</w:t>
      </w:r>
    </w:p>
    <w:p w14:paraId="32B510F6" w14:textId="77777777" w:rsidR="004B4DE2" w:rsidRPr="004B4DE2" w:rsidRDefault="004B4DE2" w:rsidP="00A64D1A">
      <w:pPr>
        <w:pStyle w:val="ab"/>
        <w:spacing w:after="0" w:line="240" w:lineRule="auto"/>
        <w:ind w:firstLine="709"/>
        <w:jc w:val="both"/>
        <w:rPr>
          <w:lang w:val="en-US"/>
        </w:rPr>
      </w:pPr>
      <w:r w:rsidRPr="004B4DE2">
        <w:rPr>
          <w:lang w:val="en-US"/>
        </w:rPr>
        <w:t>13.</w:t>
      </w:r>
      <w:r w:rsidRPr="004B4DE2">
        <w:rPr>
          <w:lang w:val="en-US"/>
        </w:rPr>
        <w:tab/>
        <w:t xml:space="preserve">Wu Y, Zhang J, Deng W, Mo C, Liang Y, Huang K, Xu F, Tang F. Comparison of orbital fibroblasts from Graves’ ophthalmopathy and healthy control. </w:t>
      </w:r>
      <w:r w:rsidRPr="00701FE0">
        <w:rPr>
          <w:lang w:val="en-US"/>
        </w:rPr>
        <w:t xml:space="preserve">Heliyon. 2024 Mar 24;10(7):e28397. doi: 10.1016/j.heliyon.2024.e28397. </w:t>
      </w:r>
      <w:r w:rsidRPr="004B4DE2">
        <w:rPr>
          <w:lang w:val="en-US"/>
        </w:rPr>
        <w:t>PMID: 38571651; PMCID: PMC10987992.</w:t>
      </w:r>
    </w:p>
    <w:p w14:paraId="67587599" w14:textId="77777777" w:rsidR="004B4DE2" w:rsidRPr="004B4DE2" w:rsidRDefault="004B4DE2" w:rsidP="00A64D1A">
      <w:pPr>
        <w:pStyle w:val="ab"/>
        <w:spacing w:after="0" w:line="240" w:lineRule="auto"/>
        <w:ind w:firstLine="709"/>
        <w:jc w:val="both"/>
        <w:rPr>
          <w:lang w:val="en-US"/>
        </w:rPr>
      </w:pPr>
      <w:r w:rsidRPr="004B4DE2">
        <w:rPr>
          <w:lang w:val="en-US"/>
        </w:rPr>
        <w:t>14.</w:t>
      </w:r>
      <w:r w:rsidRPr="004B4DE2">
        <w:rPr>
          <w:lang w:val="en-US"/>
        </w:rPr>
        <w:tab/>
        <w:t xml:space="preserve">Mora, J.; Schlemmer, A.; Wittig, I.; Richter, F.; Putyrski, M.; Frank, A.-C.; Han, Y.; Jung, M.; Ernst, A.; Weigert, A.; et al. </w:t>
      </w:r>
      <w:r w:rsidRPr="00701FE0">
        <w:rPr>
          <w:lang w:val="en-US"/>
        </w:rPr>
        <w:t xml:space="preserve">Interleukin-38 is released from apoptotic cells to limit inflammatory macrophage responses. </w:t>
      </w:r>
      <w:r w:rsidRPr="004B4DE2">
        <w:rPr>
          <w:lang w:val="en-US"/>
        </w:rPr>
        <w:t>J. Mol. Cell Boil. 2016, 8, 426–438. [CrossRef].</w:t>
      </w:r>
    </w:p>
    <w:p w14:paraId="47A44C51" w14:textId="77777777" w:rsidR="004B4DE2" w:rsidRPr="004B4DE2" w:rsidRDefault="004B4DE2" w:rsidP="00A64D1A">
      <w:pPr>
        <w:pStyle w:val="ab"/>
        <w:spacing w:after="0" w:line="240" w:lineRule="auto"/>
        <w:ind w:firstLine="709"/>
        <w:jc w:val="both"/>
        <w:rPr>
          <w:lang w:val="en-US"/>
        </w:rPr>
      </w:pPr>
      <w:r w:rsidRPr="004B4DE2">
        <w:rPr>
          <w:lang w:val="en-US"/>
        </w:rPr>
        <w:t>15.</w:t>
      </w:r>
      <w:r w:rsidRPr="004B4DE2">
        <w:rPr>
          <w:lang w:val="en-US"/>
        </w:rPr>
        <w:tab/>
        <w:t>Yuan, X.L.; Li, Y.; Pan, X.H.; Zhou, M.; Gao, Q.Y. Production of recombinant human interleukin-38 and its inhibitory effect on the expression of proinflammatory cytokines in THP-1 cells. Mol. Boil. 2016, 50, 405–411. [CrossRef].</w:t>
      </w:r>
    </w:p>
    <w:p w14:paraId="0510A22F" w14:textId="77777777" w:rsidR="004B4DE2" w:rsidRPr="004B4DE2" w:rsidRDefault="004B4DE2" w:rsidP="00A64D1A">
      <w:pPr>
        <w:pStyle w:val="ab"/>
        <w:spacing w:after="0" w:line="240" w:lineRule="auto"/>
        <w:ind w:firstLine="709"/>
        <w:jc w:val="both"/>
        <w:rPr>
          <w:lang w:val="en-US"/>
        </w:rPr>
      </w:pPr>
      <w:r w:rsidRPr="004B4DE2">
        <w:rPr>
          <w:lang w:val="en-US"/>
        </w:rPr>
        <w:t>16.</w:t>
      </w:r>
      <w:r w:rsidRPr="004B4DE2">
        <w:rPr>
          <w:lang w:val="en-US"/>
        </w:rPr>
        <w:tab/>
        <w:t>Van de Veerdonk, F.L.; Stoeckman, A.K.; Wu, G.; Boeckermann, A.N.; Azam, T.; Netea, M.G.; Dinarello, C.A. IL-38 binds to the IL-36 receptor and has biological effects on immune cells similar to IL-36 receptor antagonist. Proc. Natl. Acad. Sci. USA 2012, 1093, 1–5. [CrossRef].</w:t>
      </w:r>
    </w:p>
    <w:p w14:paraId="6A2AA7FC" w14:textId="77777777" w:rsidR="004B4DE2" w:rsidRPr="004B4DE2" w:rsidRDefault="004B4DE2" w:rsidP="00A64D1A">
      <w:pPr>
        <w:pStyle w:val="ab"/>
        <w:spacing w:after="0" w:line="240" w:lineRule="auto"/>
        <w:ind w:firstLine="709"/>
        <w:jc w:val="both"/>
        <w:rPr>
          <w:lang w:val="en-US"/>
        </w:rPr>
      </w:pPr>
      <w:r w:rsidRPr="004B4DE2">
        <w:rPr>
          <w:lang w:val="en-US"/>
        </w:rPr>
        <w:t>17.</w:t>
      </w:r>
      <w:r w:rsidRPr="004B4DE2">
        <w:rPr>
          <w:lang w:val="en-US"/>
        </w:rPr>
        <w:tab/>
        <w:t>Boutet MA, Najm A, Bart G, Brion R, Touchais S, Trichet V, Layrolle P, Gabay C, Palmer G, Blanchard F, Le Goff B. IL-38 overexpression induces anti-inflammatory effects in mice arthritis models and in human macrophages in vitro. Ann Rheum Dis. 2017 Jul;76(7):1304-1312. doi: 10.1136/annrheumdis-2016-210630. Epub 2017 Mar 13. PMID: 28288964.</w:t>
      </w:r>
    </w:p>
    <w:p w14:paraId="017B5042" w14:textId="77777777" w:rsidR="004B4DE2" w:rsidRPr="004B4DE2" w:rsidRDefault="004B4DE2" w:rsidP="00A64D1A">
      <w:pPr>
        <w:pStyle w:val="ab"/>
        <w:spacing w:after="0" w:line="240" w:lineRule="auto"/>
        <w:ind w:firstLine="709"/>
        <w:jc w:val="both"/>
        <w:rPr>
          <w:lang w:val="en-US"/>
        </w:rPr>
      </w:pPr>
      <w:r w:rsidRPr="004B4DE2">
        <w:rPr>
          <w:lang w:val="en-US"/>
        </w:rPr>
        <w:t>18.</w:t>
      </w:r>
      <w:r w:rsidRPr="004B4DE2">
        <w:rPr>
          <w:lang w:val="en-US"/>
        </w:rPr>
        <w:tab/>
        <w:t xml:space="preserve">Cai T, Wang G, Yang Y, Mu K, Zhang J, Jiang Y, Zhang JA. Association Between Polymorphisms of IL-23/IL-17 Pathway and Clinical Phenotypes of Autoimmune Thyroid Diseases. </w:t>
      </w:r>
      <w:r w:rsidRPr="00701FE0">
        <w:rPr>
          <w:lang w:val="en-US"/>
        </w:rPr>
        <w:t xml:space="preserve">Iran J Immunol. 2022 Jun;19(2):139-149. doi: 10.22034/iji.2022.93744.2255. </w:t>
      </w:r>
      <w:r w:rsidRPr="004B4DE2">
        <w:rPr>
          <w:lang w:val="en-US"/>
        </w:rPr>
        <w:t>PMID: 35767887.</w:t>
      </w:r>
    </w:p>
    <w:p w14:paraId="72C2A20E" w14:textId="77777777" w:rsidR="004B4DE2" w:rsidRPr="004B4DE2" w:rsidRDefault="004B4DE2" w:rsidP="00A64D1A">
      <w:pPr>
        <w:pStyle w:val="ab"/>
        <w:spacing w:after="0" w:line="240" w:lineRule="auto"/>
        <w:ind w:firstLine="709"/>
        <w:jc w:val="both"/>
        <w:rPr>
          <w:lang w:val="en-US"/>
        </w:rPr>
      </w:pPr>
      <w:r w:rsidRPr="004B4DE2">
        <w:rPr>
          <w:lang w:val="en-US"/>
        </w:rPr>
        <w:t>19.</w:t>
      </w:r>
      <w:r w:rsidRPr="004B4DE2">
        <w:rPr>
          <w:lang w:val="en-US"/>
        </w:rPr>
        <w:tab/>
        <w:t>Monnet, D.; Kadi, A.; Izac, B.; Lebrun, N.; Letourneur, F.; Zinovieva, E.; Said-Nahal, R.; Chiocchia, G.; Breban, M. Association between the IL-1 family gene cluster and spondyloarthritis. Ann. Rheum. Dis. 2012, 71, 885–890. [CrossRef].</w:t>
      </w:r>
    </w:p>
    <w:p w14:paraId="2FCFE820" w14:textId="77777777" w:rsidR="004B4DE2" w:rsidRPr="004B4DE2" w:rsidRDefault="004B4DE2" w:rsidP="00A64D1A">
      <w:pPr>
        <w:pStyle w:val="ab"/>
        <w:spacing w:after="0" w:line="240" w:lineRule="auto"/>
        <w:ind w:firstLine="709"/>
        <w:jc w:val="both"/>
        <w:rPr>
          <w:lang w:val="en-US"/>
        </w:rPr>
      </w:pPr>
      <w:r w:rsidRPr="004B4DE2">
        <w:rPr>
          <w:lang w:val="en-US"/>
        </w:rPr>
        <w:t>20.</w:t>
      </w:r>
      <w:r w:rsidRPr="004B4DE2">
        <w:rPr>
          <w:lang w:val="en-US"/>
        </w:rPr>
        <w:tab/>
        <w:t xml:space="preserve">Rahman, P.; Sun, S.; Peddle, L.; Snelgrove, T.; Melay, W.; Greenwood, C.; Gladman, D. Association between the interleukin-1 family gene cluster and psoriatic arthritis. </w:t>
      </w:r>
      <w:r w:rsidRPr="00701FE0">
        <w:rPr>
          <w:lang w:val="en-US"/>
        </w:rPr>
        <w:t xml:space="preserve">Arthritis Rheum. 2006, 54, 2321–2325. </w:t>
      </w:r>
      <w:r w:rsidRPr="004B4DE2">
        <w:rPr>
          <w:lang w:val="en-US"/>
        </w:rPr>
        <w:t>[CrossRef].</w:t>
      </w:r>
    </w:p>
    <w:p w14:paraId="5608EE5D" w14:textId="77777777" w:rsidR="004B4DE2" w:rsidRPr="004B4DE2" w:rsidRDefault="004B4DE2" w:rsidP="00A64D1A">
      <w:pPr>
        <w:pStyle w:val="ab"/>
        <w:spacing w:after="0" w:line="240" w:lineRule="auto"/>
        <w:ind w:firstLine="709"/>
        <w:jc w:val="both"/>
        <w:rPr>
          <w:lang w:val="en-US"/>
        </w:rPr>
      </w:pPr>
      <w:r w:rsidRPr="004B4DE2">
        <w:rPr>
          <w:lang w:val="en-US"/>
        </w:rPr>
        <w:t>21.</w:t>
      </w:r>
      <w:r w:rsidRPr="004B4DE2">
        <w:rPr>
          <w:lang w:val="en-US"/>
        </w:rPr>
        <w:tab/>
        <w:t xml:space="preserve">Sims AM, Timms AE, Bruges-Armas J, Burgos-Vargas R, Chou CT, Doan T, Dowling A, Fialho RN, Gergely P, Gladman DD, Inman R, Kauppi M, </w:t>
      </w:r>
      <w:r w:rsidRPr="004B4DE2">
        <w:rPr>
          <w:lang w:val="en-US"/>
        </w:rPr>
        <w:lastRenderedPageBreak/>
        <w:t>Kaarela K, Laiho K, Maksymowych W, Pointon JJ, Rahman P, Reveille JD, Sorrentino R, Tuomilehto J, Vargas-Alarcon G, Wordsworth BP, Xu H, Brown MA; International Genetics of Ankylosing Spondylitis. Prospective meta-analysis of interleukin 1 gene complex polymorphisms confirms associations with ankylosing spondylitis. Ann Rheum Dis. 2008 Sep;67(9):1305-9. doi: 10.1136/ard.2007.081364. Epub 2007 Dec 6. PMID: 18063673.</w:t>
      </w:r>
    </w:p>
    <w:p w14:paraId="2FAD3E5A" w14:textId="77777777" w:rsidR="004B4DE2" w:rsidRPr="004B4DE2" w:rsidRDefault="004B4DE2" w:rsidP="00A64D1A">
      <w:pPr>
        <w:pStyle w:val="ab"/>
        <w:spacing w:after="0" w:line="240" w:lineRule="auto"/>
        <w:ind w:firstLine="709"/>
        <w:jc w:val="both"/>
        <w:rPr>
          <w:lang w:val="en-US"/>
        </w:rPr>
      </w:pPr>
      <w:r w:rsidRPr="004B4DE2">
        <w:rPr>
          <w:lang w:val="en-US"/>
        </w:rPr>
        <w:t>22.</w:t>
      </w:r>
      <w:r w:rsidRPr="004B4DE2">
        <w:rPr>
          <w:lang w:val="en-US"/>
        </w:rPr>
        <w:tab/>
        <w:t>Xu H, Pan Y, Li W, Fu H, Zhang J, Shen H, Han X. Association between IL17A and IL17F polymorphisms and risk of Henoch-Schonlein purpura in Chinese children. Rheumatol Int. 2016 Jun;36(6):829-35. doi: 10.1007/s00296-016-3465-8. Epub 2016 Mar 28. PMID: 27021337.</w:t>
      </w:r>
    </w:p>
    <w:p w14:paraId="243DD0FF" w14:textId="77777777" w:rsidR="004B4DE2" w:rsidRPr="004B4DE2" w:rsidRDefault="004B4DE2" w:rsidP="00A64D1A">
      <w:pPr>
        <w:pStyle w:val="ab"/>
        <w:spacing w:after="0" w:line="240" w:lineRule="auto"/>
        <w:ind w:firstLine="709"/>
        <w:jc w:val="both"/>
        <w:rPr>
          <w:lang w:val="en-US"/>
        </w:rPr>
      </w:pPr>
      <w:r w:rsidRPr="004B4DE2">
        <w:rPr>
          <w:lang w:val="en-US"/>
        </w:rPr>
        <w:t>23.</w:t>
      </w:r>
      <w:r w:rsidRPr="004B4DE2">
        <w:rPr>
          <w:lang w:val="en-US"/>
        </w:rPr>
        <w:tab/>
        <w:t xml:space="preserve">Yamamoto-Furusho JK, Santiago-Hernández JJ, Pérez-Hernández N, Ramírez-Fuentes S, Fragoso JM, Vargas-Alarcón G. Interleukin 1 </w:t>
      </w:r>
      <w:r>
        <w:t>β</w:t>
      </w:r>
      <w:r w:rsidRPr="004B4DE2">
        <w:rPr>
          <w:lang w:val="en-US"/>
        </w:rPr>
        <w:t xml:space="preserve"> (IL-1B) and IL-1 antagonist receptor (IL-1RN) gene polymorphisms are associated with the genetic susceptibility and steroid dependence in patients with ulcerative colitis. </w:t>
      </w:r>
      <w:r w:rsidRPr="00701FE0">
        <w:rPr>
          <w:lang w:val="en-US"/>
        </w:rPr>
        <w:t xml:space="preserve">J Clin Gastroenterol. 2011 Jul;45(6):531-5. doi: 10.1097/MCG.0b013e3181faec51. </w:t>
      </w:r>
      <w:r w:rsidRPr="004B4DE2">
        <w:rPr>
          <w:lang w:val="en-US"/>
        </w:rPr>
        <w:t>PMID: 20975573.</w:t>
      </w:r>
    </w:p>
    <w:p w14:paraId="7287995B" w14:textId="77777777" w:rsidR="004B4DE2" w:rsidRPr="004B4DE2" w:rsidRDefault="004B4DE2" w:rsidP="00A64D1A">
      <w:pPr>
        <w:pStyle w:val="ab"/>
        <w:spacing w:after="0" w:line="240" w:lineRule="auto"/>
        <w:ind w:firstLine="709"/>
        <w:jc w:val="both"/>
        <w:rPr>
          <w:lang w:val="en-US"/>
        </w:rPr>
      </w:pPr>
      <w:r w:rsidRPr="004B4DE2">
        <w:rPr>
          <w:lang w:val="en-US"/>
        </w:rPr>
        <w:t>24.</w:t>
      </w:r>
      <w:r w:rsidRPr="004B4DE2">
        <w:rPr>
          <w:lang w:val="en-US"/>
        </w:rPr>
        <w:tab/>
        <w:t>Gao, Y.; Tang, J.; Chen, W.; Li, Q.; Nie, J.; Lin, F.; Tsun, A. Inflammation negatively regulates FOXP3 and regulatory T-cell function via DBC1. Proc. Natl. Acad. Sci. USA 2015, 112, E3246–E3254. [CrossRef] [PubMed].</w:t>
      </w:r>
    </w:p>
    <w:p w14:paraId="57132647" w14:textId="77777777" w:rsidR="004B4DE2" w:rsidRDefault="004B4DE2" w:rsidP="00A64D1A">
      <w:pPr>
        <w:pStyle w:val="ab"/>
        <w:spacing w:after="0" w:line="240" w:lineRule="auto"/>
        <w:ind w:firstLine="709"/>
        <w:jc w:val="both"/>
      </w:pPr>
      <w:r w:rsidRPr="004B4DE2">
        <w:rPr>
          <w:lang w:val="en-US"/>
        </w:rPr>
        <w:t>25.</w:t>
      </w:r>
      <w:r w:rsidRPr="004B4DE2">
        <w:rPr>
          <w:lang w:val="en-US"/>
        </w:rPr>
        <w:tab/>
        <w:t xml:space="preserve">Bartalena L, Baldeschi L, Boboridis K, et al. The 2016 European Thyroid Association/European Group on Graves’ Orbitopathy Guidelines for the Management of Graves’ Orbitopathy. </w:t>
      </w:r>
      <w:r>
        <w:t>Eur Thyroid J. 2016;5(1):9-26. doi: https://doi.org/10.1159/000443828.</w:t>
      </w:r>
    </w:p>
    <w:p w14:paraId="14B05321" w14:textId="77777777" w:rsidR="004B4DE2" w:rsidRDefault="004B4DE2" w:rsidP="00A64D1A">
      <w:pPr>
        <w:pStyle w:val="ab"/>
        <w:spacing w:after="0" w:line="240" w:lineRule="auto"/>
        <w:ind w:firstLine="709"/>
        <w:jc w:val="both"/>
      </w:pPr>
      <w:r>
        <w:t>26.</w:t>
      </w:r>
      <w:r>
        <w:tab/>
        <w:t>Марковская Н.В.; Скляр Х.А.; Семенова Е.С. Распространенность заболеваний щитовидной железы. Вестник научных конференций. ООО Консалтинговая компания Юком. 2019;11–3:49–50. [Markovskaya N.V.; Sklyar H.A.; Semenova E.S. Prevalence of thyroid diseases. Bull Sci Conference. LLC Consulting Company Yukom. 2019;11–3:49–50. (In Russ.)].</w:t>
      </w:r>
    </w:p>
    <w:p w14:paraId="4B71CA97" w14:textId="77777777" w:rsidR="004B4DE2" w:rsidRDefault="004B4DE2" w:rsidP="00A64D1A">
      <w:pPr>
        <w:pStyle w:val="ab"/>
        <w:spacing w:after="0" w:line="240" w:lineRule="auto"/>
        <w:ind w:firstLine="709"/>
        <w:jc w:val="both"/>
      </w:pPr>
      <w:r>
        <w:t>27.</w:t>
      </w:r>
      <w:r>
        <w:tab/>
        <w:t>Мартиросян, A.С., Петунина, A.А., Трухина, A.В., Саакян, A.В., &amp; Пантелеева, A.Г. (2015). Тактика ведения пациентов с эндокринной офтальмопатией и болезнью Грейвса: результаты опроса врачей-эндокринологов и офтальмологов России. Журнал «Медицинский совет» -2015 г. №7. https://doi.org/10.21518/2079-701X-2015-7-44-47.</w:t>
      </w:r>
    </w:p>
    <w:p w14:paraId="6775E622" w14:textId="559941DB" w:rsidR="004B4DE2" w:rsidRDefault="004B4DE2" w:rsidP="00A64D1A">
      <w:pPr>
        <w:pStyle w:val="ab"/>
        <w:spacing w:after="0" w:line="240" w:lineRule="auto"/>
        <w:ind w:firstLine="709"/>
        <w:jc w:val="both"/>
      </w:pPr>
      <w:r>
        <w:t>28.</w:t>
      </w:r>
      <w:r>
        <w:tab/>
        <w:t>М.Ж. Еспенбетова, Ж.К. Заманбекова, Ж.С. Уватаева, Г.С. Сарсебаева, А.Т. Шайхина, Г.К. Сембаева, О.В. Таратутина СОСТОЯНИЕ ЩИТОВИДНОЙ ЖЕЛЕЗЫ У НАСЕЛЕНИЯ РАЙОНОВ, ПРИЛЕГАЮЩИХ К БЫВШЕМУ СЕМИПАЛАТИНСКОМУ ИСПЫТАТЕЛЬНОМУ ЯДЕРНОМУ ПОЛИГОНУ. Наука и здравоохранение, №5, 2014.</w:t>
      </w:r>
    </w:p>
    <w:p w14:paraId="310A9A0B" w14:textId="77777777" w:rsidR="004B4DE2" w:rsidRDefault="004B4DE2" w:rsidP="00A64D1A">
      <w:pPr>
        <w:pStyle w:val="ab"/>
        <w:spacing w:after="0" w:line="240" w:lineRule="auto"/>
        <w:ind w:firstLine="709"/>
        <w:jc w:val="both"/>
      </w:pPr>
      <w:r>
        <w:t>29.</w:t>
      </w:r>
      <w:r>
        <w:tab/>
        <w:t>Еспенбетова М.Ж., Ахметова В.Т., Заманбекова Ж.К., Жуманбаева Ж.М., Крыкпаева А.С., Жаканбаева А.С., Амренова К.Ш. Частота выявляемости аутоиммунных заболевании щитовидной железы в Восточно-Казахстанской области, Астана медициналық журналы №1(103), 2020, MPHTИ 76.33.43+76.03.55 crp-123-l3I.</w:t>
      </w:r>
    </w:p>
    <w:p w14:paraId="7EC45CDA" w14:textId="77777777" w:rsidR="004B4DE2" w:rsidRPr="00701FE0" w:rsidRDefault="004B4DE2" w:rsidP="00A64D1A">
      <w:pPr>
        <w:pStyle w:val="ab"/>
        <w:spacing w:after="0" w:line="240" w:lineRule="auto"/>
        <w:ind w:firstLine="709"/>
        <w:jc w:val="both"/>
        <w:rPr>
          <w:lang w:val="en-US"/>
        </w:rPr>
      </w:pPr>
      <w:r w:rsidRPr="004B4DE2">
        <w:rPr>
          <w:lang w:val="en-US"/>
        </w:rPr>
        <w:lastRenderedPageBreak/>
        <w:t>30.</w:t>
      </w:r>
      <w:r w:rsidRPr="004B4DE2">
        <w:rPr>
          <w:lang w:val="en-US"/>
        </w:rPr>
        <w:tab/>
        <w:t xml:space="preserve">Szczapa-Jagustyn J, Gotz-Więckowska A, Kocięcki J. An update on thyroid-associated ophthalmopathy in children and adolescents. </w:t>
      </w:r>
      <w:r w:rsidRPr="00701FE0">
        <w:rPr>
          <w:lang w:val="en-US"/>
        </w:rPr>
        <w:t>J Pediatr Endocrinol Metab. 2016 Oct 1;29(10):1115-1122. doi: 10.1515/jpem-2016-0122. PMID: 27682712.</w:t>
      </w:r>
    </w:p>
    <w:p w14:paraId="4E2B14A0" w14:textId="77777777" w:rsidR="004B4DE2" w:rsidRPr="004B4DE2" w:rsidRDefault="004B4DE2" w:rsidP="00A64D1A">
      <w:pPr>
        <w:pStyle w:val="ab"/>
        <w:spacing w:after="0" w:line="240" w:lineRule="auto"/>
        <w:ind w:firstLine="709"/>
        <w:jc w:val="both"/>
        <w:rPr>
          <w:lang w:val="en-US"/>
        </w:rPr>
      </w:pPr>
      <w:r w:rsidRPr="00701FE0">
        <w:rPr>
          <w:lang w:val="en-US"/>
        </w:rPr>
        <w:t>31.</w:t>
      </w:r>
      <w:r w:rsidRPr="00701FE0">
        <w:rPr>
          <w:lang w:val="en-US"/>
        </w:rPr>
        <w:tab/>
        <w:t xml:space="preserve">Dedov I.I., Melnichenko G.A., Sviridenko N.Yu., Troshina E.A., Fadeev V.V., Belovalova I.M., Sheremeta M.S., Rumyantsev P.L., Petunina N.A., Grineva E.N., Strongin L.G., Neroyev V.V., Katargina L.A., Saakian S.V., Panteleeva O.G., Valsky V.V., Brovkina A.F., Atarshikov D.S., Bessmertnaya E.G., Lipatov D.V., Astakhov Yu.S., Saydasheva E.I., Zolotarev A.V., Dogadova L.I. Federal clinical recommendations on diagnostics and treatment of endocrine ophthalmopathy associated with autoimmune thyroid pathology. Problems of Endocrinology. 2015;61(1):61-74. </w:t>
      </w:r>
      <w:r w:rsidRPr="004B4DE2">
        <w:rPr>
          <w:lang w:val="en-US"/>
        </w:rPr>
        <w:t>(In Russ.).</w:t>
      </w:r>
    </w:p>
    <w:p w14:paraId="65C31A82" w14:textId="77777777" w:rsidR="004B4DE2" w:rsidRPr="00701FE0" w:rsidRDefault="004B4DE2" w:rsidP="00A64D1A">
      <w:pPr>
        <w:pStyle w:val="ab"/>
        <w:spacing w:after="0" w:line="240" w:lineRule="auto"/>
        <w:ind w:firstLine="709"/>
        <w:jc w:val="both"/>
        <w:rPr>
          <w:lang w:val="en-US"/>
        </w:rPr>
      </w:pPr>
      <w:r w:rsidRPr="004B4DE2">
        <w:rPr>
          <w:lang w:val="en-US"/>
        </w:rPr>
        <w:t>32.</w:t>
      </w:r>
      <w:r w:rsidRPr="004B4DE2">
        <w:rPr>
          <w:lang w:val="en-US"/>
        </w:rPr>
        <w:tab/>
        <w:t xml:space="preserve">Bartalena L, Piantanida E, Gallo D, Lai A, Tanda ML. </w:t>
      </w:r>
      <w:r w:rsidRPr="00701FE0">
        <w:rPr>
          <w:lang w:val="en-US"/>
        </w:rPr>
        <w:t>Epidemiology, natural history, risk factors, and prevention of Graves’ orbitopathy. Front Endocrinol. 2020;11:615993. 10.3389/fendo.2020.615993.</w:t>
      </w:r>
    </w:p>
    <w:p w14:paraId="08DCEC02" w14:textId="77777777" w:rsidR="004B4DE2" w:rsidRPr="00701FE0" w:rsidRDefault="004B4DE2" w:rsidP="00A64D1A">
      <w:pPr>
        <w:pStyle w:val="ab"/>
        <w:spacing w:after="0" w:line="240" w:lineRule="auto"/>
        <w:ind w:firstLine="709"/>
        <w:jc w:val="both"/>
        <w:rPr>
          <w:lang w:val="en-US"/>
        </w:rPr>
      </w:pPr>
      <w:r w:rsidRPr="004B4DE2">
        <w:rPr>
          <w:lang w:val="en-US"/>
        </w:rPr>
        <w:t>33.</w:t>
      </w:r>
      <w:r w:rsidRPr="004B4DE2">
        <w:rPr>
          <w:lang w:val="en-US"/>
        </w:rPr>
        <w:tab/>
        <w:t xml:space="preserve">Taskina, Elizaveta &amp; Charinzeva, Svetlana &amp; Charinzev, Vladimir &amp; Serkin, Dmitriy. (2017). New opportunities in endocrine ophthalmopathy diagnostics (review). Clinical and experimental thyroidology. </w:t>
      </w:r>
      <w:r w:rsidRPr="00701FE0">
        <w:rPr>
          <w:lang w:val="en-US"/>
        </w:rPr>
        <w:t>13. 20-28. 10.14341/ket2017320-28.</w:t>
      </w:r>
    </w:p>
    <w:p w14:paraId="1E56C918" w14:textId="77777777" w:rsidR="004B4DE2" w:rsidRPr="004B4DE2" w:rsidRDefault="004B4DE2" w:rsidP="00A64D1A">
      <w:pPr>
        <w:pStyle w:val="ab"/>
        <w:spacing w:after="0" w:line="240" w:lineRule="auto"/>
        <w:ind w:firstLine="709"/>
        <w:jc w:val="both"/>
        <w:rPr>
          <w:lang w:val="en-US"/>
        </w:rPr>
      </w:pPr>
      <w:r w:rsidRPr="004B4DE2">
        <w:rPr>
          <w:lang w:val="en-US"/>
        </w:rPr>
        <w:t>34.</w:t>
      </w:r>
      <w:r w:rsidRPr="004B4DE2">
        <w:rPr>
          <w:lang w:val="en-US"/>
        </w:rPr>
        <w:tab/>
        <w:t xml:space="preserve">Chin YH, Ng CH, Lee MH, Koh JWH, Kiew J, Yang SP, Sundar G, Khoo CM. </w:t>
      </w:r>
      <w:r w:rsidRPr="00701FE0">
        <w:rPr>
          <w:lang w:val="en-US"/>
        </w:rPr>
        <w:t xml:space="preserve">Prevalence of thyroid eye disease in Graves’ disease: A meta-analysis and systematic review. </w:t>
      </w:r>
      <w:r w:rsidRPr="004B4DE2">
        <w:rPr>
          <w:lang w:val="en-US"/>
        </w:rPr>
        <w:t>Clin Endocrinol (Oxf). 2020 Oct;93(4):363-374. doi: 10.1111/cen.14296. Epub 2020 Aug 10. PMID: 32691849.</w:t>
      </w:r>
    </w:p>
    <w:p w14:paraId="026D5253" w14:textId="77777777" w:rsidR="004B4DE2" w:rsidRPr="00701FE0" w:rsidRDefault="004B4DE2" w:rsidP="00A64D1A">
      <w:pPr>
        <w:pStyle w:val="ab"/>
        <w:spacing w:after="0" w:line="240" w:lineRule="auto"/>
        <w:ind w:firstLine="709"/>
        <w:jc w:val="both"/>
        <w:rPr>
          <w:lang w:val="en-US"/>
        </w:rPr>
      </w:pPr>
      <w:r w:rsidRPr="004B4DE2">
        <w:rPr>
          <w:lang w:val="en-US"/>
        </w:rPr>
        <w:t>35.</w:t>
      </w:r>
      <w:r w:rsidRPr="004B4DE2">
        <w:rPr>
          <w:lang w:val="en-US"/>
        </w:rPr>
        <w:tab/>
        <w:t xml:space="preserve">Abraham-Nordling M, Byström K, Törring O, Lantz M, Berg G, Calissendorff J, Nyström HF, Jansson S, Jörneskog G, Karlsson FA, Nyström E, Ohrling H, Orn T, Hallengren B, Wallin G. Incidence of hyperthyroidism in Sweden. </w:t>
      </w:r>
      <w:r w:rsidRPr="00701FE0">
        <w:rPr>
          <w:lang w:val="en-US"/>
        </w:rPr>
        <w:t>Eur J Endocrinol. 2011 Dec;165(6):899-905. doi: 10.1530/EJE-11-0548. Epub 2011 Sep 9. PMID: 21908653.</w:t>
      </w:r>
    </w:p>
    <w:p w14:paraId="36FBDAE6" w14:textId="77777777" w:rsidR="004B4DE2" w:rsidRPr="004B4DE2" w:rsidRDefault="004B4DE2" w:rsidP="00A64D1A">
      <w:pPr>
        <w:pStyle w:val="ab"/>
        <w:spacing w:after="0" w:line="240" w:lineRule="auto"/>
        <w:ind w:firstLine="709"/>
        <w:jc w:val="both"/>
        <w:rPr>
          <w:lang w:val="en-US"/>
        </w:rPr>
      </w:pPr>
      <w:r w:rsidRPr="00701FE0">
        <w:rPr>
          <w:lang w:val="en-US"/>
        </w:rPr>
        <w:t>36.</w:t>
      </w:r>
      <w:r w:rsidRPr="00701FE0">
        <w:rPr>
          <w:lang w:val="en-US"/>
        </w:rPr>
        <w:tab/>
        <w:t xml:space="preserve">Perros P, Hegedüs L, Bartalena L, Marcocci C, Kahaly GJ, Baldeschi L, Salvi M, Lazarus JH, Eckstein A, Pitz S, Boboridis K, Anagnostis P, Ayvaz G, Boschi A, Brix TH, Currò N, Konuk O, Marinò M, Mitchell AL, Stankovic B, Törüner FB, von Arx G, Zarković M, Wiersinga WM. </w:t>
      </w:r>
      <w:r w:rsidRPr="004B4DE2">
        <w:rPr>
          <w:lang w:val="en-US"/>
        </w:rPr>
        <w:t>Graves’ orbitopathy as a rare disease in Europe: a European Group on Graves’ Orbitopathy (EUGOGO) position statement. Orphanet J Rare Dis. 2017 Apr 20;12(1):72. doi: 10.1186/s13023-017-0625-1. PMID: 28427469; PMCID: PMC5397790.</w:t>
      </w:r>
    </w:p>
    <w:p w14:paraId="77096B7E" w14:textId="77777777" w:rsidR="004B4DE2" w:rsidRPr="004B4DE2" w:rsidRDefault="004B4DE2" w:rsidP="00A64D1A">
      <w:pPr>
        <w:pStyle w:val="ab"/>
        <w:spacing w:after="0" w:line="240" w:lineRule="auto"/>
        <w:ind w:firstLine="709"/>
        <w:jc w:val="both"/>
        <w:rPr>
          <w:lang w:val="en-US"/>
        </w:rPr>
      </w:pPr>
      <w:r w:rsidRPr="004B4DE2">
        <w:rPr>
          <w:lang w:val="en-US"/>
        </w:rPr>
        <w:t>37.</w:t>
      </w:r>
      <w:r w:rsidRPr="004B4DE2">
        <w:rPr>
          <w:lang w:val="en-US"/>
        </w:rPr>
        <w:tab/>
        <w:t>Banga JP, Moshkelgosha S, Berchner-Pfannschmidt U, Eckstein A. Modeling Graves’ orbitopathy in experimental Graves’ disease. Horm Metab Res. 2015;47(10):797-803. doi: https://doi.org/10.1055/s-0035-1555956.</w:t>
      </w:r>
    </w:p>
    <w:p w14:paraId="3F6DAB9F" w14:textId="77777777" w:rsidR="004B4DE2" w:rsidRPr="004B4DE2" w:rsidRDefault="004B4DE2" w:rsidP="00A64D1A">
      <w:pPr>
        <w:pStyle w:val="ab"/>
        <w:spacing w:after="0" w:line="240" w:lineRule="auto"/>
        <w:ind w:firstLine="709"/>
        <w:jc w:val="both"/>
        <w:rPr>
          <w:lang w:val="en-US"/>
        </w:rPr>
      </w:pPr>
      <w:r w:rsidRPr="004B4DE2">
        <w:rPr>
          <w:lang w:val="en-US"/>
        </w:rPr>
        <w:t>38.</w:t>
      </w:r>
      <w:r w:rsidRPr="004B4DE2">
        <w:rPr>
          <w:lang w:val="en-US"/>
        </w:rPr>
        <w:tab/>
        <w:t xml:space="preserve">Lin J. D., Yang S. F., Wang Y. H., et al. </w:t>
      </w:r>
      <w:r w:rsidRPr="00701FE0">
        <w:rPr>
          <w:lang w:val="en-US"/>
        </w:rPr>
        <w:t xml:space="preserve">Associations of melatonin receptor gene polymorphisms with Graves’ disease. </w:t>
      </w:r>
      <w:r w:rsidRPr="004B4DE2">
        <w:rPr>
          <w:lang w:val="en-US"/>
        </w:rPr>
        <w:t>PLoS One. 2017;12(9) doi: 10.1371/journal.pone.0185529.e0185529 [PMC free article] [PubMed] [CrossRef] [Google Scholar].</w:t>
      </w:r>
    </w:p>
    <w:p w14:paraId="6D5DCD59" w14:textId="77777777" w:rsidR="004B4DE2" w:rsidRPr="004B4DE2" w:rsidRDefault="004B4DE2" w:rsidP="00A64D1A">
      <w:pPr>
        <w:pStyle w:val="ab"/>
        <w:spacing w:after="0" w:line="240" w:lineRule="auto"/>
        <w:ind w:firstLine="709"/>
        <w:jc w:val="both"/>
        <w:rPr>
          <w:lang w:val="en-US"/>
        </w:rPr>
      </w:pPr>
      <w:r w:rsidRPr="004B4DE2">
        <w:rPr>
          <w:lang w:val="en-US"/>
        </w:rPr>
        <w:t>39.</w:t>
      </w:r>
      <w:r w:rsidRPr="004B4DE2">
        <w:rPr>
          <w:lang w:val="en-US"/>
        </w:rPr>
        <w:tab/>
        <w:t xml:space="preserve">Khong J. J., McNab A. A., Ebeling P. R., Craig J. E., Selva D. Pathogenesis of thyroid eye disease: review and update on molecular mechanisms. </w:t>
      </w:r>
      <w:r w:rsidRPr="00701FE0">
        <w:rPr>
          <w:lang w:val="en-US"/>
        </w:rPr>
        <w:lastRenderedPageBreak/>
        <w:t xml:space="preserve">British Journal of Ophthalmology. 2016;100(1):142–150. doi: 10.1136/bjophthalmol-2015-307399. </w:t>
      </w:r>
      <w:r w:rsidRPr="004B4DE2">
        <w:rPr>
          <w:lang w:val="en-US"/>
        </w:rPr>
        <w:t>[PubMed] [CrossRef] [Google Scholar].</w:t>
      </w:r>
    </w:p>
    <w:p w14:paraId="429BC053" w14:textId="77777777" w:rsidR="004B4DE2" w:rsidRPr="004B4DE2" w:rsidRDefault="004B4DE2" w:rsidP="00A64D1A">
      <w:pPr>
        <w:pStyle w:val="ab"/>
        <w:spacing w:after="0" w:line="240" w:lineRule="auto"/>
        <w:ind w:firstLine="709"/>
        <w:jc w:val="both"/>
        <w:rPr>
          <w:lang w:val="en-US"/>
        </w:rPr>
      </w:pPr>
      <w:r w:rsidRPr="004B4DE2">
        <w:rPr>
          <w:lang w:val="en-US"/>
        </w:rPr>
        <w:t>40.</w:t>
      </w:r>
      <w:r w:rsidRPr="004B4DE2">
        <w:rPr>
          <w:lang w:val="en-US"/>
        </w:rPr>
        <w:tab/>
        <w:t>Bahn RS. Current Insights into the Pathogenesis of Graves’ Ophthalmopathy. Horm Metab Res. 2015;47(10):773-778. doi: https://doi.org/10.1055/s-0035-1555762.</w:t>
      </w:r>
    </w:p>
    <w:p w14:paraId="6C2E06B1" w14:textId="77777777" w:rsidR="004B4DE2" w:rsidRPr="00701FE0" w:rsidRDefault="004B4DE2" w:rsidP="00A64D1A">
      <w:pPr>
        <w:pStyle w:val="ab"/>
        <w:spacing w:after="0" w:line="240" w:lineRule="auto"/>
        <w:ind w:firstLine="709"/>
        <w:jc w:val="both"/>
        <w:rPr>
          <w:lang w:val="en-US"/>
        </w:rPr>
      </w:pPr>
      <w:r w:rsidRPr="004B4DE2">
        <w:rPr>
          <w:lang w:val="en-US"/>
        </w:rPr>
        <w:t>41.</w:t>
      </w:r>
      <w:r w:rsidRPr="004B4DE2">
        <w:rPr>
          <w:lang w:val="en-US"/>
        </w:rPr>
        <w:tab/>
        <w:t xml:space="preserve">Krieger CC, Neumann S, Place RF, et al. </w:t>
      </w:r>
      <w:r w:rsidRPr="00701FE0">
        <w:rPr>
          <w:lang w:val="en-US"/>
        </w:rPr>
        <w:t>Bidirectional TSH and IGF-1 receptor cross talk mediates stimulation of hyaluronan secretion by Graves’ disease immunoglobins. J Clin Endocrinol Metab. 2015;100(3):1071-1077.</w:t>
      </w:r>
    </w:p>
    <w:p w14:paraId="3CC3ACA3" w14:textId="77777777" w:rsidR="004B4DE2" w:rsidRPr="004B4DE2" w:rsidRDefault="004B4DE2" w:rsidP="00A64D1A">
      <w:pPr>
        <w:pStyle w:val="ab"/>
        <w:spacing w:after="0" w:line="240" w:lineRule="auto"/>
        <w:ind w:firstLine="709"/>
        <w:jc w:val="both"/>
        <w:rPr>
          <w:lang w:val="en-US"/>
        </w:rPr>
      </w:pPr>
      <w:r w:rsidRPr="004B4DE2">
        <w:rPr>
          <w:lang w:val="en-US"/>
        </w:rPr>
        <w:t>42.</w:t>
      </w:r>
      <w:r w:rsidRPr="004B4DE2">
        <w:rPr>
          <w:lang w:val="en-US"/>
        </w:rPr>
        <w:tab/>
        <w:t xml:space="preserve">Kurebayashi Y, Nagai S, Ikejiri A, Koyasu S. Recent advances in understanding the molecular mechanisms of the development and function of Th17 cells. </w:t>
      </w:r>
      <w:r w:rsidRPr="00701FE0">
        <w:rPr>
          <w:lang w:val="en-US"/>
        </w:rPr>
        <w:t xml:space="preserve">Genes Cells. 2013 Apr;18(4):247-65. doi: 10.1111/gtc.12039. </w:t>
      </w:r>
      <w:r w:rsidRPr="004B4DE2">
        <w:rPr>
          <w:lang w:val="en-US"/>
        </w:rPr>
        <w:t>Epub 2013 Feb 5. PMID: 23383714; PMCID: PMC3657121.</w:t>
      </w:r>
    </w:p>
    <w:p w14:paraId="39C2B81D" w14:textId="77777777" w:rsidR="004B4DE2" w:rsidRPr="004B4DE2" w:rsidRDefault="004B4DE2" w:rsidP="00A64D1A">
      <w:pPr>
        <w:pStyle w:val="ab"/>
        <w:spacing w:after="0" w:line="240" w:lineRule="auto"/>
        <w:ind w:firstLine="709"/>
        <w:jc w:val="both"/>
        <w:rPr>
          <w:lang w:val="en-US"/>
        </w:rPr>
      </w:pPr>
      <w:r w:rsidRPr="004B4DE2">
        <w:rPr>
          <w:lang w:val="en-US"/>
        </w:rPr>
        <w:t>43.</w:t>
      </w:r>
      <w:r w:rsidRPr="004B4DE2">
        <w:rPr>
          <w:lang w:val="en-US"/>
        </w:rPr>
        <w:tab/>
        <w:t xml:space="preserve">Li H, Fitchett C, Kozdon K, et al. </w:t>
      </w:r>
      <w:r w:rsidRPr="00701FE0">
        <w:rPr>
          <w:lang w:val="en-US"/>
        </w:rPr>
        <w:t xml:space="preserve">Independent adipogenic and contractile properties of fibroblasts in Graves’ orbitopathy: an in vitro model for the evaluation of treatments. </w:t>
      </w:r>
      <w:r w:rsidRPr="004B4DE2">
        <w:rPr>
          <w:lang w:val="en-US"/>
        </w:rPr>
        <w:t>PLoS One. 2014; 9(4):e95586. doi: https://doi.org/10.1371/journal.pone.0095586.</w:t>
      </w:r>
    </w:p>
    <w:p w14:paraId="7E1E14A3" w14:textId="77777777" w:rsidR="004B4DE2" w:rsidRPr="004B4DE2" w:rsidRDefault="004B4DE2" w:rsidP="00A64D1A">
      <w:pPr>
        <w:pStyle w:val="ab"/>
        <w:spacing w:after="0" w:line="240" w:lineRule="auto"/>
        <w:ind w:firstLine="709"/>
        <w:jc w:val="both"/>
        <w:rPr>
          <w:lang w:val="en-US"/>
        </w:rPr>
      </w:pPr>
      <w:r w:rsidRPr="004B4DE2">
        <w:rPr>
          <w:lang w:val="en-US"/>
        </w:rPr>
        <w:t>44.</w:t>
      </w:r>
      <w:r w:rsidRPr="004B4DE2">
        <w:rPr>
          <w:lang w:val="en-US"/>
        </w:rPr>
        <w:tab/>
        <w:t xml:space="preserve">Kozdon K, Fitchett C, Rose GE, et al. </w:t>
      </w:r>
      <w:r w:rsidRPr="00701FE0">
        <w:rPr>
          <w:lang w:val="en-US"/>
        </w:rPr>
        <w:t xml:space="preserve">Mesenchymal stem cell-like properties of orbital fibroblasts in Graves’ orbitopathy. </w:t>
      </w:r>
      <w:r w:rsidRPr="004B4DE2">
        <w:rPr>
          <w:lang w:val="en-US"/>
        </w:rPr>
        <w:t>Invest Ophthalmol Vis Sci. 2015;56(10):5743-5750. doi: https://doi.org/10.1167/iovs.15-16580.</w:t>
      </w:r>
    </w:p>
    <w:p w14:paraId="630AA4D4" w14:textId="77777777" w:rsidR="004B4DE2" w:rsidRPr="004B4DE2" w:rsidRDefault="004B4DE2" w:rsidP="00A64D1A">
      <w:pPr>
        <w:pStyle w:val="ab"/>
        <w:spacing w:after="0" w:line="240" w:lineRule="auto"/>
        <w:ind w:firstLine="709"/>
        <w:jc w:val="both"/>
        <w:rPr>
          <w:lang w:val="en-US"/>
        </w:rPr>
      </w:pPr>
      <w:r w:rsidRPr="004B4DE2">
        <w:rPr>
          <w:lang w:val="en-US"/>
        </w:rPr>
        <w:t>45.</w:t>
      </w:r>
      <w:r w:rsidRPr="004B4DE2">
        <w:rPr>
          <w:lang w:val="en-US"/>
        </w:rPr>
        <w:tab/>
        <w:t>Dik WA, Virakul S, van Steensel L. Current perspectives on the role of orbital fibroblasts in the pathogenesis of Graves’ ophthalmopathy. Exp Eye Res. 2016;142:83-91. doi: https://doi.org/10.1016/j.exer.2015.02.007.</w:t>
      </w:r>
    </w:p>
    <w:p w14:paraId="2A623D59" w14:textId="77777777" w:rsidR="004B4DE2" w:rsidRPr="004B4DE2" w:rsidRDefault="004B4DE2" w:rsidP="00A64D1A">
      <w:pPr>
        <w:pStyle w:val="ab"/>
        <w:spacing w:after="0" w:line="240" w:lineRule="auto"/>
        <w:ind w:firstLine="709"/>
        <w:jc w:val="both"/>
        <w:rPr>
          <w:lang w:val="en-US"/>
        </w:rPr>
      </w:pPr>
      <w:r w:rsidRPr="004B4DE2">
        <w:rPr>
          <w:lang w:val="en-US"/>
        </w:rPr>
        <w:t>46.</w:t>
      </w:r>
      <w:r w:rsidRPr="004B4DE2">
        <w:rPr>
          <w:lang w:val="en-US"/>
        </w:rPr>
        <w:tab/>
        <w:t>Shu DY, Lovicu FJ. Myofibroblast transdifferentiation: The dark force in ocular wound healing and fibrosis. Prog Retin Eye Res. 2017; 60:44-65. doi: https://doi.org/10.1016/j.preteyeres.2017.08.001.</w:t>
      </w:r>
    </w:p>
    <w:p w14:paraId="15D83B21" w14:textId="77777777" w:rsidR="004B4DE2" w:rsidRPr="004B4DE2" w:rsidRDefault="004B4DE2" w:rsidP="00A64D1A">
      <w:pPr>
        <w:pStyle w:val="ab"/>
        <w:spacing w:after="0" w:line="240" w:lineRule="auto"/>
        <w:ind w:firstLine="709"/>
        <w:jc w:val="both"/>
        <w:rPr>
          <w:lang w:val="en-US"/>
        </w:rPr>
      </w:pPr>
      <w:r w:rsidRPr="004B4DE2">
        <w:rPr>
          <w:lang w:val="en-US"/>
        </w:rPr>
        <w:t>47.</w:t>
      </w:r>
      <w:r w:rsidRPr="004B4DE2">
        <w:rPr>
          <w:lang w:val="en-US"/>
        </w:rPr>
        <w:tab/>
        <w:t xml:space="preserve">Galgoczi E, Molnar Z, Katko M, Ujhelyi B, Steiber Z, Nagy EV. Cyclosporin A inhibits PDGF-BB induced hyaluronan synthesis in orbital fibroblasts. </w:t>
      </w:r>
      <w:r w:rsidRPr="00701FE0">
        <w:rPr>
          <w:lang w:val="en-US"/>
        </w:rPr>
        <w:t xml:space="preserve">Chem Biol Interact. 2024 Jun 1;396:111045. doi: 10.1016/j.cbi.2024.111045. </w:t>
      </w:r>
      <w:r w:rsidRPr="004B4DE2">
        <w:rPr>
          <w:lang w:val="en-US"/>
        </w:rPr>
        <w:t>Epub 2024 May 9. PMID: 38729283.</w:t>
      </w:r>
    </w:p>
    <w:p w14:paraId="23611285" w14:textId="77777777" w:rsidR="004B4DE2" w:rsidRPr="004B4DE2" w:rsidRDefault="004B4DE2" w:rsidP="00A64D1A">
      <w:pPr>
        <w:pStyle w:val="ab"/>
        <w:spacing w:after="0" w:line="240" w:lineRule="auto"/>
        <w:ind w:firstLine="709"/>
        <w:jc w:val="both"/>
        <w:rPr>
          <w:lang w:val="en-US"/>
        </w:rPr>
      </w:pPr>
      <w:r w:rsidRPr="004B4DE2">
        <w:rPr>
          <w:lang w:val="en-US"/>
        </w:rPr>
        <w:t>48.</w:t>
      </w:r>
      <w:r w:rsidRPr="004B4DE2">
        <w:rPr>
          <w:lang w:val="en-US"/>
        </w:rPr>
        <w:tab/>
        <w:t xml:space="preserve">Place RF, Krieger CC, Neumann S, Gershengorn MC. </w:t>
      </w:r>
      <w:r w:rsidRPr="00701FE0">
        <w:rPr>
          <w:lang w:val="en-US"/>
        </w:rPr>
        <w:t xml:space="preserve">Inhibiting thyrotropin/insulin-like growth factor 1 receptor crosstalk to treat Graves’ ophthalmopathy: studies in orbital fibroblasts in vitro. Br J Pharmacol. 2017 Feb;174(4):328-340. doi: 10.1111/bph.13693. </w:t>
      </w:r>
      <w:r w:rsidRPr="004B4DE2">
        <w:rPr>
          <w:lang w:val="en-US"/>
        </w:rPr>
        <w:t>Epub 2017 Jan 27. PMID: 27987211; PMCID: PMC5289943.</w:t>
      </w:r>
    </w:p>
    <w:p w14:paraId="5E102E43" w14:textId="77777777" w:rsidR="004B4DE2" w:rsidRPr="004B4DE2" w:rsidRDefault="004B4DE2" w:rsidP="00A64D1A">
      <w:pPr>
        <w:pStyle w:val="ab"/>
        <w:spacing w:after="0" w:line="240" w:lineRule="auto"/>
        <w:ind w:firstLine="709"/>
        <w:jc w:val="both"/>
        <w:rPr>
          <w:lang w:val="en-US"/>
        </w:rPr>
      </w:pPr>
      <w:r w:rsidRPr="004B4DE2">
        <w:rPr>
          <w:lang w:val="en-US"/>
        </w:rPr>
        <w:t>49.</w:t>
      </w:r>
      <w:r w:rsidRPr="004B4DE2">
        <w:rPr>
          <w:lang w:val="en-US"/>
        </w:rPr>
        <w:tab/>
        <w:t>Smith TJ. TSHR-IGF-IR complex drives orbital fibroblast misbehavior in thyroid eye disease. Curr Opin Endocrinol Diabetes Obes. 2024 Oct 1;31(5):177-183. doi: 10.1097/MED.0000000000000878. Epub 2024 Jul 31. PMID: 39082947.</w:t>
      </w:r>
    </w:p>
    <w:p w14:paraId="2DCBB827" w14:textId="77777777" w:rsidR="004B4DE2" w:rsidRPr="00701FE0" w:rsidRDefault="004B4DE2" w:rsidP="00A64D1A">
      <w:pPr>
        <w:pStyle w:val="ab"/>
        <w:spacing w:after="0" w:line="240" w:lineRule="auto"/>
        <w:ind w:firstLine="709"/>
        <w:jc w:val="both"/>
        <w:rPr>
          <w:lang w:val="en-US"/>
        </w:rPr>
      </w:pPr>
      <w:r w:rsidRPr="004B4DE2">
        <w:rPr>
          <w:lang w:val="en-US"/>
        </w:rPr>
        <w:t>50.</w:t>
      </w:r>
      <w:r w:rsidRPr="004B4DE2">
        <w:rPr>
          <w:lang w:val="en-US"/>
        </w:rPr>
        <w:tab/>
        <w:t xml:space="preserve">Douglas RS, Afifiyan NF, Hwang CJ, et al. Increased generation of fibrocytes in thyroid-associated ophthalmopathy. </w:t>
      </w:r>
      <w:r w:rsidRPr="00701FE0">
        <w:rPr>
          <w:lang w:val="en-US"/>
        </w:rPr>
        <w:t>J Clin Endocrinol Metab. 2010;95(1):430-438. doi: https://doi.org/10.1210/jc.2009-1614.</w:t>
      </w:r>
    </w:p>
    <w:p w14:paraId="7B6474A6" w14:textId="77777777" w:rsidR="004B4DE2" w:rsidRPr="00701FE0" w:rsidRDefault="004B4DE2" w:rsidP="00A64D1A">
      <w:pPr>
        <w:pStyle w:val="ab"/>
        <w:spacing w:after="0" w:line="240" w:lineRule="auto"/>
        <w:ind w:firstLine="709"/>
        <w:jc w:val="both"/>
        <w:rPr>
          <w:lang w:val="en-US"/>
        </w:rPr>
      </w:pPr>
      <w:r w:rsidRPr="004B4DE2">
        <w:rPr>
          <w:lang w:val="en-US"/>
        </w:rPr>
        <w:t>51.</w:t>
      </w:r>
      <w:r w:rsidRPr="004B4DE2">
        <w:rPr>
          <w:lang w:val="en-US"/>
        </w:rPr>
        <w:tab/>
        <w:t xml:space="preserve">Wu T, Mester T, Gupta S, et al. </w:t>
      </w:r>
      <w:r w:rsidRPr="00701FE0">
        <w:rPr>
          <w:lang w:val="en-US"/>
        </w:rPr>
        <w:t>Thyrotropin and CD40L stimulate interleukin-12 expression in fibrocytes: implications for pathogenesis of thyroid-associated ophthalmopathy. Thyroid. 2016;26(12): 1768-1777. doi: https://doi.org/10.1089/thy.2016.0243.</w:t>
      </w:r>
    </w:p>
    <w:p w14:paraId="57DC0541" w14:textId="77777777" w:rsidR="004B4DE2" w:rsidRPr="004B4DE2" w:rsidRDefault="004B4DE2" w:rsidP="00A64D1A">
      <w:pPr>
        <w:pStyle w:val="ab"/>
        <w:spacing w:after="0" w:line="240" w:lineRule="auto"/>
        <w:ind w:firstLine="709"/>
        <w:jc w:val="both"/>
        <w:rPr>
          <w:lang w:val="en-US"/>
        </w:rPr>
      </w:pPr>
      <w:r w:rsidRPr="004B4DE2">
        <w:rPr>
          <w:lang w:val="en-US"/>
        </w:rPr>
        <w:lastRenderedPageBreak/>
        <w:t>52.</w:t>
      </w:r>
      <w:r w:rsidRPr="004B4DE2">
        <w:rPr>
          <w:lang w:val="en-US"/>
        </w:rPr>
        <w:tab/>
        <w:t>Proctor ES, Smith TJ. Bone marrow fibrocytes: villain or white knight in thyroid-associated ophthalmopathy? Curr Opin Endocrinol Diabetes Obes. 2022 Oct 1;29(5):441-448. doi: 10.1097/MED.0000000000000765. Epub 2022 Aug 11. PMID: 35950703.</w:t>
      </w:r>
    </w:p>
    <w:p w14:paraId="2EC27FAE" w14:textId="77777777" w:rsidR="004B4DE2" w:rsidRPr="004B4DE2" w:rsidRDefault="004B4DE2" w:rsidP="00A64D1A">
      <w:pPr>
        <w:pStyle w:val="ab"/>
        <w:spacing w:after="0" w:line="240" w:lineRule="auto"/>
        <w:ind w:firstLine="709"/>
        <w:jc w:val="both"/>
        <w:rPr>
          <w:lang w:val="en-US"/>
        </w:rPr>
      </w:pPr>
      <w:r w:rsidRPr="004B4DE2">
        <w:rPr>
          <w:lang w:val="en-US"/>
        </w:rPr>
        <w:t>53.</w:t>
      </w:r>
      <w:r w:rsidRPr="004B4DE2">
        <w:rPr>
          <w:lang w:val="en-US"/>
        </w:rPr>
        <w:tab/>
        <w:t>Tsai CC, Wu SB, Kau HC, Wei YH. Essential role of connective tissue growth factor (CTGF) in transforming growth factor-</w:t>
      </w:r>
      <w:r>
        <w:t>β</w:t>
      </w:r>
      <w:r w:rsidRPr="004B4DE2">
        <w:rPr>
          <w:lang w:val="en-US"/>
        </w:rPr>
        <w:t>1 (TGF-</w:t>
      </w:r>
      <w:r>
        <w:t>β</w:t>
      </w:r>
      <w:r w:rsidRPr="004B4DE2">
        <w:rPr>
          <w:lang w:val="en-US"/>
        </w:rPr>
        <w:t>1)-induced myofibroblast transdifferentiation from Graves’ orbital fibroblasts. Sci Rep. 2018 May 8;8(1):7276. doi: 10.1038/s41598-018-25370-3. PMID: 29739987; PMCID: PMC5940888.</w:t>
      </w:r>
    </w:p>
    <w:p w14:paraId="76A913B8" w14:textId="77777777" w:rsidR="004B4DE2" w:rsidRPr="004B4DE2" w:rsidRDefault="004B4DE2" w:rsidP="00A64D1A">
      <w:pPr>
        <w:pStyle w:val="ab"/>
        <w:spacing w:after="0" w:line="240" w:lineRule="auto"/>
        <w:ind w:firstLine="709"/>
        <w:jc w:val="both"/>
        <w:rPr>
          <w:lang w:val="en-US"/>
        </w:rPr>
      </w:pPr>
      <w:r w:rsidRPr="004B4DE2">
        <w:rPr>
          <w:lang w:val="en-US"/>
        </w:rPr>
        <w:t>54.</w:t>
      </w:r>
      <w:r w:rsidRPr="004B4DE2">
        <w:rPr>
          <w:lang w:val="en-US"/>
        </w:rPr>
        <w:tab/>
        <w:t>Qi X, Luo B, Deng M, Cao J, Hou S, Xie Z, Tong B, Xiong W. Botox-A improve the thyroid-associated ophthalmopathy (TAO) orbital fibroblast activation through inhibiting the TGF-</w:t>
      </w:r>
      <w:r>
        <w:t>β</w:t>
      </w:r>
      <w:r w:rsidRPr="004B4DE2">
        <w:rPr>
          <w:lang w:val="en-US"/>
        </w:rPr>
        <w:t>/Smad signaling. Exp Eye Res. 2022 Apr;217:108971. doi: 10.1016/j.exer.2022.108971. Epub 2022 Jan 31. PMID: 35108585.</w:t>
      </w:r>
    </w:p>
    <w:p w14:paraId="4F666E0F" w14:textId="77777777" w:rsidR="004B4DE2" w:rsidRPr="00701FE0" w:rsidRDefault="004B4DE2" w:rsidP="00A64D1A">
      <w:pPr>
        <w:pStyle w:val="ab"/>
        <w:spacing w:after="0" w:line="240" w:lineRule="auto"/>
        <w:ind w:firstLine="709"/>
        <w:jc w:val="both"/>
        <w:rPr>
          <w:lang w:val="en-US"/>
        </w:rPr>
      </w:pPr>
      <w:r w:rsidRPr="004B4DE2">
        <w:rPr>
          <w:lang w:val="en-US"/>
        </w:rPr>
        <w:t>55.</w:t>
      </w:r>
      <w:r w:rsidRPr="004B4DE2">
        <w:rPr>
          <w:lang w:val="en-US"/>
        </w:rPr>
        <w:tab/>
        <w:t xml:space="preserve">Krieger CC, Gershengorn MC. A modified ELISA accurately measures secretion of high molecular weight hyaluronan (HA) by Graves’ disease orbital cells. </w:t>
      </w:r>
      <w:r w:rsidRPr="00701FE0">
        <w:rPr>
          <w:lang w:val="en-US"/>
        </w:rPr>
        <w:t>Endocrinology. 2014;155(2):627-634. doi: https://doi.org/10.1210/en.2013-1890.</w:t>
      </w:r>
    </w:p>
    <w:p w14:paraId="279904CD" w14:textId="77777777" w:rsidR="004B4DE2" w:rsidRPr="004B4DE2" w:rsidRDefault="004B4DE2" w:rsidP="00A64D1A">
      <w:pPr>
        <w:pStyle w:val="ab"/>
        <w:spacing w:after="0" w:line="240" w:lineRule="auto"/>
        <w:ind w:firstLine="709"/>
        <w:jc w:val="both"/>
        <w:rPr>
          <w:lang w:val="en-US"/>
        </w:rPr>
      </w:pPr>
      <w:r w:rsidRPr="004B4DE2">
        <w:rPr>
          <w:lang w:val="en-US"/>
        </w:rPr>
        <w:t>56.</w:t>
      </w:r>
      <w:r w:rsidRPr="004B4DE2">
        <w:rPr>
          <w:lang w:val="en-US"/>
        </w:rPr>
        <w:tab/>
        <w:t xml:space="preserve">Slowik M, Urbaniak-Kujda D, Bohdanowicz-Pawlak A, et al. </w:t>
      </w:r>
      <w:r w:rsidRPr="00701FE0">
        <w:rPr>
          <w:lang w:val="en-US"/>
        </w:rPr>
        <w:t xml:space="preserve">CD8+CD28-lymphocytes in peripheral blood and serum concentrations of soluble interleukin 6 receptor are increased in patients with Graves’ orbitopathy and correlate with disease activity. </w:t>
      </w:r>
      <w:r w:rsidRPr="004B4DE2">
        <w:rPr>
          <w:lang w:val="en-US"/>
        </w:rPr>
        <w:t>Endocr Res. 2012;37(2):89-95. doi: https://doi.org/10.3109/07435800.2011.635622.</w:t>
      </w:r>
    </w:p>
    <w:p w14:paraId="3459EDA9" w14:textId="77777777" w:rsidR="004B4DE2" w:rsidRPr="004B4DE2" w:rsidRDefault="004B4DE2" w:rsidP="00A64D1A">
      <w:pPr>
        <w:pStyle w:val="ab"/>
        <w:spacing w:after="0" w:line="240" w:lineRule="auto"/>
        <w:ind w:firstLine="709"/>
        <w:jc w:val="both"/>
        <w:rPr>
          <w:lang w:val="en-US"/>
        </w:rPr>
      </w:pPr>
      <w:r w:rsidRPr="004B4DE2">
        <w:rPr>
          <w:lang w:val="en-US"/>
        </w:rPr>
        <w:t>57.</w:t>
      </w:r>
      <w:r w:rsidRPr="004B4DE2">
        <w:rPr>
          <w:lang w:val="en-US"/>
        </w:rPr>
        <w:tab/>
        <w:t xml:space="preserve">van Steensel L, Paridaens D, van Meurs M, et al. </w:t>
      </w:r>
      <w:r w:rsidRPr="00701FE0">
        <w:rPr>
          <w:lang w:val="en-US"/>
        </w:rPr>
        <w:t xml:space="preserve">Orbit-infiltrating mast cells, monocytes, and macrophages produce PDGF isoforms that orchestrate orbital fibroblast activation in Graves’ ophthalmopathy. </w:t>
      </w:r>
      <w:r w:rsidRPr="004B4DE2">
        <w:rPr>
          <w:lang w:val="en-US"/>
        </w:rPr>
        <w:t>J Clin Endocrinol Metab. 2012;97(3):E400-408. doi: https://doi.org/10.1210/jc.2011-2697.</w:t>
      </w:r>
    </w:p>
    <w:p w14:paraId="78FF4748" w14:textId="77777777" w:rsidR="004B4DE2" w:rsidRDefault="004B4DE2" w:rsidP="00A64D1A">
      <w:pPr>
        <w:pStyle w:val="ab"/>
        <w:spacing w:after="0" w:line="240" w:lineRule="auto"/>
        <w:ind w:firstLine="709"/>
        <w:jc w:val="both"/>
      </w:pPr>
      <w:r w:rsidRPr="004B4DE2">
        <w:rPr>
          <w:lang w:val="en-US"/>
        </w:rPr>
        <w:t>58.</w:t>
      </w:r>
      <w:r w:rsidRPr="004B4DE2">
        <w:rPr>
          <w:lang w:val="en-US"/>
        </w:rPr>
        <w:tab/>
        <w:t xml:space="preserve">Łacheta D, Miśkiewicz P, Głuszko A, Nowicka G, Struga M, Kantor I, Poślednik KB, Mirza S, Szczepański MJ. Immunological Aspects of Graves’ Ophthalmopathy. Biomed Res Int. 2019 Nov 12;2019:7453260. doi: 10.1155/2019/7453260. </w:t>
      </w:r>
      <w:r>
        <w:t>PMID: 31781640; PMCID: PMC6875285.</w:t>
      </w:r>
    </w:p>
    <w:p w14:paraId="745E7BA8" w14:textId="77777777" w:rsidR="004B4DE2" w:rsidRPr="004B4DE2" w:rsidRDefault="004B4DE2" w:rsidP="00A64D1A">
      <w:pPr>
        <w:pStyle w:val="ab"/>
        <w:spacing w:after="0" w:line="240" w:lineRule="auto"/>
        <w:ind w:firstLine="709"/>
        <w:jc w:val="both"/>
        <w:rPr>
          <w:lang w:val="en-US"/>
        </w:rPr>
      </w:pPr>
      <w:r>
        <w:t>59.</w:t>
      </w:r>
      <w:r>
        <w:tab/>
        <w:t xml:space="preserve">Петунина Н.А., Трухина Л.В., Мартиросян Н.С. Эндокринная офтальмопатия: современный взгляд. // Проблемы эндокрино логии. – 2013. – Т. 58. – №6. – С. 24-32. </w:t>
      </w:r>
      <w:r w:rsidRPr="004B4DE2">
        <w:rPr>
          <w:lang w:val="en-US"/>
        </w:rPr>
        <w:t xml:space="preserve">[Petunina NA, Trukhina LV, Martirosyan NS. Endocrine ophthalmopathy: state-of-the-art approaches. </w:t>
      </w:r>
      <w:r w:rsidRPr="00701FE0">
        <w:rPr>
          <w:lang w:val="en-US"/>
        </w:rPr>
        <w:t xml:space="preserve">Problems of endocrinology. 2013; 58(6):24-32. </w:t>
      </w:r>
      <w:r w:rsidRPr="004B4DE2">
        <w:rPr>
          <w:lang w:val="en-US"/>
        </w:rPr>
        <w:t>(In Russ.)] doi: https://doi.org/10.14341/probl201258624-32.</w:t>
      </w:r>
    </w:p>
    <w:p w14:paraId="67BAC873" w14:textId="77777777" w:rsidR="004B4DE2" w:rsidRPr="004B4DE2" w:rsidRDefault="004B4DE2" w:rsidP="00A64D1A">
      <w:pPr>
        <w:pStyle w:val="ab"/>
        <w:spacing w:after="0" w:line="240" w:lineRule="auto"/>
        <w:ind w:firstLine="709"/>
        <w:jc w:val="both"/>
        <w:rPr>
          <w:lang w:val="en-US"/>
        </w:rPr>
      </w:pPr>
      <w:r w:rsidRPr="004B4DE2">
        <w:rPr>
          <w:lang w:val="en-US"/>
        </w:rPr>
        <w:t>60.</w:t>
      </w:r>
      <w:r w:rsidRPr="004B4DE2">
        <w:rPr>
          <w:lang w:val="en-US"/>
        </w:rPr>
        <w:tab/>
        <w:t>Fanale D, Amodeo V, Caruso S. The interplay between metabolism, PPAR signaling pathway, and cancer. PPAR Res. 2017;2017:1830626. doi: https://doi.org/10.1155/2017/1830626.</w:t>
      </w:r>
    </w:p>
    <w:p w14:paraId="03A8DDB1" w14:textId="77777777" w:rsidR="004B4DE2" w:rsidRPr="00701FE0" w:rsidRDefault="004B4DE2" w:rsidP="00A64D1A">
      <w:pPr>
        <w:pStyle w:val="ab"/>
        <w:spacing w:after="0" w:line="240" w:lineRule="auto"/>
        <w:ind w:firstLine="709"/>
        <w:jc w:val="both"/>
        <w:rPr>
          <w:lang w:val="en-US"/>
        </w:rPr>
      </w:pPr>
      <w:r w:rsidRPr="004B4DE2">
        <w:rPr>
          <w:lang w:val="en-US"/>
        </w:rPr>
        <w:t>61.</w:t>
      </w:r>
      <w:r w:rsidRPr="004B4DE2">
        <w:rPr>
          <w:lang w:val="en-US"/>
        </w:rPr>
        <w:tab/>
        <w:t xml:space="preserve">Eckstein AK, Lösch C, Glowacka D, Schott M, Mann K, Esser J, Morgenthaler NG. Euthyroid and primarily hypothyroid patients develop milder and significantly more asymmetrical Graves ophthalmopathy. </w:t>
      </w:r>
      <w:r w:rsidRPr="00701FE0">
        <w:rPr>
          <w:lang w:val="en-US"/>
        </w:rPr>
        <w:t>Br J Ophthalmol. 2009 Aug;93(8):1052-6. doi: 10.1136/bjo.2007.137265. Epub 2009 Feb 15. PMID: 19221109.</w:t>
      </w:r>
    </w:p>
    <w:p w14:paraId="004D70B9" w14:textId="77777777" w:rsidR="004B4DE2" w:rsidRPr="004B4DE2" w:rsidRDefault="004B4DE2" w:rsidP="00A64D1A">
      <w:pPr>
        <w:pStyle w:val="ab"/>
        <w:spacing w:after="0" w:line="240" w:lineRule="auto"/>
        <w:ind w:firstLine="709"/>
        <w:jc w:val="both"/>
        <w:rPr>
          <w:lang w:val="en-US"/>
        </w:rPr>
      </w:pPr>
      <w:r w:rsidRPr="00701FE0">
        <w:rPr>
          <w:lang w:val="en-US"/>
        </w:rPr>
        <w:t>62.</w:t>
      </w:r>
      <w:r w:rsidRPr="00701FE0">
        <w:rPr>
          <w:lang w:val="en-US"/>
        </w:rPr>
        <w:tab/>
      </w:r>
      <w:r>
        <w:t>Харинцев</w:t>
      </w:r>
      <w:r w:rsidRPr="00701FE0">
        <w:rPr>
          <w:lang w:val="en-US"/>
        </w:rPr>
        <w:t xml:space="preserve"> </w:t>
      </w:r>
      <w:r>
        <w:t>В</w:t>
      </w:r>
      <w:r w:rsidRPr="00701FE0">
        <w:rPr>
          <w:lang w:val="en-US"/>
        </w:rPr>
        <w:t>.</w:t>
      </w:r>
      <w:r>
        <w:t>В</w:t>
      </w:r>
      <w:r w:rsidRPr="00701FE0">
        <w:rPr>
          <w:lang w:val="en-US"/>
        </w:rPr>
        <w:t xml:space="preserve">., </w:t>
      </w:r>
      <w:r>
        <w:t>Серебрякова</w:t>
      </w:r>
      <w:r w:rsidRPr="00701FE0">
        <w:rPr>
          <w:lang w:val="en-US"/>
        </w:rPr>
        <w:t xml:space="preserve"> </w:t>
      </w:r>
      <w:r>
        <w:t>О</w:t>
      </w:r>
      <w:r w:rsidRPr="00701FE0">
        <w:rPr>
          <w:lang w:val="en-US"/>
        </w:rPr>
        <w:t>.</w:t>
      </w:r>
      <w:r>
        <w:t>В</w:t>
      </w:r>
      <w:r w:rsidRPr="00701FE0">
        <w:rPr>
          <w:lang w:val="en-US"/>
        </w:rPr>
        <w:t xml:space="preserve">., </w:t>
      </w:r>
      <w:r>
        <w:t>Серкин</w:t>
      </w:r>
      <w:r w:rsidRPr="00701FE0">
        <w:rPr>
          <w:lang w:val="en-US"/>
        </w:rPr>
        <w:t xml:space="preserve"> </w:t>
      </w:r>
      <w:r>
        <w:t>Д</w:t>
      </w:r>
      <w:r w:rsidRPr="00701FE0">
        <w:rPr>
          <w:lang w:val="en-US"/>
        </w:rPr>
        <w:t>.</w:t>
      </w:r>
      <w:r>
        <w:t>М</w:t>
      </w:r>
      <w:r w:rsidRPr="00701FE0">
        <w:rPr>
          <w:lang w:val="en-US"/>
        </w:rPr>
        <w:t xml:space="preserve">., </w:t>
      </w:r>
      <w:r>
        <w:t>и</w:t>
      </w:r>
      <w:r w:rsidRPr="00701FE0">
        <w:rPr>
          <w:lang w:val="en-US"/>
        </w:rPr>
        <w:t xml:space="preserve"> </w:t>
      </w:r>
      <w:r>
        <w:t>др</w:t>
      </w:r>
      <w:r w:rsidRPr="00701FE0">
        <w:rPr>
          <w:lang w:val="en-US"/>
        </w:rPr>
        <w:t xml:space="preserve">. </w:t>
      </w:r>
      <w:r>
        <w:t xml:space="preserve">Роль некоторых про- и противовоспалительных цитокинов в течении эндокринной </w:t>
      </w:r>
      <w:r>
        <w:lastRenderedPageBreak/>
        <w:t xml:space="preserve">офтальмопатии. // Забайкальский медицинский вестник. – 2016. – №2. – С. 33-40. </w:t>
      </w:r>
      <w:r w:rsidRPr="004B4DE2">
        <w:rPr>
          <w:lang w:val="en-US"/>
        </w:rPr>
        <w:t xml:space="preserve">[Kharintsev VV, Serebryakova OV, Serkin DM, et al. The role of some proinflammatory and anti-inflammatory cytokines in the development of endocrine ophthalmopathy. </w:t>
      </w:r>
      <w:r w:rsidRPr="00701FE0">
        <w:rPr>
          <w:lang w:val="en-US"/>
        </w:rPr>
        <w:t xml:space="preserve">Zabaykal’skiy meditsinskiy vestnik. 2016;(2):33-40. </w:t>
      </w:r>
      <w:r w:rsidRPr="004B4DE2">
        <w:rPr>
          <w:lang w:val="en-US"/>
        </w:rPr>
        <w:t>(In Russ.)].</w:t>
      </w:r>
    </w:p>
    <w:p w14:paraId="35EA1D22" w14:textId="77777777" w:rsidR="004B4DE2" w:rsidRPr="00701FE0" w:rsidRDefault="004B4DE2" w:rsidP="00A64D1A">
      <w:pPr>
        <w:pStyle w:val="ab"/>
        <w:spacing w:after="0" w:line="240" w:lineRule="auto"/>
        <w:ind w:firstLine="709"/>
        <w:jc w:val="both"/>
        <w:rPr>
          <w:lang w:val="en-US"/>
        </w:rPr>
      </w:pPr>
      <w:r w:rsidRPr="004B4DE2">
        <w:rPr>
          <w:lang w:val="en-US"/>
        </w:rPr>
        <w:t>63.</w:t>
      </w:r>
      <w:r w:rsidRPr="004B4DE2">
        <w:rPr>
          <w:lang w:val="en-US"/>
        </w:rPr>
        <w:tab/>
        <w:t xml:space="preserve">Wang R, Song D, Zhong Y, Li H. Potential role of IGF-1R in the interaction between orbital fibroblasts and B lymphocytes: an implication for B lymphocyte depletion in the active inflammatory phase of thyroid-associated ophthalmopathy. </w:t>
      </w:r>
      <w:r w:rsidRPr="00701FE0">
        <w:rPr>
          <w:lang w:val="en-US"/>
        </w:rPr>
        <w:t>BMC Immunol. 2024 May 11;25(1):31. doi: 10.1186/s12865-024-00613-3. PMID: 38734625; PMCID: PMC11088061.</w:t>
      </w:r>
    </w:p>
    <w:p w14:paraId="716C7678" w14:textId="77777777" w:rsidR="004B4DE2" w:rsidRPr="004B4DE2" w:rsidRDefault="004B4DE2" w:rsidP="00A64D1A">
      <w:pPr>
        <w:pStyle w:val="ab"/>
        <w:spacing w:after="0" w:line="240" w:lineRule="auto"/>
        <w:ind w:firstLine="709"/>
        <w:jc w:val="both"/>
        <w:rPr>
          <w:lang w:val="en-US"/>
        </w:rPr>
      </w:pPr>
      <w:r w:rsidRPr="00701FE0">
        <w:rPr>
          <w:lang w:val="en-US"/>
        </w:rPr>
        <w:t>64.</w:t>
      </w:r>
      <w:r w:rsidRPr="00701FE0">
        <w:rPr>
          <w:lang w:val="en-US"/>
        </w:rPr>
        <w:tab/>
        <w:t xml:space="preserve">Perez-Moreiras JV, Gomez-Reino JJ, Maneiro JR, Perez-Pampin E, Romo Lopez A, Rodríguez Alvarez FM, Castillo Laguarta JM, Del Estad Cabello A, Gessa Sorroche M, España Gregori E, Sales-Sanz M; Tocilizumab in Graves Orbitopathy Study Group. </w:t>
      </w:r>
      <w:r w:rsidRPr="004B4DE2">
        <w:rPr>
          <w:lang w:val="en-US"/>
        </w:rPr>
        <w:t xml:space="preserve">Efficacy of Tocilizumab in Patients With Moderate-to-Severe Corticosteroid-Resistant Graves Orbitopathy: A Randomized Clinical Trial. </w:t>
      </w:r>
      <w:r w:rsidRPr="00701FE0">
        <w:rPr>
          <w:lang w:val="en-US"/>
        </w:rPr>
        <w:t xml:space="preserve">Am J Ophthalmol. 2018 Nov;195:181-190. doi: 10.1016/j.ajo.2018.07.038. </w:t>
      </w:r>
      <w:r w:rsidRPr="004B4DE2">
        <w:rPr>
          <w:lang w:val="en-US"/>
        </w:rPr>
        <w:t>Epub 2018 Aug 4. PMID: 30081019.</w:t>
      </w:r>
    </w:p>
    <w:p w14:paraId="6909CF01" w14:textId="77777777" w:rsidR="004B4DE2" w:rsidRPr="00701FE0" w:rsidRDefault="004B4DE2" w:rsidP="00A64D1A">
      <w:pPr>
        <w:pStyle w:val="ab"/>
        <w:spacing w:after="0" w:line="240" w:lineRule="auto"/>
        <w:ind w:firstLine="709"/>
        <w:jc w:val="both"/>
        <w:rPr>
          <w:lang w:val="en-US"/>
        </w:rPr>
      </w:pPr>
      <w:r w:rsidRPr="004B4DE2">
        <w:rPr>
          <w:lang w:val="en-US"/>
        </w:rPr>
        <w:t>65.</w:t>
      </w:r>
      <w:r w:rsidRPr="004B4DE2">
        <w:rPr>
          <w:lang w:val="en-US"/>
        </w:rPr>
        <w:tab/>
        <w:t xml:space="preserve">Han R, Smith TJ. T helper type 1 and type 2 cytokines exert divergent influence on the induction of prostaglandin E2 and hyaluronan synthesis by interleukin-1beta in orbital fibroblasts: implications for the pathogenesis of thyroid-associated ophthalmopathy. </w:t>
      </w:r>
      <w:r w:rsidRPr="00701FE0">
        <w:rPr>
          <w:lang w:val="en-US"/>
        </w:rPr>
        <w:t>Endocrinology. 2006;147(1):13-19. doi: https://doi.org/10.1210/en.2005-1018.</w:t>
      </w:r>
    </w:p>
    <w:p w14:paraId="38574B7B" w14:textId="77777777" w:rsidR="004B4DE2" w:rsidRPr="00701FE0" w:rsidRDefault="004B4DE2" w:rsidP="00A64D1A">
      <w:pPr>
        <w:pStyle w:val="ab"/>
        <w:spacing w:after="0" w:line="240" w:lineRule="auto"/>
        <w:ind w:firstLine="709"/>
        <w:jc w:val="both"/>
        <w:rPr>
          <w:lang w:val="en-US"/>
        </w:rPr>
      </w:pPr>
      <w:r w:rsidRPr="004B4DE2">
        <w:rPr>
          <w:lang w:val="en-US"/>
        </w:rPr>
        <w:t>66.</w:t>
      </w:r>
      <w:r w:rsidRPr="004B4DE2">
        <w:rPr>
          <w:lang w:val="en-US"/>
        </w:rPr>
        <w:tab/>
        <w:t xml:space="preserve">Antonelli A, Ferrari SM, Fallahi P, et al. </w:t>
      </w:r>
      <w:r w:rsidRPr="00701FE0">
        <w:rPr>
          <w:lang w:val="en-US"/>
        </w:rPr>
        <w:t>Monokine induced by interferon gamma (IFNgamma) (CXCL9) and IFNgamma inducible T-cell alpha-chemoattractant (CXCL11) involvement in Graves’ disease and ophthalmopathy: modulation by peroxisome proliferator-activated receptor-gamma agonists. J Clin Endocrinol Metab. 2009;94(5):1803-1809. doi: https://doi.org/10.1210/jc.2008-2450.</w:t>
      </w:r>
    </w:p>
    <w:p w14:paraId="07F779AA" w14:textId="77777777" w:rsidR="004B4DE2" w:rsidRPr="00701FE0" w:rsidRDefault="004B4DE2" w:rsidP="00A64D1A">
      <w:pPr>
        <w:pStyle w:val="ab"/>
        <w:spacing w:after="0" w:line="240" w:lineRule="auto"/>
        <w:ind w:firstLine="709"/>
        <w:jc w:val="both"/>
        <w:rPr>
          <w:lang w:val="en-US"/>
        </w:rPr>
      </w:pPr>
      <w:r w:rsidRPr="004B4DE2">
        <w:rPr>
          <w:lang w:val="en-US"/>
        </w:rPr>
        <w:t>67.</w:t>
      </w:r>
      <w:r w:rsidRPr="004B4DE2">
        <w:rPr>
          <w:lang w:val="en-US"/>
        </w:rPr>
        <w:tab/>
        <w:t xml:space="preserve">Zhang J, Qiao Q, Liu M, et al. </w:t>
      </w:r>
      <w:r w:rsidRPr="00701FE0">
        <w:rPr>
          <w:lang w:val="en-US"/>
        </w:rPr>
        <w:t>IL-17 promotes scar formation by inducing macrophage infiltration. Am J Pathol. 2018;188(7): 1693-1702. doi: https://doi.org/10.1016/j.ajpath.2018.04.005.</w:t>
      </w:r>
    </w:p>
    <w:p w14:paraId="3C032947" w14:textId="77777777" w:rsidR="004B4DE2" w:rsidRPr="004B4DE2" w:rsidRDefault="004B4DE2" w:rsidP="00A64D1A">
      <w:pPr>
        <w:pStyle w:val="ab"/>
        <w:spacing w:after="0" w:line="240" w:lineRule="auto"/>
        <w:ind w:firstLine="709"/>
        <w:jc w:val="both"/>
        <w:rPr>
          <w:lang w:val="en-US"/>
        </w:rPr>
      </w:pPr>
      <w:r w:rsidRPr="004B4DE2">
        <w:rPr>
          <w:lang w:val="en-US"/>
        </w:rPr>
        <w:t>68.</w:t>
      </w:r>
      <w:r w:rsidRPr="004B4DE2">
        <w:rPr>
          <w:lang w:val="en-US"/>
        </w:rPr>
        <w:tab/>
        <w:t>Chung SA, Jeon BK, Choi YH, Back KO, Lee JB, Kook KH. Pirfenidone attenuates the IL-1</w:t>
      </w:r>
      <w:r>
        <w:t>β</w:t>
      </w:r>
      <w:r w:rsidRPr="004B4DE2">
        <w:rPr>
          <w:lang w:val="en-US"/>
        </w:rPr>
        <w:t>-induced hyaluronic acid increase in orbital fibroblasts from patients with thyroid-associated ophthalmopathy. Invest Ophthalmol Vis Sci. 2014 Apr 9;55(4):2276-83. doi: 10.1167/iovs.13-13759. PMID: 24627146.</w:t>
      </w:r>
    </w:p>
    <w:p w14:paraId="60535D4F" w14:textId="77777777" w:rsidR="004B4DE2" w:rsidRPr="004B4DE2" w:rsidRDefault="004B4DE2" w:rsidP="00A64D1A">
      <w:pPr>
        <w:pStyle w:val="ab"/>
        <w:spacing w:after="0" w:line="240" w:lineRule="auto"/>
        <w:ind w:firstLine="709"/>
        <w:jc w:val="both"/>
        <w:rPr>
          <w:lang w:val="en-US"/>
        </w:rPr>
      </w:pPr>
      <w:r w:rsidRPr="004B4DE2">
        <w:rPr>
          <w:lang w:val="en-US"/>
        </w:rPr>
        <w:t>69.</w:t>
      </w:r>
      <w:r w:rsidRPr="004B4DE2">
        <w:rPr>
          <w:lang w:val="en-US"/>
        </w:rPr>
        <w:tab/>
        <w:t>Cherng S, Young J, Ma H. Alpha-smooth muscle actin (</w:t>
      </w:r>
      <w:r>
        <w:t>α</w:t>
      </w:r>
      <w:r w:rsidRPr="004B4DE2">
        <w:rPr>
          <w:lang w:val="en-US"/>
        </w:rPr>
        <w:t>-SMA). J Am Sci. 2008;4(4):7-9.</w:t>
      </w:r>
    </w:p>
    <w:p w14:paraId="792F9BB4" w14:textId="77777777" w:rsidR="004B4DE2" w:rsidRPr="004B4DE2" w:rsidRDefault="004B4DE2" w:rsidP="00A64D1A">
      <w:pPr>
        <w:pStyle w:val="ab"/>
        <w:spacing w:after="0" w:line="240" w:lineRule="auto"/>
        <w:ind w:firstLine="709"/>
        <w:jc w:val="both"/>
        <w:rPr>
          <w:lang w:val="en-US"/>
        </w:rPr>
      </w:pPr>
      <w:r w:rsidRPr="004B4DE2">
        <w:rPr>
          <w:lang w:val="en-US"/>
        </w:rPr>
        <w:t>70.</w:t>
      </w:r>
      <w:r w:rsidRPr="004B4DE2">
        <w:rPr>
          <w:lang w:val="en-US"/>
        </w:rPr>
        <w:tab/>
        <w:t>Bontzos G, Papadaki E, Mazonakis M, Maris TG, Tsakalis NG, Drakonaki EE, Detorakis ET. Extraocular Muscle Volumetry for Assessment of Thyroid Eye Disease. J Neuroophthalmol. 2022 Mar 1;42(1):e274-e280. doi: 10.1097/WNO.0000000000001339. Epub 2021 Sep 30. PMID: 34629402.</w:t>
      </w:r>
    </w:p>
    <w:p w14:paraId="327539D5" w14:textId="77777777" w:rsidR="004B4DE2" w:rsidRPr="00701FE0" w:rsidRDefault="004B4DE2" w:rsidP="00A64D1A">
      <w:pPr>
        <w:pStyle w:val="ab"/>
        <w:spacing w:after="0" w:line="240" w:lineRule="auto"/>
        <w:ind w:firstLine="709"/>
        <w:jc w:val="both"/>
        <w:rPr>
          <w:lang w:val="en-US"/>
        </w:rPr>
      </w:pPr>
      <w:r w:rsidRPr="004B4DE2">
        <w:rPr>
          <w:lang w:val="en-US"/>
        </w:rPr>
        <w:t>71.</w:t>
      </w:r>
      <w:r w:rsidRPr="004B4DE2">
        <w:rPr>
          <w:lang w:val="en-US"/>
        </w:rPr>
        <w:tab/>
        <w:t xml:space="preserve">Gonçalves ACP, Gebrim EM, Monteiro ML. </w:t>
      </w:r>
      <w:r w:rsidRPr="00701FE0">
        <w:rPr>
          <w:lang w:val="en-US"/>
        </w:rPr>
        <w:t>Imaging studies for diagnosing Graves’ orbitopathy and dysthyroid optic neuropathy. Clinics. 2012;67(11):1327-1334. doi: 10.6061/clinics/2012(11)18.</w:t>
      </w:r>
    </w:p>
    <w:p w14:paraId="56387A5E" w14:textId="77777777" w:rsidR="004B4DE2" w:rsidRPr="004B4DE2" w:rsidRDefault="004B4DE2" w:rsidP="00A64D1A">
      <w:pPr>
        <w:pStyle w:val="ab"/>
        <w:spacing w:after="0" w:line="240" w:lineRule="auto"/>
        <w:ind w:firstLine="709"/>
        <w:jc w:val="both"/>
        <w:rPr>
          <w:lang w:val="en-US"/>
        </w:rPr>
      </w:pPr>
      <w:r w:rsidRPr="004B4DE2">
        <w:rPr>
          <w:lang w:val="en-US"/>
        </w:rPr>
        <w:t>72.</w:t>
      </w:r>
      <w:r w:rsidRPr="004B4DE2">
        <w:rPr>
          <w:lang w:val="en-US"/>
        </w:rPr>
        <w:tab/>
        <w:t xml:space="preserve">Đorić I, Žarković M, Radojičić Z, Repac N, Janićijević A, Rotim K, Tasić G, Rasulić L. The Value of Multidetector Computed Tomography of Orbits in </w:t>
      </w:r>
      <w:r w:rsidRPr="004B4DE2">
        <w:rPr>
          <w:lang w:val="en-US"/>
        </w:rPr>
        <w:lastRenderedPageBreak/>
        <w:t xml:space="preserve">Globe Protrusion in Comparison to Hertel Exophthalmometry. </w:t>
      </w:r>
      <w:r w:rsidRPr="00701FE0">
        <w:rPr>
          <w:lang w:val="en-US"/>
        </w:rPr>
        <w:t xml:space="preserve">Acta Clin Croat. 2017 Mar;56(1):21-27. doi: 10.20471/acc.2017.56.01.04. </w:t>
      </w:r>
      <w:r w:rsidRPr="004B4DE2">
        <w:rPr>
          <w:lang w:val="en-US"/>
        </w:rPr>
        <w:t>PMID: 29120123.</w:t>
      </w:r>
    </w:p>
    <w:p w14:paraId="4FBB47C2" w14:textId="77777777" w:rsidR="004B4DE2" w:rsidRPr="004B4DE2" w:rsidRDefault="004B4DE2" w:rsidP="00A64D1A">
      <w:pPr>
        <w:pStyle w:val="ab"/>
        <w:spacing w:after="0" w:line="240" w:lineRule="auto"/>
        <w:ind w:firstLine="709"/>
        <w:jc w:val="both"/>
        <w:rPr>
          <w:lang w:val="en-US"/>
        </w:rPr>
      </w:pPr>
      <w:r w:rsidRPr="004B4DE2">
        <w:rPr>
          <w:lang w:val="en-US"/>
        </w:rPr>
        <w:t>73.</w:t>
      </w:r>
      <w:r w:rsidRPr="004B4DE2">
        <w:rPr>
          <w:lang w:val="en-US"/>
        </w:rPr>
        <w:tab/>
        <w:t>Lee JY, Bae K, Park KA, et al. Correlation between extraocular muscle size measured by computed tomography and the vertical angle of deviation in thyroid eye disease. PLoS One. 2016; 11(1):e0148167. doi: 10.1371/journal.pone.0148167.</w:t>
      </w:r>
    </w:p>
    <w:p w14:paraId="5EBCAE9F" w14:textId="77777777" w:rsidR="004B4DE2" w:rsidRPr="004B4DE2" w:rsidRDefault="004B4DE2" w:rsidP="00A64D1A">
      <w:pPr>
        <w:pStyle w:val="ab"/>
        <w:spacing w:after="0" w:line="240" w:lineRule="auto"/>
        <w:ind w:firstLine="709"/>
        <w:jc w:val="both"/>
        <w:rPr>
          <w:lang w:val="en-US"/>
        </w:rPr>
      </w:pPr>
      <w:r w:rsidRPr="004B4DE2">
        <w:rPr>
          <w:lang w:val="en-US"/>
        </w:rPr>
        <w:t>74.</w:t>
      </w:r>
      <w:r w:rsidRPr="004B4DE2">
        <w:rPr>
          <w:lang w:val="en-US"/>
        </w:rPr>
        <w:tab/>
      </w:r>
      <w:r>
        <w:t>Д</w:t>
      </w:r>
      <w:r w:rsidRPr="004B4DE2">
        <w:rPr>
          <w:lang w:val="en-US"/>
        </w:rPr>
        <w:t>.</w:t>
      </w:r>
      <w:r>
        <w:t>М</w:t>
      </w:r>
      <w:r w:rsidRPr="004B4DE2">
        <w:rPr>
          <w:lang w:val="en-US"/>
        </w:rPr>
        <w:t xml:space="preserve">. </w:t>
      </w:r>
      <w:r>
        <w:t>Бабаева</w:t>
      </w:r>
      <w:r w:rsidRPr="004B4DE2">
        <w:rPr>
          <w:lang w:val="en-US"/>
        </w:rPr>
        <w:t xml:space="preserve">, </w:t>
      </w:r>
      <w:r>
        <w:t>Е</w:t>
      </w:r>
      <w:r w:rsidRPr="004B4DE2">
        <w:rPr>
          <w:lang w:val="en-US"/>
        </w:rPr>
        <w:t>.</w:t>
      </w:r>
      <w:r>
        <w:t>Г</w:t>
      </w:r>
      <w:r w:rsidRPr="004B4DE2">
        <w:rPr>
          <w:lang w:val="en-US"/>
        </w:rPr>
        <w:t xml:space="preserve">. </w:t>
      </w:r>
      <w:r>
        <w:t>Бессмертная</w:t>
      </w:r>
      <w:r w:rsidRPr="004B4DE2">
        <w:rPr>
          <w:lang w:val="en-US"/>
        </w:rPr>
        <w:t xml:space="preserve">, </w:t>
      </w:r>
      <w:r>
        <w:t>Н</w:t>
      </w:r>
      <w:r w:rsidRPr="004B4DE2">
        <w:rPr>
          <w:lang w:val="en-US"/>
        </w:rPr>
        <w:t>.</w:t>
      </w:r>
      <w:r>
        <w:t>В</w:t>
      </w:r>
      <w:r w:rsidRPr="004B4DE2">
        <w:rPr>
          <w:lang w:val="en-US"/>
        </w:rPr>
        <w:t xml:space="preserve">. </w:t>
      </w:r>
      <w:r>
        <w:t>Тарбаева</w:t>
      </w:r>
      <w:r w:rsidRPr="004B4DE2">
        <w:rPr>
          <w:lang w:val="en-US"/>
        </w:rPr>
        <w:t xml:space="preserve">, </w:t>
      </w:r>
      <w:r>
        <w:t>Н</w:t>
      </w:r>
      <w:r w:rsidRPr="004B4DE2">
        <w:rPr>
          <w:lang w:val="en-US"/>
        </w:rPr>
        <w:t>.</w:t>
      </w:r>
      <w:r>
        <w:t>Н</w:t>
      </w:r>
      <w:r w:rsidRPr="004B4DE2">
        <w:rPr>
          <w:lang w:val="en-US"/>
        </w:rPr>
        <w:t xml:space="preserve">. </w:t>
      </w:r>
      <w:r>
        <w:t>Волеводз</w:t>
      </w:r>
      <w:r w:rsidRPr="004B4DE2">
        <w:rPr>
          <w:lang w:val="en-US"/>
        </w:rPr>
        <w:t xml:space="preserve">, </w:t>
      </w:r>
      <w:r>
        <w:t>Н</w:t>
      </w:r>
      <w:r w:rsidRPr="004B4DE2">
        <w:rPr>
          <w:lang w:val="en-US"/>
        </w:rPr>
        <w:t>.</w:t>
      </w:r>
      <w:r>
        <w:t>Ю</w:t>
      </w:r>
      <w:r w:rsidRPr="004B4DE2">
        <w:rPr>
          <w:lang w:val="en-US"/>
        </w:rPr>
        <w:t xml:space="preserve">. </w:t>
      </w:r>
      <w:r>
        <w:t>Свириденко</w:t>
      </w:r>
      <w:r w:rsidRPr="004B4DE2">
        <w:rPr>
          <w:lang w:val="en-US"/>
        </w:rPr>
        <w:t xml:space="preserve">, </w:t>
      </w:r>
      <w:r>
        <w:t>Н</w:t>
      </w:r>
      <w:r w:rsidRPr="004B4DE2">
        <w:rPr>
          <w:lang w:val="en-US"/>
        </w:rPr>
        <w:t>.</w:t>
      </w:r>
      <w:r>
        <w:t>Г</w:t>
      </w:r>
      <w:r w:rsidRPr="004B4DE2">
        <w:rPr>
          <w:lang w:val="en-US"/>
        </w:rPr>
        <w:t>. «</w:t>
      </w:r>
      <w:r>
        <w:t>Мокрышева</w:t>
      </w:r>
      <w:r w:rsidRPr="004B4DE2">
        <w:rPr>
          <w:lang w:val="en-US"/>
        </w:rPr>
        <w:t xml:space="preserve"> </w:t>
      </w:r>
      <w:r>
        <w:t>Магнитно</w:t>
      </w:r>
      <w:r w:rsidRPr="004B4DE2">
        <w:rPr>
          <w:lang w:val="en-US"/>
        </w:rPr>
        <w:t>-</w:t>
      </w:r>
      <w:r>
        <w:t>резонансная</w:t>
      </w:r>
      <w:r w:rsidRPr="004B4DE2">
        <w:rPr>
          <w:lang w:val="en-US"/>
        </w:rPr>
        <w:t xml:space="preserve"> </w:t>
      </w:r>
      <w:r>
        <w:t>томография</w:t>
      </w:r>
      <w:r w:rsidRPr="004B4DE2">
        <w:rPr>
          <w:lang w:val="en-US"/>
        </w:rPr>
        <w:t xml:space="preserve"> </w:t>
      </w:r>
      <w:r>
        <w:t>орбит</w:t>
      </w:r>
      <w:r w:rsidRPr="004B4DE2">
        <w:rPr>
          <w:lang w:val="en-US"/>
        </w:rPr>
        <w:t xml:space="preserve"> </w:t>
      </w:r>
      <w:r>
        <w:t>в</w:t>
      </w:r>
      <w:r w:rsidRPr="004B4DE2">
        <w:rPr>
          <w:lang w:val="en-US"/>
        </w:rPr>
        <w:t xml:space="preserve"> </w:t>
      </w:r>
      <w:r>
        <w:t>диагностике</w:t>
      </w:r>
      <w:r w:rsidRPr="004B4DE2">
        <w:rPr>
          <w:lang w:val="en-US"/>
        </w:rPr>
        <w:t xml:space="preserve"> </w:t>
      </w:r>
      <w:r>
        <w:t>эндокринной</w:t>
      </w:r>
      <w:r w:rsidRPr="004B4DE2">
        <w:rPr>
          <w:lang w:val="en-US"/>
        </w:rPr>
        <w:t xml:space="preserve"> </w:t>
      </w:r>
      <w:r>
        <w:t>офтальмопатии</w:t>
      </w:r>
      <w:r w:rsidRPr="004B4DE2">
        <w:rPr>
          <w:lang w:val="en-US"/>
        </w:rPr>
        <w:t xml:space="preserve">: </w:t>
      </w:r>
      <w:r>
        <w:t>обзор</w:t>
      </w:r>
      <w:r w:rsidRPr="004B4DE2">
        <w:rPr>
          <w:lang w:val="en-US"/>
        </w:rPr>
        <w:t xml:space="preserve"> </w:t>
      </w:r>
      <w:r>
        <w:t>литературы</w:t>
      </w:r>
      <w:r w:rsidRPr="004B4DE2">
        <w:rPr>
          <w:lang w:val="en-US"/>
        </w:rPr>
        <w:t xml:space="preserve">», </w:t>
      </w:r>
      <w:r>
        <w:t>ВЕСТНИК</w:t>
      </w:r>
      <w:r w:rsidRPr="004B4DE2">
        <w:rPr>
          <w:lang w:val="en-US"/>
        </w:rPr>
        <w:t xml:space="preserve"> </w:t>
      </w:r>
      <w:r>
        <w:t>РОССИЙСКОГО</w:t>
      </w:r>
      <w:r w:rsidRPr="004B4DE2">
        <w:rPr>
          <w:lang w:val="en-US"/>
        </w:rPr>
        <w:t xml:space="preserve"> </w:t>
      </w:r>
      <w:r>
        <w:t>НАУЧНОГО</w:t>
      </w:r>
      <w:r w:rsidRPr="004B4DE2">
        <w:rPr>
          <w:lang w:val="en-US"/>
        </w:rPr>
        <w:t xml:space="preserve"> </w:t>
      </w:r>
      <w:r>
        <w:t>ЦЕНТРА</w:t>
      </w:r>
      <w:r w:rsidRPr="004B4DE2">
        <w:rPr>
          <w:lang w:val="en-US"/>
        </w:rPr>
        <w:t xml:space="preserve"> </w:t>
      </w:r>
      <w:r>
        <w:t>РЕНТГЕНОРАДИОЛОГИИ</w:t>
      </w:r>
      <w:r w:rsidRPr="004B4DE2">
        <w:rPr>
          <w:lang w:val="en-US"/>
        </w:rPr>
        <w:t xml:space="preserve"> (</w:t>
      </w:r>
      <w:r>
        <w:t>ВЕСТНИК</w:t>
      </w:r>
      <w:r w:rsidRPr="004B4DE2">
        <w:rPr>
          <w:lang w:val="en-US"/>
        </w:rPr>
        <w:t xml:space="preserve"> </w:t>
      </w:r>
      <w:r>
        <w:t>РНЦРР</w:t>
      </w:r>
      <w:r w:rsidRPr="004B4DE2">
        <w:rPr>
          <w:lang w:val="en-US"/>
        </w:rPr>
        <w:t xml:space="preserve">), 2023, </w:t>
      </w:r>
      <w:r>
        <w:t>Т</w:t>
      </w:r>
      <w:r w:rsidRPr="004B4DE2">
        <w:rPr>
          <w:lang w:val="en-US"/>
        </w:rPr>
        <w:t>. 2023, № 2.</w:t>
      </w:r>
    </w:p>
    <w:p w14:paraId="0783FF1A" w14:textId="77777777" w:rsidR="004B4DE2" w:rsidRPr="004B4DE2" w:rsidRDefault="004B4DE2" w:rsidP="00A64D1A">
      <w:pPr>
        <w:pStyle w:val="ab"/>
        <w:spacing w:after="0" w:line="240" w:lineRule="auto"/>
        <w:ind w:firstLine="709"/>
        <w:jc w:val="both"/>
        <w:rPr>
          <w:lang w:val="en-US"/>
        </w:rPr>
      </w:pPr>
      <w:r w:rsidRPr="004B4DE2">
        <w:rPr>
          <w:lang w:val="en-US"/>
        </w:rPr>
        <w:t>75.</w:t>
      </w:r>
      <w:r w:rsidRPr="004B4DE2">
        <w:rPr>
          <w:lang w:val="en-US"/>
        </w:rPr>
        <w:tab/>
        <w:t xml:space="preserve">Tachibana S, Murakami T, Noguchi H, et al. </w:t>
      </w:r>
      <w:r w:rsidRPr="00701FE0">
        <w:rPr>
          <w:lang w:val="en-US"/>
        </w:rPr>
        <w:t xml:space="preserve">Orbital magnetic resonance imaging combined with clinical activity score can improve the sensitivity of detection of disease activity and prediction of response to immunosuppressive therapy for Graves’ ophthalmo pathy. </w:t>
      </w:r>
      <w:r w:rsidRPr="004B4DE2">
        <w:rPr>
          <w:lang w:val="en-US"/>
        </w:rPr>
        <w:t>Endocrine J. 2010;57(10):853-861. doi: 10.1507/endocrj.K10E-156.</w:t>
      </w:r>
    </w:p>
    <w:p w14:paraId="6DDE4D27" w14:textId="77777777" w:rsidR="004B4DE2" w:rsidRPr="00701FE0" w:rsidRDefault="004B4DE2" w:rsidP="00A64D1A">
      <w:pPr>
        <w:pStyle w:val="ab"/>
        <w:spacing w:after="0" w:line="240" w:lineRule="auto"/>
        <w:ind w:firstLine="709"/>
        <w:jc w:val="both"/>
        <w:rPr>
          <w:lang w:val="en-US"/>
        </w:rPr>
      </w:pPr>
      <w:r w:rsidRPr="004B4DE2">
        <w:rPr>
          <w:lang w:val="en-US"/>
        </w:rPr>
        <w:t>76.</w:t>
      </w:r>
      <w:r w:rsidRPr="004B4DE2">
        <w:rPr>
          <w:lang w:val="en-US"/>
        </w:rPr>
        <w:tab/>
        <w:t xml:space="preserve">Fallon M, Valero O, Pazos M, Anton A. Diagnostic accuracy of imaging devices in glaucoma: A meta-analysis. </w:t>
      </w:r>
      <w:r w:rsidRPr="00701FE0">
        <w:rPr>
          <w:lang w:val="en-US"/>
        </w:rPr>
        <w:t>Surv Ophthalmol. 2017;62(4):446-461. doi: 10.1016/j.survophthal.2017.01.001.</w:t>
      </w:r>
    </w:p>
    <w:p w14:paraId="0442C0AA" w14:textId="77777777" w:rsidR="004B4DE2" w:rsidRPr="00701FE0" w:rsidRDefault="004B4DE2" w:rsidP="00A64D1A">
      <w:pPr>
        <w:pStyle w:val="ab"/>
        <w:spacing w:after="0" w:line="240" w:lineRule="auto"/>
        <w:ind w:firstLine="709"/>
        <w:jc w:val="both"/>
        <w:rPr>
          <w:lang w:val="en-US"/>
        </w:rPr>
      </w:pPr>
      <w:r w:rsidRPr="004B4DE2">
        <w:rPr>
          <w:lang w:val="en-US"/>
        </w:rPr>
        <w:t>77.</w:t>
      </w:r>
      <w:r w:rsidRPr="004B4DE2">
        <w:rPr>
          <w:lang w:val="en-US"/>
        </w:rPr>
        <w:tab/>
        <w:t xml:space="preserve">Park KA, Kim YD, In Woo K, et al. </w:t>
      </w:r>
      <w:r w:rsidRPr="00701FE0">
        <w:rPr>
          <w:lang w:val="en-US"/>
        </w:rPr>
        <w:t>Optical coherence tomography measurements in compressive optic neuropathy associated with dysthyroid orbitopathy. Graefes Arch Clin Exp Ophthalmol. 2016;254(8):1617-1624. doi: 10.1007/s00417-016-3335-9.</w:t>
      </w:r>
    </w:p>
    <w:p w14:paraId="0FE5F807" w14:textId="77777777" w:rsidR="004B4DE2" w:rsidRPr="004B4DE2" w:rsidRDefault="004B4DE2" w:rsidP="00A64D1A">
      <w:pPr>
        <w:pStyle w:val="ab"/>
        <w:spacing w:after="0" w:line="240" w:lineRule="auto"/>
        <w:ind w:firstLine="709"/>
        <w:jc w:val="both"/>
        <w:rPr>
          <w:lang w:val="en-US"/>
        </w:rPr>
      </w:pPr>
      <w:r w:rsidRPr="004B4DE2">
        <w:rPr>
          <w:lang w:val="en-US"/>
        </w:rPr>
        <w:t>78.</w:t>
      </w:r>
      <w:r w:rsidRPr="004B4DE2">
        <w:rPr>
          <w:lang w:val="en-US"/>
        </w:rPr>
        <w:tab/>
        <w:t>Caliskan S, Acar M, Gurdal C. Choroidal thickness in patients with Graves’ ophthalmopathy. Curr Eye Res. 2017;42(3):484-490. doi: 10.1080/02713683.2016.1198488.</w:t>
      </w:r>
    </w:p>
    <w:p w14:paraId="0468D5DA" w14:textId="77777777" w:rsidR="004B4DE2" w:rsidRDefault="004B4DE2" w:rsidP="00A64D1A">
      <w:pPr>
        <w:pStyle w:val="ab"/>
        <w:spacing w:after="0" w:line="240" w:lineRule="auto"/>
        <w:ind w:firstLine="709"/>
        <w:jc w:val="both"/>
      </w:pPr>
      <w:r w:rsidRPr="004B4DE2">
        <w:rPr>
          <w:lang w:val="en-US"/>
        </w:rPr>
        <w:t>79.</w:t>
      </w:r>
      <w:r w:rsidRPr="004B4DE2">
        <w:rPr>
          <w:lang w:val="en-US"/>
        </w:rPr>
        <w:tab/>
        <w:t xml:space="preserve">Wang YH, Ma J, Li H, Xu HY, Gan LY, Zhang X, Wang XQ, Zhong Y. [Peripapillary and macular vessel density in eyes with different phases of thyroid-associated ophthalmopathy]. Zhonghua Yan Ke Za Zhi. 2020 Nov 11;56(11):824-831. Chinese. doi: 10.3760/cma.j.cn112142-20191115-00574. </w:t>
      </w:r>
      <w:r>
        <w:t>PMID: 33152840.</w:t>
      </w:r>
    </w:p>
    <w:p w14:paraId="44E0AD3D" w14:textId="77777777" w:rsidR="004B4DE2" w:rsidRPr="004B4DE2" w:rsidRDefault="004B4DE2" w:rsidP="00A64D1A">
      <w:pPr>
        <w:pStyle w:val="ab"/>
        <w:spacing w:after="0" w:line="240" w:lineRule="auto"/>
        <w:ind w:firstLine="709"/>
        <w:jc w:val="both"/>
        <w:rPr>
          <w:lang w:val="en-US"/>
        </w:rPr>
      </w:pPr>
      <w:r>
        <w:t>80.</w:t>
      </w:r>
      <w:r>
        <w:tab/>
        <w:t xml:space="preserve">Лихванцева В.Г., Харлап С.И., Коростелева Е.В., и др. Гемодинамические нарушения в магистральных сосудах глаза в прогрессировании оптической нейропатии и изменении офтальмотонуса при эндокринной офтальмопатии. // Вестник офтальмологии. – 2015. – Т. 131. – №4. – C. 32–37. </w:t>
      </w:r>
      <w:r w:rsidRPr="004B4DE2">
        <w:rPr>
          <w:lang w:val="en-US"/>
        </w:rPr>
        <w:t xml:space="preserve">[Likhvantseva VG, Kharlap SI, Korosteleva EV, et al. Contribution of hemodynamic disturbances in magistral vessels to optic neuropathy progression and ocular tension changes in endocrine ophthalmopathy. </w:t>
      </w:r>
      <w:r w:rsidRPr="00701FE0">
        <w:rPr>
          <w:lang w:val="en-US"/>
        </w:rPr>
        <w:t xml:space="preserve">Annals of ophthalmology. 2015;131(4):32-37. </w:t>
      </w:r>
      <w:r w:rsidRPr="004B4DE2">
        <w:rPr>
          <w:lang w:val="en-US"/>
        </w:rPr>
        <w:t>(In Russ.)].</w:t>
      </w:r>
    </w:p>
    <w:p w14:paraId="7A62DAF8" w14:textId="77777777" w:rsidR="004B4DE2" w:rsidRPr="00701FE0" w:rsidRDefault="004B4DE2" w:rsidP="00A64D1A">
      <w:pPr>
        <w:pStyle w:val="ab"/>
        <w:spacing w:after="0" w:line="240" w:lineRule="auto"/>
        <w:ind w:firstLine="709"/>
        <w:jc w:val="both"/>
        <w:rPr>
          <w:lang w:val="en-US"/>
        </w:rPr>
      </w:pPr>
      <w:r w:rsidRPr="004B4DE2">
        <w:rPr>
          <w:lang w:val="en-US"/>
        </w:rPr>
        <w:t>81.</w:t>
      </w:r>
      <w:r w:rsidRPr="004B4DE2">
        <w:rPr>
          <w:lang w:val="en-US"/>
        </w:rPr>
        <w:tab/>
        <w:t xml:space="preserve">Walasik-Szemplinska D, Pauk-Domanska M, Sanocka U, SudolSzopinska I. Doppler imaging of orbital vessels in the assessment of the activity and severity of thyroid-associated orbitopathy. </w:t>
      </w:r>
      <w:r w:rsidRPr="00701FE0">
        <w:rPr>
          <w:lang w:val="en-US"/>
        </w:rPr>
        <w:t>J Ultrason. 2015;15(63):388-397. doi: 10.15557/JoU.2015.0036.</w:t>
      </w:r>
    </w:p>
    <w:p w14:paraId="3D7745D1" w14:textId="77777777" w:rsidR="004B4DE2" w:rsidRPr="00701FE0" w:rsidRDefault="004B4DE2" w:rsidP="00A64D1A">
      <w:pPr>
        <w:pStyle w:val="ab"/>
        <w:spacing w:after="0" w:line="240" w:lineRule="auto"/>
        <w:ind w:firstLine="709"/>
        <w:jc w:val="both"/>
        <w:rPr>
          <w:lang w:val="en-US"/>
        </w:rPr>
      </w:pPr>
      <w:r w:rsidRPr="004B4DE2">
        <w:rPr>
          <w:lang w:val="en-US"/>
        </w:rPr>
        <w:t>82.</w:t>
      </w:r>
      <w:r w:rsidRPr="004B4DE2">
        <w:rPr>
          <w:lang w:val="en-US"/>
        </w:rPr>
        <w:tab/>
        <w:t xml:space="preserve">Sahli E, Gunduz K. Thyroid-associated ophthalmopathy. </w:t>
      </w:r>
      <w:r w:rsidRPr="00701FE0">
        <w:rPr>
          <w:lang w:val="en-US"/>
        </w:rPr>
        <w:t>Turk J Ophthalmol. 2017;47(2):94-105. doi: 10.4274/tjo.80688.</w:t>
      </w:r>
    </w:p>
    <w:p w14:paraId="23BE4828" w14:textId="77777777" w:rsidR="004B4DE2" w:rsidRDefault="004B4DE2" w:rsidP="00A64D1A">
      <w:pPr>
        <w:pStyle w:val="ab"/>
        <w:spacing w:after="0" w:line="240" w:lineRule="auto"/>
        <w:ind w:firstLine="709"/>
        <w:jc w:val="both"/>
      </w:pPr>
      <w:r w:rsidRPr="004B4DE2">
        <w:rPr>
          <w:lang w:val="en-US"/>
        </w:rPr>
        <w:lastRenderedPageBreak/>
        <w:t>83.</w:t>
      </w:r>
      <w:r w:rsidRPr="004B4DE2">
        <w:rPr>
          <w:lang w:val="en-US"/>
        </w:rPr>
        <w:tab/>
        <w:t xml:space="preserve">Yan-Ru G, Wei-Wen C, Jia-Wang L, Hui-Lan Z. [Treg/Th17 balance and immunology of schistosome infection: a review]. Zhongguo Xue Xi Chong Bing Fang Zhi Za Zhi. 2018 Oct 17;30(5):588-591. </w:t>
      </w:r>
      <w:r>
        <w:t>Chinese. doi: 10.16250/j.32.1374.2018001. PMID: 30567041.</w:t>
      </w:r>
    </w:p>
    <w:p w14:paraId="55E2E937" w14:textId="73804267" w:rsidR="004B4DE2" w:rsidRDefault="004B4DE2" w:rsidP="00A64D1A">
      <w:pPr>
        <w:pStyle w:val="ab"/>
        <w:spacing w:after="0" w:line="240" w:lineRule="auto"/>
        <w:ind w:firstLine="709"/>
        <w:jc w:val="both"/>
      </w:pPr>
      <w:r>
        <w:t>84.</w:t>
      </w:r>
      <w:r>
        <w:tab/>
        <w:t>Долгих, В. Т. Иммунология : учебное пособие для вузов / В. Т. Долгих, А. Н. Золотов. — Москва : Издательство Юрайт, 2019. — 248 с. — (Высшее образование). — ISBN 978-5-534-09294-3. — Текст : электронный // Образовательная платформа Юрайт [сайт]. — URL: https://urait.ru/bcode/427581.</w:t>
      </w:r>
    </w:p>
    <w:p w14:paraId="7D19D624" w14:textId="77777777" w:rsidR="004B4DE2" w:rsidRDefault="004B4DE2" w:rsidP="00A64D1A">
      <w:pPr>
        <w:pStyle w:val="ab"/>
        <w:spacing w:after="0" w:line="240" w:lineRule="auto"/>
        <w:ind w:firstLine="709"/>
        <w:jc w:val="both"/>
      </w:pPr>
      <w:r w:rsidRPr="004B4DE2">
        <w:rPr>
          <w:lang w:val="en-US"/>
        </w:rPr>
        <w:t>85.</w:t>
      </w:r>
      <w:r w:rsidRPr="004B4DE2">
        <w:rPr>
          <w:lang w:val="en-US"/>
        </w:rPr>
        <w:tab/>
        <w:t xml:space="preserve">Fang S, Huang Y, Zhong S, Zhang Y, Liu X, Wang Y, Gu P, Zhou H, Fan X. IL-17A Promotes RANTES Expression, But Not IL-16, in Orbital Fibroblasts Via CD40-CD40L Combination in Thyroid-Associated Ophthalmopathy. </w:t>
      </w:r>
      <w:r>
        <w:t>Invest Ophthalmol Vis Sci. 2016 Nov 1;57(14):6123-6133. doi: 10.1167/iovs.16-20199. PMID: 27832278.</w:t>
      </w:r>
    </w:p>
    <w:p w14:paraId="63392A3F" w14:textId="77777777" w:rsidR="004B4DE2" w:rsidRDefault="004B4DE2" w:rsidP="00A64D1A">
      <w:pPr>
        <w:pStyle w:val="ab"/>
        <w:spacing w:after="0" w:line="240" w:lineRule="auto"/>
        <w:ind w:firstLine="709"/>
        <w:jc w:val="both"/>
      </w:pPr>
      <w:r>
        <w:t>86.</w:t>
      </w:r>
      <w:r>
        <w:tab/>
        <w:t>О. С. Костарева, А. Г. Габдулхаков, И. А. Коляденко, М. Б. Гарбер, С. В. Тищенко Интерлейкин-17: функциональные и структурные особенности; использование в качестве терапевтической мишени. //Успехи биологической химии, т. 59, 2019, с. 393–418.</w:t>
      </w:r>
    </w:p>
    <w:p w14:paraId="2316A6CE" w14:textId="77777777" w:rsidR="004B4DE2" w:rsidRPr="004B4DE2" w:rsidRDefault="004B4DE2" w:rsidP="00A64D1A">
      <w:pPr>
        <w:pStyle w:val="ab"/>
        <w:spacing w:after="0" w:line="240" w:lineRule="auto"/>
        <w:ind w:firstLine="709"/>
        <w:jc w:val="both"/>
        <w:rPr>
          <w:lang w:val="en-US"/>
        </w:rPr>
      </w:pPr>
      <w:r w:rsidRPr="004B4DE2">
        <w:rPr>
          <w:lang w:val="en-US"/>
        </w:rPr>
        <w:t>87.</w:t>
      </w:r>
      <w:r w:rsidRPr="004B4DE2">
        <w:rPr>
          <w:lang w:val="en-US"/>
        </w:rPr>
        <w:tab/>
        <w:t>Du W, Du J, Zhou J, Shi GC, Wan HY, Tang W. [The mobilization effect of IL-25 on eosinophil progenitor cells in allergic asthma]. Zhonghua Jie He He Hu Xi Za Zhi. 2019 Jul 12;42(7):515-521. Chinese. doi: 10.3760/cma.j.issn.1001-0939.2019.07.012. PMID: 31365968.</w:t>
      </w:r>
    </w:p>
    <w:p w14:paraId="3709E03D" w14:textId="77777777" w:rsidR="004B4DE2" w:rsidRPr="004B4DE2" w:rsidRDefault="004B4DE2" w:rsidP="00A64D1A">
      <w:pPr>
        <w:pStyle w:val="ab"/>
        <w:spacing w:after="0" w:line="240" w:lineRule="auto"/>
        <w:ind w:firstLine="709"/>
        <w:jc w:val="both"/>
        <w:rPr>
          <w:lang w:val="en-US"/>
        </w:rPr>
      </w:pPr>
      <w:r w:rsidRPr="004B4DE2">
        <w:rPr>
          <w:lang w:val="en-US"/>
        </w:rPr>
        <w:t>88.</w:t>
      </w:r>
      <w:r w:rsidRPr="004B4DE2">
        <w:rPr>
          <w:lang w:val="en-US"/>
        </w:rPr>
        <w:tab/>
        <w:t>Yuan JM, Lu DN, Wang JJ, Xu Z, Li Y, Ren MH, Li JX, Gong DY, Wang J. [Effect and mechanism of Bovis Calculus on ulcerative colitis by inhibiting IL-17/IL-17RA/Act1 signaling pathway]. Zhongguo Zhong Yao Za Zhi. 2023 May;48(9):2500-2511. Chinese. doi: 10.19540/j.cnki.cjcmm.20230117.704. PMID: 37282879.</w:t>
      </w:r>
    </w:p>
    <w:p w14:paraId="10EC4EDE" w14:textId="77777777" w:rsidR="004B4DE2" w:rsidRPr="004B4DE2" w:rsidRDefault="004B4DE2" w:rsidP="00A64D1A">
      <w:pPr>
        <w:pStyle w:val="ab"/>
        <w:spacing w:after="0" w:line="240" w:lineRule="auto"/>
        <w:ind w:firstLine="709"/>
        <w:jc w:val="both"/>
        <w:rPr>
          <w:lang w:val="en-US"/>
        </w:rPr>
      </w:pPr>
      <w:r w:rsidRPr="004B4DE2">
        <w:rPr>
          <w:lang w:val="en-US"/>
        </w:rPr>
        <w:t>89.</w:t>
      </w:r>
      <w:r w:rsidRPr="004B4DE2">
        <w:rPr>
          <w:lang w:val="en-US"/>
        </w:rPr>
        <w:tab/>
        <w:t>Yao, Z., Fanslow, W.C., Seldin, M.F., Rousseau, A.-M., Painter, S.L., Comeau, M.R., Cohen, J.I., and Spriggs, M.K. (1995) Herpesvirus Saimiri encodes a new cytokine, IL-17, which binds to a novel cytokine receptor. Immunity, 3, 811–821.</w:t>
      </w:r>
    </w:p>
    <w:p w14:paraId="549A51CB" w14:textId="77777777" w:rsidR="004B4DE2" w:rsidRPr="004B4DE2" w:rsidRDefault="004B4DE2" w:rsidP="00A64D1A">
      <w:pPr>
        <w:pStyle w:val="ab"/>
        <w:spacing w:after="0" w:line="240" w:lineRule="auto"/>
        <w:ind w:firstLine="709"/>
        <w:jc w:val="both"/>
        <w:rPr>
          <w:lang w:val="en-US"/>
        </w:rPr>
      </w:pPr>
      <w:r w:rsidRPr="004B4DE2">
        <w:rPr>
          <w:lang w:val="en-US"/>
        </w:rPr>
        <w:t>90.</w:t>
      </w:r>
      <w:r w:rsidRPr="004B4DE2">
        <w:rPr>
          <w:lang w:val="en-US"/>
        </w:rPr>
        <w:tab/>
        <w:t>Ruddy, M.J., Wong, G.C., Liu, X.K., Yamamoto, H., Kasayama, S., Kirkwood, K.L., and Gaffen, S.L. (2004) Functional cooperation between interleukin-17 and tumor necrosis factor-alpha is mediated by CCAAT/enhancer-binding protein family members. J. Biol. Chem., 279, 2559–2567.</w:t>
      </w:r>
    </w:p>
    <w:p w14:paraId="3F40CCF6" w14:textId="77777777" w:rsidR="004B4DE2" w:rsidRPr="004B4DE2" w:rsidRDefault="004B4DE2" w:rsidP="00A64D1A">
      <w:pPr>
        <w:pStyle w:val="ab"/>
        <w:spacing w:after="0" w:line="240" w:lineRule="auto"/>
        <w:ind w:firstLine="709"/>
        <w:jc w:val="both"/>
        <w:rPr>
          <w:lang w:val="en-US"/>
        </w:rPr>
      </w:pPr>
      <w:r w:rsidRPr="004B4DE2">
        <w:rPr>
          <w:lang w:val="en-US"/>
        </w:rPr>
        <w:t>91.</w:t>
      </w:r>
      <w:r w:rsidRPr="004B4DE2">
        <w:rPr>
          <w:lang w:val="en-US"/>
        </w:rPr>
        <w:tab/>
        <w:t>Monin L, Gaffen SL. Interleukin 17 Family Cytokines: Signaling Mechanisms, Biological Activities, and Therapeutic Implications. Cold Spring Harb Perspect Biol. 2018 Apr 2;10(4):a028522. doi: 10.1101/cshperspect.a028522. PMID: 28620097; PMCID: PMC5732092.</w:t>
      </w:r>
    </w:p>
    <w:p w14:paraId="3403C8A4" w14:textId="77777777" w:rsidR="004B4DE2" w:rsidRPr="004B4DE2" w:rsidRDefault="004B4DE2" w:rsidP="00A64D1A">
      <w:pPr>
        <w:pStyle w:val="ab"/>
        <w:spacing w:after="0" w:line="240" w:lineRule="auto"/>
        <w:ind w:firstLine="709"/>
        <w:jc w:val="both"/>
        <w:rPr>
          <w:lang w:val="en-US"/>
        </w:rPr>
      </w:pPr>
      <w:r w:rsidRPr="004B4DE2">
        <w:rPr>
          <w:lang w:val="en-US"/>
        </w:rPr>
        <w:t>92.</w:t>
      </w:r>
      <w:r w:rsidRPr="004B4DE2">
        <w:rPr>
          <w:lang w:val="en-US"/>
        </w:rPr>
        <w:tab/>
        <w:t>Huang X, Slavkovic S, Song E, Botta A, Mehrazma B, Lento C, Johnson PE, Sweeney G, Wilson DJ. A Unique Conformational Distortion Mechanism Drives Lipocalin 2 Binding to Bacterial Siderophores. ACS Chem Biol. 2020 Jan 17;15(1):234-242. doi: 10.1021/acschembio.9b00820. Epub 2019 Oct 28. PMID: 31613081.</w:t>
      </w:r>
    </w:p>
    <w:p w14:paraId="10351C2A" w14:textId="77777777" w:rsidR="004B4DE2" w:rsidRPr="00701FE0" w:rsidRDefault="004B4DE2" w:rsidP="00A64D1A">
      <w:pPr>
        <w:pStyle w:val="ab"/>
        <w:spacing w:after="0" w:line="240" w:lineRule="auto"/>
        <w:ind w:firstLine="709"/>
        <w:jc w:val="both"/>
        <w:rPr>
          <w:lang w:val="en-US"/>
        </w:rPr>
      </w:pPr>
      <w:r w:rsidRPr="004B4DE2">
        <w:rPr>
          <w:lang w:val="en-US"/>
        </w:rPr>
        <w:lastRenderedPageBreak/>
        <w:t>93.</w:t>
      </w:r>
      <w:r w:rsidRPr="004B4DE2">
        <w:rPr>
          <w:lang w:val="en-US"/>
        </w:rPr>
        <w:tab/>
        <w:t xml:space="preserve">Chiricozzi A, Suárez-Fariñas M, Fuentes-Duculan J, Cueto I, Li K, Tian S, Brodmerkel C, Krueger JG. Increased expression of interleukin-17 pathway genes in nonlesional skin of moderate-to-severe psoriasis vulgaris. </w:t>
      </w:r>
      <w:r w:rsidRPr="00701FE0">
        <w:rPr>
          <w:lang w:val="en-US"/>
        </w:rPr>
        <w:t>Br J Dermatol. 2016 Jan;174(1):136-45. doi: 10.1111/bjd.14034. Epub 2015 Nov 11. PMID: 26189551; PMCID: PMC4720589.</w:t>
      </w:r>
    </w:p>
    <w:p w14:paraId="60862FE7" w14:textId="77777777" w:rsidR="004B4DE2" w:rsidRPr="004B4DE2" w:rsidRDefault="004B4DE2" w:rsidP="00A64D1A">
      <w:pPr>
        <w:pStyle w:val="ab"/>
        <w:spacing w:after="0" w:line="240" w:lineRule="auto"/>
        <w:ind w:firstLine="709"/>
        <w:jc w:val="both"/>
        <w:rPr>
          <w:lang w:val="en-US"/>
        </w:rPr>
      </w:pPr>
      <w:r w:rsidRPr="00701FE0">
        <w:rPr>
          <w:lang w:val="en-US"/>
        </w:rPr>
        <w:t>94.</w:t>
      </w:r>
      <w:r w:rsidRPr="00701FE0">
        <w:rPr>
          <w:lang w:val="en-US"/>
        </w:rPr>
        <w:tab/>
        <w:t xml:space="preserve">Guo BX, Wang QQ, Li JH, Gan ZS, Zhang XF, Wang YZ, Du HH. </w:t>
      </w:r>
      <w:r w:rsidRPr="004B4DE2">
        <w:rPr>
          <w:lang w:val="en-US"/>
        </w:rPr>
        <w:t xml:space="preserve">Lipocalin 2 regulates intestine bacterial survival by interplaying with siderophore in a weaned piglet model of Escherichia coli infection. </w:t>
      </w:r>
      <w:r w:rsidRPr="00701FE0">
        <w:rPr>
          <w:lang w:val="en-US"/>
        </w:rPr>
        <w:t xml:space="preserve">Oncotarget. 2017 Jun 16;8(39):65386-65396. doi: 10.18632/oncotarget.18528. </w:t>
      </w:r>
      <w:r w:rsidRPr="004B4DE2">
        <w:rPr>
          <w:lang w:val="en-US"/>
        </w:rPr>
        <w:t>PMID: 29029438; PMCID: PMC5630338.</w:t>
      </w:r>
    </w:p>
    <w:p w14:paraId="16E8970C" w14:textId="77777777" w:rsidR="004B4DE2" w:rsidRPr="004B4DE2" w:rsidRDefault="004B4DE2" w:rsidP="00A64D1A">
      <w:pPr>
        <w:pStyle w:val="ab"/>
        <w:spacing w:after="0" w:line="240" w:lineRule="auto"/>
        <w:ind w:firstLine="709"/>
        <w:jc w:val="both"/>
        <w:rPr>
          <w:lang w:val="en-US"/>
        </w:rPr>
      </w:pPr>
      <w:r w:rsidRPr="004B4DE2">
        <w:rPr>
          <w:lang w:val="en-US"/>
        </w:rPr>
        <w:t>95.</w:t>
      </w:r>
      <w:r w:rsidRPr="004B4DE2">
        <w:rPr>
          <w:lang w:val="en-US"/>
        </w:rPr>
        <w:tab/>
        <w:t>Zhang C, Wang H, Hu L, Zhang Q, Chen J, Shi L, Song X, Liu J, Xue K, Wang J, Wang D, Sun X. Lipocalin-2 promotes neutrophilic inflammation in nasal polyps and its value as biomarker. Allergol Int. 2024 Jan;73(1):115-125. doi: 10.1016/j.alit.2023.07.004. Epub 2023 Aug 9. PMID: 37567832.</w:t>
      </w:r>
    </w:p>
    <w:p w14:paraId="73F770F0" w14:textId="77777777" w:rsidR="004B4DE2" w:rsidRPr="004B4DE2" w:rsidRDefault="004B4DE2" w:rsidP="00A64D1A">
      <w:pPr>
        <w:pStyle w:val="ab"/>
        <w:spacing w:after="0" w:line="240" w:lineRule="auto"/>
        <w:ind w:firstLine="709"/>
        <w:jc w:val="both"/>
        <w:rPr>
          <w:lang w:val="en-US"/>
        </w:rPr>
      </w:pPr>
      <w:r w:rsidRPr="004B4DE2">
        <w:rPr>
          <w:lang w:val="en-US"/>
        </w:rPr>
        <w:t>96.</w:t>
      </w:r>
      <w:r w:rsidRPr="004B4DE2">
        <w:rPr>
          <w:lang w:val="en-US"/>
        </w:rPr>
        <w:tab/>
        <w:t>Yallowitz AR, Shim JH, Xu R, Greenblatt MB. An angiogenic approach to osteoanabolic therapy targeting the SHN3-SLIT3 pathway. Bone. 2023 Jul;172:116761. doi: 10.1016/j.bone.2023.116761. Epub 2023 Apr 6. PMID: 37030497; PMCID: PMC10198948.</w:t>
      </w:r>
    </w:p>
    <w:p w14:paraId="76B48F43" w14:textId="77777777" w:rsidR="004B4DE2" w:rsidRPr="004B4DE2" w:rsidRDefault="004B4DE2" w:rsidP="00A64D1A">
      <w:pPr>
        <w:pStyle w:val="ab"/>
        <w:spacing w:after="0" w:line="240" w:lineRule="auto"/>
        <w:ind w:firstLine="709"/>
        <w:jc w:val="both"/>
        <w:rPr>
          <w:lang w:val="en-US"/>
        </w:rPr>
      </w:pPr>
      <w:r w:rsidRPr="004B4DE2">
        <w:rPr>
          <w:lang w:val="en-US"/>
        </w:rPr>
        <w:t>97.</w:t>
      </w:r>
      <w:r w:rsidRPr="004B4DE2">
        <w:rPr>
          <w:lang w:val="en-US"/>
        </w:rPr>
        <w:tab/>
        <w:t>Lavocat F, Osta B, Miossec P. Increased sensitivity of rheumatoid synoviocytes to Schnurri-3 expression in TNF-</w:t>
      </w:r>
      <w:r>
        <w:t>α</w:t>
      </w:r>
      <w:r w:rsidRPr="004B4DE2">
        <w:rPr>
          <w:lang w:val="en-US"/>
        </w:rPr>
        <w:t xml:space="preserve"> and IL-17A induced osteoblastic differentiation. Bone. 2016 Jun;87:89-96. doi: 10.1016/j.bone.2016.04.008. Epub 2016 Apr 9. PMID: 27072520.</w:t>
      </w:r>
    </w:p>
    <w:p w14:paraId="07E8E2B9" w14:textId="77777777" w:rsidR="004B4DE2" w:rsidRPr="00701FE0" w:rsidRDefault="004B4DE2" w:rsidP="00A64D1A">
      <w:pPr>
        <w:pStyle w:val="ab"/>
        <w:spacing w:after="0" w:line="240" w:lineRule="auto"/>
        <w:ind w:firstLine="709"/>
        <w:jc w:val="both"/>
        <w:rPr>
          <w:lang w:val="en-US"/>
        </w:rPr>
      </w:pPr>
      <w:r w:rsidRPr="004B4DE2">
        <w:rPr>
          <w:lang w:val="en-US"/>
        </w:rPr>
        <w:t>98.</w:t>
      </w:r>
      <w:r w:rsidRPr="004B4DE2">
        <w:rPr>
          <w:lang w:val="en-US"/>
        </w:rPr>
        <w:tab/>
        <w:t xml:space="preserve">Fang S, Huang Y, Zhong S, et al. </w:t>
      </w:r>
      <w:r w:rsidRPr="00701FE0">
        <w:rPr>
          <w:lang w:val="en-US"/>
        </w:rPr>
        <w:t>Regulation of Orbital Fibrosis and Adipogenesis by Pathogenic Th17 Cells in Graves Orbitopathy. J Clin Endocrinol Metab. 2017;102(11):4273-4283. doi: https://doi.org/10.1210/jc.2017-01349.</w:t>
      </w:r>
    </w:p>
    <w:p w14:paraId="0C4E7D8C" w14:textId="77777777" w:rsidR="004B4DE2" w:rsidRPr="00701FE0" w:rsidRDefault="004B4DE2" w:rsidP="00A64D1A">
      <w:pPr>
        <w:pStyle w:val="ab"/>
        <w:spacing w:after="0" w:line="240" w:lineRule="auto"/>
        <w:ind w:firstLine="709"/>
        <w:jc w:val="both"/>
        <w:rPr>
          <w:lang w:val="en-US"/>
        </w:rPr>
      </w:pPr>
      <w:r w:rsidRPr="004B4DE2">
        <w:rPr>
          <w:lang w:val="en-US"/>
        </w:rPr>
        <w:t>99.</w:t>
      </w:r>
      <w:r w:rsidRPr="004B4DE2">
        <w:rPr>
          <w:lang w:val="en-US"/>
        </w:rPr>
        <w:tab/>
        <w:t xml:space="preserve">Fang S, Huang Y, Wang S, et al. </w:t>
      </w:r>
      <w:r w:rsidRPr="00701FE0">
        <w:rPr>
          <w:lang w:val="en-US"/>
        </w:rPr>
        <w:t>IL-17A Exacerbates Fibrosis by Promoting the Proinflammatory and Profibrotic Function of Orbital Fibroblasts in TAO. J Clin Endocrinol Metab. 2016;101(8):2955-2965. doi: https://doi.org/10.1210/jc.2016-1882.</w:t>
      </w:r>
    </w:p>
    <w:p w14:paraId="3A330906" w14:textId="77777777" w:rsidR="004B4DE2" w:rsidRPr="00701FE0" w:rsidRDefault="004B4DE2" w:rsidP="00A64D1A">
      <w:pPr>
        <w:pStyle w:val="ab"/>
        <w:spacing w:after="0" w:line="240" w:lineRule="auto"/>
        <w:ind w:firstLine="709"/>
        <w:jc w:val="both"/>
        <w:rPr>
          <w:lang w:val="en-US"/>
        </w:rPr>
      </w:pPr>
      <w:r w:rsidRPr="004B4DE2">
        <w:rPr>
          <w:lang w:val="en-US"/>
        </w:rPr>
        <w:t>100.</w:t>
      </w:r>
      <w:r w:rsidRPr="004B4DE2">
        <w:rPr>
          <w:lang w:val="en-US"/>
        </w:rPr>
        <w:tab/>
        <w:t xml:space="preserve">Pawlowski P, Reszec J, Eckstein A, et al. </w:t>
      </w:r>
      <w:r w:rsidRPr="00701FE0">
        <w:rPr>
          <w:lang w:val="en-US"/>
        </w:rPr>
        <w:t>Markers of inflammation and fibrosis in the orbital fat/connective tissue of patients with Graves’ orbitopathy: clinical implications. Mediators Inflamm. 2014;2014:412158. doi: https://doi.org/10.1155/2014/412158.</w:t>
      </w:r>
    </w:p>
    <w:p w14:paraId="52EE089D" w14:textId="77777777" w:rsidR="004B4DE2" w:rsidRPr="004B4DE2" w:rsidRDefault="004B4DE2" w:rsidP="00A64D1A">
      <w:pPr>
        <w:pStyle w:val="ab"/>
        <w:spacing w:after="0" w:line="240" w:lineRule="auto"/>
        <w:ind w:firstLine="709"/>
        <w:jc w:val="both"/>
        <w:rPr>
          <w:lang w:val="en-US"/>
        </w:rPr>
      </w:pPr>
      <w:r w:rsidRPr="004B4DE2">
        <w:rPr>
          <w:lang w:val="en-US"/>
        </w:rPr>
        <w:t>101.</w:t>
      </w:r>
      <w:r w:rsidRPr="004B4DE2">
        <w:rPr>
          <w:lang w:val="en-US"/>
        </w:rPr>
        <w:tab/>
        <w:t xml:space="preserve">Huang Y, Wu Y, Zhang S, Lu Y, Wang Y, Liu X, Zhong S, Wang Y, Li Y, Sun J, Fang S, Zhou H. Immunophenotype of Lacrimal Glands in Graves Orbitopathy: Implications for the Pathogenesis of Th1 and Th17 Immunity. </w:t>
      </w:r>
      <w:r w:rsidRPr="00701FE0">
        <w:rPr>
          <w:lang w:val="en-US"/>
        </w:rPr>
        <w:t xml:space="preserve">Thyroid. 2022 Aug;32(8):949-961. doi: 10.1089/thy.2021.0671. </w:t>
      </w:r>
      <w:r w:rsidRPr="004B4DE2">
        <w:rPr>
          <w:lang w:val="en-US"/>
        </w:rPr>
        <w:t>Epub 2022 Jun 24. PMID: 35469435.</w:t>
      </w:r>
    </w:p>
    <w:p w14:paraId="10CD5C49" w14:textId="77777777" w:rsidR="004B4DE2" w:rsidRPr="004B4DE2" w:rsidRDefault="004B4DE2" w:rsidP="00A64D1A">
      <w:pPr>
        <w:pStyle w:val="ab"/>
        <w:spacing w:after="0" w:line="240" w:lineRule="auto"/>
        <w:ind w:firstLine="709"/>
        <w:jc w:val="both"/>
        <w:rPr>
          <w:lang w:val="en-US"/>
        </w:rPr>
      </w:pPr>
      <w:r w:rsidRPr="004B4DE2">
        <w:rPr>
          <w:lang w:val="en-US"/>
        </w:rPr>
        <w:t>102.</w:t>
      </w:r>
      <w:r w:rsidRPr="004B4DE2">
        <w:rPr>
          <w:lang w:val="en-US"/>
        </w:rPr>
        <w:tab/>
        <w:t>Wynn TA, Ramalingam TR. Mechanisms of fibrosis: therapeutic translation for fibrotic disease. Nat Med. 2012;18(7):1028-1040. doi: https://doi.org/10.1038/nm.2807.</w:t>
      </w:r>
    </w:p>
    <w:p w14:paraId="315A098D" w14:textId="3C77455F" w:rsidR="004B4DE2" w:rsidRPr="004B4DE2" w:rsidRDefault="004B4DE2" w:rsidP="00A64D1A">
      <w:pPr>
        <w:pStyle w:val="ab"/>
        <w:spacing w:after="0" w:line="240" w:lineRule="auto"/>
        <w:ind w:firstLine="709"/>
        <w:jc w:val="both"/>
        <w:rPr>
          <w:lang w:val="en-US"/>
        </w:rPr>
      </w:pPr>
      <w:r w:rsidRPr="004B4DE2">
        <w:rPr>
          <w:lang w:val="en-US"/>
        </w:rPr>
        <w:t>103.</w:t>
      </w:r>
      <w:r w:rsidRPr="004B4DE2">
        <w:rPr>
          <w:lang w:val="en-US"/>
        </w:rPr>
        <w:tab/>
        <w:t xml:space="preserve">Shin JH, Shin DW, Noh M. Interleukin-17A inhibits adipocyte differentiation in human mesenchymal stem cells and regulates pro-inflammatory </w:t>
      </w:r>
      <w:r w:rsidRPr="004B4DE2">
        <w:rPr>
          <w:lang w:val="en-US"/>
        </w:rPr>
        <w:lastRenderedPageBreak/>
        <w:t xml:space="preserve">responses in adipocytes. </w:t>
      </w:r>
      <w:r w:rsidRPr="00701FE0">
        <w:rPr>
          <w:lang w:val="en-US"/>
        </w:rPr>
        <w:t xml:space="preserve">Biochem Pharmacol. 2009;77(12):1835-1844. </w:t>
      </w:r>
      <w:r w:rsidRPr="004B4DE2">
        <w:rPr>
          <w:lang w:val="en-US"/>
        </w:rPr>
        <w:t>Doi  https://doi.org/10.1016/j.bcp.2009.03.008.</w:t>
      </w:r>
    </w:p>
    <w:p w14:paraId="662D466E" w14:textId="3279F15C" w:rsidR="004B4DE2" w:rsidRPr="00701FE0" w:rsidRDefault="004B4DE2" w:rsidP="00A64D1A">
      <w:pPr>
        <w:pStyle w:val="ab"/>
        <w:spacing w:after="0" w:line="240" w:lineRule="auto"/>
        <w:ind w:firstLine="709"/>
        <w:jc w:val="both"/>
        <w:rPr>
          <w:lang w:val="en-US"/>
        </w:rPr>
      </w:pPr>
      <w:r w:rsidRPr="004B4DE2">
        <w:rPr>
          <w:lang w:val="en-US"/>
        </w:rPr>
        <w:t>104.</w:t>
      </w:r>
      <w:r w:rsidRPr="004B4DE2">
        <w:rPr>
          <w:lang w:val="en-US"/>
        </w:rPr>
        <w:tab/>
        <w:t>Pelaez-Garcia A, Barderas R, Batlle R, et al. A proteomic analysis reveals that Snail regulates the expression of the nuclear orphan receptor Nuclear Receptor Subfamily 2 Group F Member 6 (Nr2f6) and interleukin 17 (IL-17) to inhibit adipocyte diff</w:t>
      </w:r>
      <w:r w:rsidR="00F35C00">
        <w:rPr>
          <w:lang w:val="en-US"/>
        </w:rPr>
        <w:t xml:space="preserve">erentiation. Mol Cell Proteomics. </w:t>
      </w:r>
      <w:r w:rsidRPr="00701FE0">
        <w:rPr>
          <w:lang w:val="en-US"/>
        </w:rPr>
        <w:t>2015;14(2):303-315. doi: https://doi.org/10.1074/mcp.M114.045328.</w:t>
      </w:r>
    </w:p>
    <w:p w14:paraId="71F3CC7D" w14:textId="77777777" w:rsidR="004B4DE2" w:rsidRPr="004B4DE2" w:rsidRDefault="004B4DE2" w:rsidP="00A64D1A">
      <w:pPr>
        <w:pStyle w:val="ab"/>
        <w:spacing w:after="0" w:line="240" w:lineRule="auto"/>
        <w:ind w:firstLine="709"/>
        <w:jc w:val="both"/>
        <w:rPr>
          <w:lang w:val="en-US"/>
        </w:rPr>
      </w:pPr>
      <w:r w:rsidRPr="004B4DE2">
        <w:rPr>
          <w:lang w:val="en-US"/>
        </w:rPr>
        <w:t>105.</w:t>
      </w:r>
      <w:r w:rsidRPr="004B4DE2">
        <w:rPr>
          <w:lang w:val="en-US"/>
        </w:rPr>
        <w:tab/>
        <w:t>Ou R, Shen Y, Zeng Y, Zou L, Jiang N, Xu M. [Effects of Pim-1 inhibitor on mouse model of inflammatory bowel disease induced by TNBS]. Zhong Nan Da Xue Xue Bao Yi Xue Ban. 2018 May 28;43(5):481-489. Chinese. doi: 10.11817/j.issn.1672-7347.2018.05.004. PMID: 29886462.</w:t>
      </w:r>
    </w:p>
    <w:p w14:paraId="30F8D225" w14:textId="77777777" w:rsidR="004B4DE2" w:rsidRPr="004B4DE2" w:rsidRDefault="004B4DE2" w:rsidP="00A64D1A">
      <w:pPr>
        <w:pStyle w:val="ab"/>
        <w:spacing w:after="0" w:line="240" w:lineRule="auto"/>
        <w:ind w:firstLine="709"/>
        <w:jc w:val="both"/>
        <w:rPr>
          <w:lang w:val="en-US"/>
        </w:rPr>
      </w:pPr>
      <w:r w:rsidRPr="004B4DE2">
        <w:rPr>
          <w:lang w:val="en-US"/>
        </w:rPr>
        <w:t>106.</w:t>
      </w:r>
      <w:r w:rsidRPr="004B4DE2">
        <w:rPr>
          <w:lang w:val="en-US"/>
        </w:rPr>
        <w:tab/>
        <w:t xml:space="preserve">Fang S, Zhang S, Huang Y, Wu Y, Lu Y, Zhong S, Liu X, Wang Y, Li Y, Sun J, Gu P, Zhou H, Fan X. Evidence for Associations Between Th1/Th17 “Hybrid” Phenotype and Altered Lipometabolism in Very Severe Graves Orbitopathy. </w:t>
      </w:r>
      <w:r w:rsidRPr="00701FE0">
        <w:rPr>
          <w:lang w:val="en-US"/>
        </w:rPr>
        <w:t xml:space="preserve">J Clin Endocrinol Metab. 2020 Jun 1;105(6):dgaa124. doi: 10.1210/clinem/dgaa124. </w:t>
      </w:r>
      <w:r w:rsidRPr="004B4DE2">
        <w:rPr>
          <w:lang w:val="en-US"/>
        </w:rPr>
        <w:t>PMID: 32173759.</w:t>
      </w:r>
    </w:p>
    <w:p w14:paraId="54A29D26" w14:textId="77777777" w:rsidR="004B4DE2" w:rsidRPr="004B4DE2" w:rsidRDefault="004B4DE2" w:rsidP="00A64D1A">
      <w:pPr>
        <w:pStyle w:val="ab"/>
        <w:spacing w:after="0" w:line="240" w:lineRule="auto"/>
        <w:ind w:firstLine="709"/>
        <w:jc w:val="both"/>
        <w:rPr>
          <w:lang w:val="en-US"/>
        </w:rPr>
      </w:pPr>
      <w:r w:rsidRPr="004B4DE2">
        <w:rPr>
          <w:lang w:val="en-US"/>
        </w:rPr>
        <w:t>107.</w:t>
      </w:r>
      <w:r w:rsidRPr="004B4DE2">
        <w:rPr>
          <w:lang w:val="en-US"/>
        </w:rPr>
        <w:tab/>
        <w:t>Hirota k, hashimoto m, ito y, et al. autoimmune th17 cells induced synovial stromal and innate lymphoid cell secretion of the cytokine gm-csf to initiate and augment autoimmune arthritis. immunity. 2018;48(6):1220-1232 e1225. doi: https://doi.org/10.1016/j.immuni.2018.04.009.</w:t>
      </w:r>
    </w:p>
    <w:p w14:paraId="7D738E1F" w14:textId="77777777" w:rsidR="004B4DE2" w:rsidRPr="004B4DE2" w:rsidRDefault="004B4DE2" w:rsidP="00A64D1A">
      <w:pPr>
        <w:pStyle w:val="ab"/>
        <w:spacing w:after="0" w:line="240" w:lineRule="auto"/>
        <w:ind w:firstLine="709"/>
        <w:jc w:val="both"/>
        <w:rPr>
          <w:lang w:val="en-US"/>
        </w:rPr>
      </w:pPr>
      <w:r w:rsidRPr="004B4DE2">
        <w:rPr>
          <w:lang w:val="en-US"/>
        </w:rPr>
        <w:t>108.</w:t>
      </w:r>
      <w:r w:rsidRPr="004B4DE2">
        <w:rPr>
          <w:lang w:val="en-US"/>
        </w:rPr>
        <w:tab/>
        <w:t xml:space="preserve">Li C, Yuan J, Zhu YF, Yang XJ, Wang Q, Xu J, He ST, Zhang JA. Imbalance of Th17/Treg in Different Subtypes of Autoimmune Thyroid Diseases. </w:t>
      </w:r>
      <w:r w:rsidRPr="00701FE0">
        <w:rPr>
          <w:lang w:val="en-US"/>
        </w:rPr>
        <w:t xml:space="preserve">Cell Physiol Biochem. 2016;40(1-2):245-252. doi: 10.1159/000452541. </w:t>
      </w:r>
      <w:r w:rsidRPr="004B4DE2">
        <w:rPr>
          <w:lang w:val="en-US"/>
        </w:rPr>
        <w:t>Epub 2016 Nov 18. PMID: 27855396.</w:t>
      </w:r>
    </w:p>
    <w:p w14:paraId="55203ADD" w14:textId="77777777" w:rsidR="004B4DE2" w:rsidRPr="004B4DE2" w:rsidRDefault="004B4DE2" w:rsidP="00A64D1A">
      <w:pPr>
        <w:pStyle w:val="ab"/>
        <w:spacing w:after="0" w:line="240" w:lineRule="auto"/>
        <w:ind w:firstLine="709"/>
        <w:jc w:val="both"/>
        <w:rPr>
          <w:lang w:val="en-US"/>
        </w:rPr>
      </w:pPr>
      <w:r w:rsidRPr="004B4DE2">
        <w:rPr>
          <w:lang w:val="en-US"/>
        </w:rPr>
        <w:t>109.</w:t>
      </w:r>
      <w:r w:rsidRPr="004B4DE2">
        <w:rPr>
          <w:lang w:val="en-US"/>
        </w:rPr>
        <w:tab/>
        <w:t xml:space="preserve">Luo LH, Li DM, Wang YL, Wang K, Gao LX, Li S, Yang JG, Li CL, Feng W, Guo H. Tim3/galectin-9 alleviates the inflammation of TAO patients via suppressing Akt/NF-kB signaling pathway. </w:t>
      </w:r>
      <w:r w:rsidRPr="00701FE0">
        <w:rPr>
          <w:lang w:val="en-US"/>
        </w:rPr>
        <w:t xml:space="preserve">Biochem Biophys Res Commun. 2017 Sep 30;491(4):966-972. doi: 10.1016/j.bbrc.2017.07.144. </w:t>
      </w:r>
      <w:r w:rsidRPr="004B4DE2">
        <w:rPr>
          <w:lang w:val="en-US"/>
        </w:rPr>
        <w:t>Epub 2017 Jul 26. PMID: 28756232.</w:t>
      </w:r>
    </w:p>
    <w:p w14:paraId="507F1703" w14:textId="77777777" w:rsidR="004B4DE2" w:rsidRPr="004B4DE2" w:rsidRDefault="004B4DE2" w:rsidP="00A64D1A">
      <w:pPr>
        <w:pStyle w:val="ab"/>
        <w:spacing w:after="0" w:line="240" w:lineRule="auto"/>
        <w:ind w:firstLine="709"/>
        <w:jc w:val="both"/>
        <w:rPr>
          <w:lang w:val="en-US"/>
        </w:rPr>
      </w:pPr>
      <w:r w:rsidRPr="004B4DE2">
        <w:rPr>
          <w:lang w:val="en-US"/>
        </w:rPr>
        <w:t>110.</w:t>
      </w:r>
      <w:r w:rsidRPr="004B4DE2">
        <w:rPr>
          <w:lang w:val="en-US"/>
        </w:rPr>
        <w:tab/>
        <w:t>Kościuszko M, Popławska-Kita A, Pawłowski P, Lipińska D, Hryniewicka J, Jankowska D, Górska M, Krętowski A, Myśliwiec J. Clinical relevance of estimating circulating interleukin-17 and interleukin-23 during methylprednisolone therapy in Graves’ orbitopathy: A preliminary study. Adv Med Sci. 2021 Sep;66(2):315-320. doi: 10.1016/j.advms.2021.07.002. Epub 2021 Jul 10. PMID: 34256242.</w:t>
      </w:r>
    </w:p>
    <w:p w14:paraId="36A2A90E" w14:textId="77777777" w:rsidR="004B4DE2" w:rsidRPr="004B4DE2" w:rsidRDefault="004B4DE2" w:rsidP="00A64D1A">
      <w:pPr>
        <w:pStyle w:val="ab"/>
        <w:spacing w:after="0" w:line="240" w:lineRule="auto"/>
        <w:ind w:firstLine="709"/>
        <w:jc w:val="both"/>
        <w:rPr>
          <w:lang w:val="en-US"/>
        </w:rPr>
      </w:pPr>
      <w:r w:rsidRPr="004B4DE2">
        <w:rPr>
          <w:lang w:val="en-US"/>
        </w:rPr>
        <w:t>111.</w:t>
      </w:r>
      <w:r w:rsidRPr="004B4DE2">
        <w:rPr>
          <w:lang w:val="en-US"/>
        </w:rPr>
        <w:tab/>
        <w:t xml:space="preserve">Siomkajło M, Mizera Ł, Szymczak D, Kolačkov K, Grzegrzółka J, Bolanowski M, Daroszewski J. Effect of systemic steroid therapy in Graves’ orbitopathy on regulatory T cells and Th17/Treg ratio. </w:t>
      </w:r>
      <w:r w:rsidRPr="00701FE0">
        <w:rPr>
          <w:lang w:val="en-US"/>
        </w:rPr>
        <w:t xml:space="preserve">J Endocrinol Invest. 2021 Nov;44(11):2475-2484. doi: 10.1007/s40618-021-01565-w. </w:t>
      </w:r>
      <w:r w:rsidRPr="004B4DE2">
        <w:rPr>
          <w:lang w:val="en-US"/>
        </w:rPr>
        <w:t>Epub 2021 Apr 17. PMID: 33866536.</w:t>
      </w:r>
    </w:p>
    <w:p w14:paraId="193C4532" w14:textId="77777777" w:rsidR="004B4DE2" w:rsidRPr="004B4DE2" w:rsidRDefault="004B4DE2" w:rsidP="00A64D1A">
      <w:pPr>
        <w:pStyle w:val="ab"/>
        <w:spacing w:after="0" w:line="240" w:lineRule="auto"/>
        <w:ind w:firstLine="709"/>
        <w:jc w:val="both"/>
        <w:rPr>
          <w:lang w:val="en-US"/>
        </w:rPr>
      </w:pPr>
      <w:r w:rsidRPr="004B4DE2">
        <w:rPr>
          <w:lang w:val="en-US"/>
        </w:rPr>
        <w:t>112.</w:t>
      </w:r>
      <w:r w:rsidRPr="004B4DE2">
        <w:rPr>
          <w:lang w:val="en-US"/>
        </w:rPr>
        <w:tab/>
        <w:t>Dinarello, C.A. Introduction to the interleukin-1 family of cytokines and receptors: Drivers of innate inflammation and acquired immunity. Immunol. Rev. 2018, 281, 5–7. [CrossRef] [PubMed].</w:t>
      </w:r>
    </w:p>
    <w:p w14:paraId="3837511A" w14:textId="77777777" w:rsidR="004B4DE2" w:rsidRPr="004B4DE2" w:rsidRDefault="004B4DE2" w:rsidP="00A64D1A">
      <w:pPr>
        <w:pStyle w:val="ab"/>
        <w:spacing w:after="0" w:line="240" w:lineRule="auto"/>
        <w:ind w:firstLine="709"/>
        <w:jc w:val="both"/>
        <w:rPr>
          <w:lang w:val="en-US"/>
        </w:rPr>
      </w:pPr>
      <w:r w:rsidRPr="004B4DE2">
        <w:rPr>
          <w:lang w:val="en-US"/>
        </w:rPr>
        <w:lastRenderedPageBreak/>
        <w:t>113.</w:t>
      </w:r>
      <w:r w:rsidRPr="004B4DE2">
        <w:rPr>
          <w:lang w:val="en-US"/>
        </w:rPr>
        <w:tab/>
        <w:t xml:space="preserve">Luo, Y.; Zheng, S.G. Hall of Fame among Pro-inflammatory Cytokines: Interleukin-6 Gene and Its Transcriptional Regulation Mechanisms. </w:t>
      </w:r>
      <w:r w:rsidRPr="00701FE0">
        <w:rPr>
          <w:lang w:val="en-US"/>
        </w:rPr>
        <w:t xml:space="preserve">Front. Immunol. 2016, 7, 503. </w:t>
      </w:r>
      <w:r w:rsidRPr="004B4DE2">
        <w:rPr>
          <w:lang w:val="en-US"/>
        </w:rPr>
        <w:t>[CrossRef].</w:t>
      </w:r>
    </w:p>
    <w:p w14:paraId="3D2F264A" w14:textId="77777777" w:rsidR="004B4DE2" w:rsidRPr="004B4DE2" w:rsidRDefault="004B4DE2" w:rsidP="00A64D1A">
      <w:pPr>
        <w:pStyle w:val="ab"/>
        <w:spacing w:after="0" w:line="240" w:lineRule="auto"/>
        <w:ind w:firstLine="709"/>
        <w:jc w:val="both"/>
        <w:rPr>
          <w:lang w:val="en-US"/>
        </w:rPr>
      </w:pPr>
      <w:r w:rsidRPr="004B4DE2">
        <w:rPr>
          <w:lang w:val="en-US"/>
        </w:rPr>
        <w:t>114.</w:t>
      </w:r>
      <w:r w:rsidRPr="004B4DE2">
        <w:rPr>
          <w:lang w:val="en-US"/>
        </w:rPr>
        <w:tab/>
        <w:t>Tan, Z.; Jiang, R.; Wang, X.; Wang, Y.; Lu, L.; Liu, Q.; Ryffel, B. RORgammat+IL-17+ neutrophils play a critical role in hepatic ischemia-reperfusion injury. J. Mol. Cell Biol. 2013, 51, 43–46.</w:t>
      </w:r>
    </w:p>
    <w:p w14:paraId="54DCC889" w14:textId="77777777" w:rsidR="004B4DE2" w:rsidRPr="004B4DE2" w:rsidRDefault="004B4DE2" w:rsidP="00A64D1A">
      <w:pPr>
        <w:pStyle w:val="ab"/>
        <w:spacing w:after="0" w:line="240" w:lineRule="auto"/>
        <w:ind w:firstLine="709"/>
        <w:jc w:val="both"/>
        <w:rPr>
          <w:lang w:val="en-US"/>
        </w:rPr>
      </w:pPr>
      <w:r w:rsidRPr="004B4DE2">
        <w:rPr>
          <w:lang w:val="en-US"/>
        </w:rPr>
        <w:t>115.</w:t>
      </w:r>
      <w:r w:rsidRPr="004B4DE2">
        <w:rPr>
          <w:lang w:val="en-US"/>
        </w:rPr>
        <w:tab/>
        <w:t>Pan, H.F.; Leng, R.X.; Li, X.P.; Zheng, S.G.; Ye, D.Q. Targeting T-helper 9 cells and interleukin-9 in autoimmune diseases. Cytokine Growth Factor Rev. 2013, 245, 15–22. [CrossRef].</w:t>
      </w:r>
    </w:p>
    <w:p w14:paraId="35061FF0" w14:textId="77777777" w:rsidR="004B4DE2" w:rsidRPr="004B4DE2" w:rsidRDefault="004B4DE2" w:rsidP="00A64D1A">
      <w:pPr>
        <w:pStyle w:val="ab"/>
        <w:spacing w:after="0" w:line="240" w:lineRule="auto"/>
        <w:ind w:firstLine="709"/>
        <w:jc w:val="both"/>
        <w:rPr>
          <w:lang w:val="en-US"/>
        </w:rPr>
      </w:pPr>
      <w:r w:rsidRPr="004B4DE2">
        <w:rPr>
          <w:lang w:val="en-US"/>
        </w:rPr>
        <w:t>116.</w:t>
      </w:r>
      <w:r w:rsidRPr="004B4DE2">
        <w:rPr>
          <w:lang w:val="en-US"/>
        </w:rPr>
        <w:tab/>
        <w:t>Bensen, J.T.; Dawson, P.A.; Mychaleckyj, J.C.; Bowden, D.W. Bowden. Identification of a Novel Human Cytokine Gene in the Interleukin Gene Cluster on Chromosome 2q12-14. J. Interferon Cytokine Res. 2001, 218, 99–904.</w:t>
      </w:r>
    </w:p>
    <w:p w14:paraId="470410CE" w14:textId="77777777" w:rsidR="004B4DE2" w:rsidRPr="004B4DE2" w:rsidRDefault="004B4DE2" w:rsidP="00A64D1A">
      <w:pPr>
        <w:pStyle w:val="ab"/>
        <w:spacing w:after="0" w:line="240" w:lineRule="auto"/>
        <w:ind w:firstLine="709"/>
        <w:jc w:val="both"/>
        <w:rPr>
          <w:lang w:val="en-US"/>
        </w:rPr>
      </w:pPr>
      <w:r w:rsidRPr="004B4DE2">
        <w:rPr>
          <w:lang w:val="en-US"/>
        </w:rPr>
        <w:t>117.</w:t>
      </w:r>
      <w:r w:rsidRPr="004B4DE2">
        <w:rPr>
          <w:lang w:val="en-US"/>
        </w:rPr>
        <w:tab/>
        <w:t>Lin, H.; Ho, A.S.; Haley-Vicente, D.; Zhang, J.; Bernal-Fussell, J.; Pace, A.M.; Hansen, D.; Schweighofer, K.; Mize, N.K.; Ford, J.E. Cloning and Characterization of IL-1HY2, a Novel Interleukin-1 Family Member. J. Boil. Chem. 2001, 276, 20597–20602. [CrossRef].</w:t>
      </w:r>
    </w:p>
    <w:p w14:paraId="020587C8" w14:textId="77777777" w:rsidR="004B4DE2" w:rsidRPr="004B4DE2" w:rsidRDefault="004B4DE2" w:rsidP="00A64D1A">
      <w:pPr>
        <w:pStyle w:val="ab"/>
        <w:spacing w:after="0" w:line="240" w:lineRule="auto"/>
        <w:ind w:firstLine="709"/>
        <w:jc w:val="both"/>
        <w:rPr>
          <w:lang w:val="en-US"/>
        </w:rPr>
      </w:pPr>
      <w:r w:rsidRPr="004B4DE2">
        <w:rPr>
          <w:lang w:val="en-US"/>
        </w:rPr>
        <w:t>118.</w:t>
      </w:r>
      <w:r w:rsidRPr="004B4DE2">
        <w:rPr>
          <w:lang w:val="en-US"/>
        </w:rPr>
        <w:tab/>
        <w:t xml:space="preserve">Nicklin, M.J.; Barton, J.L.; Nguyen, M.; Fitzgerald, M.G.; Duff, G.W.; Kornman, K. A Sequence-Based Map of the Nine Genes of the Human Interleukin-1 Cluster. </w:t>
      </w:r>
      <w:r w:rsidRPr="00701FE0">
        <w:rPr>
          <w:lang w:val="en-US"/>
        </w:rPr>
        <w:t xml:space="preserve">Genom. 2002, 79, 718–725. </w:t>
      </w:r>
      <w:r w:rsidRPr="004B4DE2">
        <w:rPr>
          <w:lang w:val="en-US"/>
        </w:rPr>
        <w:t>[CrossRef].</w:t>
      </w:r>
    </w:p>
    <w:p w14:paraId="2936A813" w14:textId="77777777" w:rsidR="004B4DE2" w:rsidRPr="00701FE0" w:rsidRDefault="004B4DE2" w:rsidP="00A64D1A">
      <w:pPr>
        <w:pStyle w:val="ab"/>
        <w:spacing w:after="0" w:line="240" w:lineRule="auto"/>
        <w:ind w:firstLine="709"/>
        <w:jc w:val="both"/>
        <w:rPr>
          <w:lang w:val="en-US"/>
        </w:rPr>
      </w:pPr>
      <w:r w:rsidRPr="004B4DE2">
        <w:rPr>
          <w:lang w:val="en-US"/>
        </w:rPr>
        <w:t>119.</w:t>
      </w:r>
      <w:r w:rsidRPr="004B4DE2">
        <w:rPr>
          <w:lang w:val="en-US"/>
        </w:rPr>
        <w:tab/>
        <w:t xml:space="preserve">Boutet, M.A.; Bart, G.; Penhoat, M.; Amiaud, J.; Brulin, B.; Charrier, C.; Vigne, S. Distinct expression of interleukin (IL)-36alpha, beta and gamma, their antagonist IL-36Ra and IL-38 in psoriasis, rheumatoid arthritis and Crohn’s disease. </w:t>
      </w:r>
      <w:r w:rsidRPr="00701FE0">
        <w:rPr>
          <w:lang w:val="en-US"/>
        </w:rPr>
        <w:t>Clin. Exp. Immunol. 2016, 1841, 59–73.</w:t>
      </w:r>
    </w:p>
    <w:p w14:paraId="30DA9F06" w14:textId="77777777" w:rsidR="004B4DE2" w:rsidRPr="004B4DE2" w:rsidRDefault="004B4DE2" w:rsidP="00A64D1A">
      <w:pPr>
        <w:pStyle w:val="ab"/>
        <w:spacing w:after="0" w:line="240" w:lineRule="auto"/>
        <w:ind w:firstLine="709"/>
        <w:jc w:val="both"/>
        <w:rPr>
          <w:lang w:val="en-US"/>
        </w:rPr>
      </w:pPr>
      <w:r w:rsidRPr="004B4DE2">
        <w:rPr>
          <w:lang w:val="en-US"/>
        </w:rPr>
        <w:t>120.</w:t>
      </w:r>
      <w:r w:rsidRPr="004B4DE2">
        <w:rPr>
          <w:lang w:val="en-US"/>
        </w:rPr>
        <w:tab/>
        <w:t xml:space="preserve">Rudloff, I.; Godsell, J.; Nold-Petry, C.A.; Hoi, A.; Harris, J.; Morand, E.F.; Nold, M.F. Brief Report: Interleukin-38 Exerts Antiinflammatory Functions and Is Associated with Disease Activity in Systemic Lupus Erythematosus. </w:t>
      </w:r>
      <w:r w:rsidRPr="00701FE0">
        <w:rPr>
          <w:lang w:val="en-US"/>
        </w:rPr>
        <w:t xml:space="preserve">Arthritis Rheumatol. 2015, 67, 3219–3225. </w:t>
      </w:r>
      <w:r w:rsidRPr="004B4DE2">
        <w:rPr>
          <w:lang w:val="en-US"/>
        </w:rPr>
        <w:t>[CrossRef].</w:t>
      </w:r>
    </w:p>
    <w:p w14:paraId="4E13638C" w14:textId="77777777" w:rsidR="004B4DE2" w:rsidRPr="004B4DE2" w:rsidRDefault="004B4DE2" w:rsidP="00A64D1A">
      <w:pPr>
        <w:pStyle w:val="ab"/>
        <w:spacing w:after="0" w:line="240" w:lineRule="auto"/>
        <w:ind w:firstLine="709"/>
        <w:jc w:val="both"/>
        <w:rPr>
          <w:lang w:val="en-US"/>
        </w:rPr>
      </w:pPr>
      <w:r w:rsidRPr="004B4DE2">
        <w:rPr>
          <w:lang w:val="en-US"/>
        </w:rPr>
        <w:t>121.</w:t>
      </w:r>
      <w:r w:rsidRPr="004B4DE2">
        <w:rPr>
          <w:lang w:val="en-US"/>
        </w:rPr>
        <w:tab/>
        <w:t>Chou, C.T.; Timms, A.E.; Wei, J.C.; Tsai, W.C.; Wordsworth, B.P.; Brown, M.A. Replication of association of IL1 gene complex members with ankylosing spondylitis in Taiwanese Chinese. Ann. Rheum. Dis. 2006, 651, 106–109. [CrossRef].</w:t>
      </w:r>
    </w:p>
    <w:p w14:paraId="58DEDECE" w14:textId="77777777" w:rsidR="004B4DE2" w:rsidRPr="004B4DE2" w:rsidRDefault="004B4DE2" w:rsidP="00A64D1A">
      <w:pPr>
        <w:pStyle w:val="ab"/>
        <w:spacing w:after="0" w:line="240" w:lineRule="auto"/>
        <w:ind w:firstLine="709"/>
        <w:jc w:val="both"/>
        <w:rPr>
          <w:lang w:val="en-US"/>
        </w:rPr>
      </w:pPr>
      <w:r w:rsidRPr="004B4DE2">
        <w:rPr>
          <w:lang w:val="en-US"/>
        </w:rPr>
        <w:t>122.</w:t>
      </w:r>
      <w:r w:rsidRPr="004B4DE2">
        <w:rPr>
          <w:lang w:val="en-US"/>
        </w:rPr>
        <w:tab/>
        <w:t xml:space="preserve">Guo, Z.S.; Li, C.; Lin, Z.M.; Huang, J.X.; Wei, Q.J.; Wang, X.W.; Xie, Y.Y.; Liao, Z.T.; Chao, S.Y.; Gu, J.R. Association of IL-1 gene complex members with ankylosing spondylitis in Chinese Han population. </w:t>
      </w:r>
      <w:r w:rsidRPr="00701FE0">
        <w:rPr>
          <w:lang w:val="en-US"/>
        </w:rPr>
        <w:t xml:space="preserve">Int. J. Immunogenet. 2010, 37, 33–37. </w:t>
      </w:r>
      <w:r w:rsidRPr="004B4DE2">
        <w:rPr>
          <w:lang w:val="en-US"/>
        </w:rPr>
        <w:t>[CrossRef].</w:t>
      </w:r>
    </w:p>
    <w:p w14:paraId="791662B8" w14:textId="77777777" w:rsidR="004B4DE2" w:rsidRPr="004B4DE2" w:rsidRDefault="004B4DE2" w:rsidP="00A64D1A">
      <w:pPr>
        <w:pStyle w:val="ab"/>
        <w:spacing w:after="0" w:line="240" w:lineRule="auto"/>
        <w:ind w:firstLine="709"/>
        <w:jc w:val="both"/>
        <w:rPr>
          <w:lang w:val="en-US"/>
        </w:rPr>
      </w:pPr>
      <w:r w:rsidRPr="004B4DE2">
        <w:rPr>
          <w:lang w:val="en-US"/>
        </w:rPr>
        <w:t>123.</w:t>
      </w:r>
      <w:r w:rsidRPr="004B4DE2">
        <w:rPr>
          <w:lang w:val="en-US"/>
        </w:rPr>
        <w:tab/>
        <w:t xml:space="preserve">Shi L, Ye H, Huang J, Li Y, Wang X, Xu Z, Chen J, Xiao W, Chen R, Yang H. IL-38 Exerts Anti-Inflammatory and Antifibrotic Effects in Thyroid-Associated Ophthalmopathy. </w:t>
      </w:r>
      <w:r w:rsidRPr="00701FE0">
        <w:rPr>
          <w:lang w:val="en-US"/>
        </w:rPr>
        <w:t xml:space="preserve">J Clin Endocrinol Metab. 2021 Jul 13;106(8):e3125-e3142. doi: 10.1210/clinem/dgab154. </w:t>
      </w:r>
      <w:r w:rsidRPr="004B4DE2">
        <w:rPr>
          <w:lang w:val="en-US"/>
        </w:rPr>
        <w:t>PMID: 33693700.</w:t>
      </w:r>
    </w:p>
    <w:p w14:paraId="6AD61D89" w14:textId="77777777" w:rsidR="004B4DE2" w:rsidRPr="004B4DE2" w:rsidRDefault="004B4DE2" w:rsidP="00A64D1A">
      <w:pPr>
        <w:pStyle w:val="ab"/>
        <w:spacing w:after="0" w:line="240" w:lineRule="auto"/>
        <w:ind w:firstLine="709"/>
        <w:jc w:val="both"/>
        <w:rPr>
          <w:lang w:val="en-US"/>
        </w:rPr>
      </w:pPr>
      <w:r w:rsidRPr="004B4DE2">
        <w:rPr>
          <w:lang w:val="en-US"/>
        </w:rPr>
        <w:t>124.</w:t>
      </w:r>
      <w:r w:rsidRPr="004B4DE2">
        <w:rPr>
          <w:lang w:val="en-US"/>
        </w:rPr>
        <w:tab/>
        <w:t>Boraschi D, Tagliabue A. The interleukin-1 receptor family. Semin Immunol. 2013 Dec 15;25(6):394-407. doi: 10.1016/j.smim.2013.10.023. Epub 2013 Nov 15. PMID: 24246227.</w:t>
      </w:r>
    </w:p>
    <w:p w14:paraId="3337F1CE" w14:textId="77777777" w:rsidR="004B4DE2" w:rsidRPr="004B4DE2" w:rsidRDefault="004B4DE2" w:rsidP="00A64D1A">
      <w:pPr>
        <w:pStyle w:val="ab"/>
        <w:spacing w:after="0" w:line="240" w:lineRule="auto"/>
        <w:ind w:firstLine="709"/>
        <w:jc w:val="both"/>
        <w:rPr>
          <w:lang w:val="en-US"/>
        </w:rPr>
      </w:pPr>
      <w:r w:rsidRPr="004B4DE2">
        <w:rPr>
          <w:lang w:val="en-US"/>
        </w:rPr>
        <w:lastRenderedPageBreak/>
        <w:t>125.</w:t>
      </w:r>
      <w:r w:rsidRPr="004B4DE2">
        <w:rPr>
          <w:lang w:val="en-US"/>
        </w:rPr>
        <w:tab/>
        <w:t xml:space="preserve">Garlanda C, Dinarello CA, Mantovani A. The interleukin-1 family: back to the future. </w:t>
      </w:r>
      <w:r w:rsidRPr="00701FE0">
        <w:rPr>
          <w:lang w:val="en-US"/>
        </w:rPr>
        <w:t xml:space="preserve">Immunity. 2013 Dec 12;39(6):1003-18. doi: 10.1016/j.immuni.2013.11.010. </w:t>
      </w:r>
      <w:r w:rsidRPr="004B4DE2">
        <w:rPr>
          <w:lang w:val="en-US"/>
        </w:rPr>
        <w:t>PMID: 24332029; PMCID: PMC3933951.</w:t>
      </w:r>
    </w:p>
    <w:p w14:paraId="04442802" w14:textId="77777777" w:rsidR="004B4DE2" w:rsidRPr="004B4DE2" w:rsidRDefault="004B4DE2" w:rsidP="00A64D1A">
      <w:pPr>
        <w:pStyle w:val="ab"/>
        <w:spacing w:after="0" w:line="240" w:lineRule="auto"/>
        <w:ind w:firstLine="709"/>
        <w:jc w:val="both"/>
        <w:rPr>
          <w:lang w:val="en-US"/>
        </w:rPr>
      </w:pPr>
      <w:r w:rsidRPr="004B4DE2">
        <w:rPr>
          <w:lang w:val="en-US"/>
        </w:rPr>
        <w:t>126.</w:t>
      </w:r>
      <w:r w:rsidRPr="004B4DE2">
        <w:rPr>
          <w:lang w:val="en-US"/>
        </w:rPr>
        <w:tab/>
        <w:t xml:space="preserve">Diaz-Barreiro A, Talabot-Ayer D, Huard A, Cereghetti G, Tonacini J, Maillasson M, Francés-Monerris A, Mortier E, Palmer G. Full-length and N-terminally truncated recombinant interleukin-38 variants are similarly inefficient in antagonizing interleukin-36 and interleukin-1 receptors. </w:t>
      </w:r>
      <w:r w:rsidRPr="00701FE0">
        <w:rPr>
          <w:lang w:val="en-US"/>
        </w:rPr>
        <w:t xml:space="preserve">Cell Commun Signal. 2025 Jan 20;23(1):34. doi: 10.1186/s12964-025-02035-z. </w:t>
      </w:r>
      <w:r w:rsidRPr="004B4DE2">
        <w:rPr>
          <w:lang w:val="en-US"/>
        </w:rPr>
        <w:t>PMID: 39833821; PMCID: PMC11744908.</w:t>
      </w:r>
    </w:p>
    <w:p w14:paraId="45BF82BC" w14:textId="77777777" w:rsidR="004B4DE2" w:rsidRPr="004B4DE2" w:rsidRDefault="004B4DE2" w:rsidP="00A64D1A">
      <w:pPr>
        <w:pStyle w:val="ab"/>
        <w:spacing w:after="0" w:line="240" w:lineRule="auto"/>
        <w:ind w:firstLine="709"/>
        <w:jc w:val="both"/>
        <w:rPr>
          <w:lang w:val="en-US"/>
        </w:rPr>
      </w:pPr>
      <w:r w:rsidRPr="004B4DE2">
        <w:rPr>
          <w:lang w:val="en-US"/>
        </w:rPr>
        <w:t>127.</w:t>
      </w:r>
      <w:r w:rsidRPr="004B4DE2">
        <w:rPr>
          <w:lang w:val="en-US"/>
        </w:rPr>
        <w:tab/>
        <w:t xml:space="preserve">Mutamba S, Allison A, Mahida Y, Barrow P, Foster N. Expression of IL-1Rrp2 by human myelomonocytic cells is unique to DCs and facilitates DC maturation by IL-1F8 and IL-1F9. </w:t>
      </w:r>
      <w:r w:rsidRPr="00701FE0">
        <w:rPr>
          <w:lang w:val="en-US"/>
        </w:rPr>
        <w:t xml:space="preserve">Eur J Immunol. 2012 Mar;42(3):607-17. doi: 10.1002/eji.201142035. </w:t>
      </w:r>
      <w:r w:rsidRPr="004B4DE2">
        <w:rPr>
          <w:lang w:val="en-US"/>
        </w:rPr>
        <w:t>PMID: 22144259.</w:t>
      </w:r>
    </w:p>
    <w:p w14:paraId="5F072E00" w14:textId="77777777" w:rsidR="004B4DE2" w:rsidRPr="004B4DE2" w:rsidRDefault="004B4DE2" w:rsidP="00A64D1A">
      <w:pPr>
        <w:pStyle w:val="ab"/>
        <w:spacing w:after="0" w:line="240" w:lineRule="auto"/>
        <w:ind w:firstLine="709"/>
        <w:jc w:val="both"/>
        <w:rPr>
          <w:lang w:val="en-US"/>
        </w:rPr>
      </w:pPr>
      <w:r w:rsidRPr="004B4DE2">
        <w:rPr>
          <w:lang w:val="en-US"/>
        </w:rPr>
        <w:t>128.</w:t>
      </w:r>
      <w:r w:rsidRPr="004B4DE2">
        <w:rPr>
          <w:lang w:val="en-US"/>
        </w:rPr>
        <w:tab/>
        <w:t xml:space="preserve">Vigne S, Palmer G, Lamacchia C, Martin P, Talabot-Ayer D, Rodriguez E, Ronchi F, Sallusto F, Dinh H, Sims JE, Gabay C. IL-36R ligands are potent regulators of dendritic and T cells. </w:t>
      </w:r>
      <w:r w:rsidRPr="00701FE0">
        <w:rPr>
          <w:lang w:val="en-US"/>
        </w:rPr>
        <w:t xml:space="preserve">Blood. 2011 Nov 24;118(22):5813-23. doi: 10.1182/blood-2011-05-356873. </w:t>
      </w:r>
      <w:r w:rsidRPr="004B4DE2">
        <w:rPr>
          <w:lang w:val="en-US"/>
        </w:rPr>
        <w:t>Epub 2011 Aug 22. PMID: 21860022.</w:t>
      </w:r>
    </w:p>
    <w:p w14:paraId="317CAFAF" w14:textId="77777777" w:rsidR="004B4DE2" w:rsidRPr="004B4DE2" w:rsidRDefault="004B4DE2" w:rsidP="00A64D1A">
      <w:pPr>
        <w:pStyle w:val="ab"/>
        <w:spacing w:after="0" w:line="240" w:lineRule="auto"/>
        <w:ind w:firstLine="709"/>
        <w:jc w:val="both"/>
        <w:rPr>
          <w:lang w:val="en-US"/>
        </w:rPr>
      </w:pPr>
      <w:r w:rsidRPr="004B4DE2">
        <w:rPr>
          <w:lang w:val="en-US"/>
        </w:rPr>
        <w:t>129.</w:t>
      </w:r>
      <w:r w:rsidRPr="004B4DE2">
        <w:rPr>
          <w:lang w:val="en-US"/>
        </w:rPr>
        <w:tab/>
        <w:t>Towne JE, Renshaw BR, Douangpanya J, Lipsky BP, Shen M, Gabel CA, Sims JE. Interleukin-36 (IL-36) ligands require processing for full agonist (IL-36</w:t>
      </w:r>
      <w:r>
        <w:t>α</w:t>
      </w:r>
      <w:r w:rsidRPr="004B4DE2">
        <w:rPr>
          <w:lang w:val="en-US"/>
        </w:rPr>
        <w:t>, IL-36</w:t>
      </w:r>
      <w:r>
        <w:t>β</w:t>
      </w:r>
      <w:r w:rsidRPr="004B4DE2">
        <w:rPr>
          <w:lang w:val="en-US"/>
        </w:rPr>
        <w:t>, and IL-36</w:t>
      </w:r>
      <w:r>
        <w:t>γ</w:t>
      </w:r>
      <w:r w:rsidRPr="004B4DE2">
        <w:rPr>
          <w:lang w:val="en-US"/>
        </w:rPr>
        <w:t>) or antagonist (IL-36Ra) activity. J Biol Chem. 2011 Dec 9;286(49):42594-42602. doi: 10.1074/jbc.M111.267922. Epub 2011 Sep 29. PMID: 21965679; PMCID: PMC3234937.</w:t>
      </w:r>
    </w:p>
    <w:p w14:paraId="176CA5D1" w14:textId="77777777" w:rsidR="004B4DE2" w:rsidRDefault="004B4DE2" w:rsidP="00A64D1A">
      <w:pPr>
        <w:pStyle w:val="ab"/>
        <w:spacing w:after="0" w:line="240" w:lineRule="auto"/>
        <w:ind w:firstLine="709"/>
        <w:jc w:val="both"/>
      </w:pPr>
      <w:r w:rsidRPr="004B4DE2">
        <w:rPr>
          <w:lang w:val="en-US"/>
        </w:rPr>
        <w:t>130.</w:t>
      </w:r>
      <w:r w:rsidRPr="004B4DE2">
        <w:rPr>
          <w:lang w:val="en-US"/>
        </w:rPr>
        <w:tab/>
        <w:t xml:space="preserve">Nishida A, Hidaka K, Kanda T, Imaeda H, Shioya M, Inatomi O, Bamba S, Kitoh K, Sugimoto M, Andoh A. Increased Expression of Interleukin-36, a Member of the Interleukin-1 Cytokine Family, in Inflammatory Bowel Disease. </w:t>
      </w:r>
      <w:r>
        <w:t>Inflamm Bowel Dis. 2016 Feb;22(2):303-14. doi: 10.1097/MIB.0000000000000654. PMID: 26752465.</w:t>
      </w:r>
    </w:p>
    <w:p w14:paraId="3E220337" w14:textId="77777777" w:rsidR="004B4DE2" w:rsidRPr="00701FE0" w:rsidRDefault="004B4DE2" w:rsidP="00A64D1A">
      <w:pPr>
        <w:pStyle w:val="ab"/>
        <w:spacing w:after="0" w:line="240" w:lineRule="auto"/>
        <w:ind w:firstLine="709"/>
        <w:jc w:val="both"/>
        <w:rPr>
          <w:lang w:val="en-US"/>
        </w:rPr>
      </w:pPr>
      <w:r>
        <w:t>131.</w:t>
      </w:r>
      <w:r>
        <w:tab/>
        <w:t>Трошина Е.А., Сенюшкина Е.С. Вклад центральных регуляторов иммунного ответа в развитие заболеваний щитовидной железы. Проблемы</w:t>
      </w:r>
      <w:r w:rsidRPr="00701FE0">
        <w:rPr>
          <w:lang w:val="en-US"/>
        </w:rPr>
        <w:t xml:space="preserve"> </w:t>
      </w:r>
      <w:r>
        <w:t>Эндокринологии</w:t>
      </w:r>
      <w:r w:rsidRPr="00701FE0">
        <w:rPr>
          <w:lang w:val="en-US"/>
        </w:rPr>
        <w:t>. 2019;65(6):458-465. https://doi.org/10.14341/probl10304.</w:t>
      </w:r>
    </w:p>
    <w:p w14:paraId="39E228FA" w14:textId="77777777" w:rsidR="004B4DE2" w:rsidRPr="004B4DE2" w:rsidRDefault="004B4DE2" w:rsidP="00A64D1A">
      <w:pPr>
        <w:pStyle w:val="ab"/>
        <w:spacing w:after="0" w:line="240" w:lineRule="auto"/>
        <w:ind w:firstLine="709"/>
        <w:jc w:val="both"/>
        <w:rPr>
          <w:lang w:val="en-US"/>
        </w:rPr>
      </w:pPr>
      <w:r w:rsidRPr="004B4DE2">
        <w:rPr>
          <w:lang w:val="en-US"/>
        </w:rPr>
        <w:t>132.</w:t>
      </w:r>
      <w:r w:rsidRPr="004B4DE2">
        <w:rPr>
          <w:lang w:val="en-US"/>
        </w:rPr>
        <w:tab/>
        <w:t xml:space="preserve">Chi HH, Hua KF, Lin YC, Chu CL, Hsieh CY, Hsu YJ, Ka SM, Tsai YL, Liu FC, Chen A. IL-36 Signaling Facilitates Activation of the NLRP3 Inflammasome and IL-23/IL-17 Axis in Renal Inflammation and Fibrosis. </w:t>
      </w:r>
      <w:r w:rsidRPr="00701FE0">
        <w:rPr>
          <w:lang w:val="en-US"/>
        </w:rPr>
        <w:t xml:space="preserve">J Am Soc Nephrol. 2017 Jul;28(7):2022-2037. doi: 10.1681/ASN.2016080840. </w:t>
      </w:r>
      <w:r w:rsidRPr="004B4DE2">
        <w:rPr>
          <w:lang w:val="en-US"/>
        </w:rPr>
        <w:t>Epub 2017 Feb 8. PMID: 28179433; PMCID: PMC5491282.</w:t>
      </w:r>
    </w:p>
    <w:p w14:paraId="344ACA0D" w14:textId="77777777" w:rsidR="004B4DE2" w:rsidRPr="004B4DE2" w:rsidRDefault="004B4DE2" w:rsidP="00A64D1A">
      <w:pPr>
        <w:pStyle w:val="ab"/>
        <w:spacing w:after="0" w:line="240" w:lineRule="auto"/>
        <w:ind w:firstLine="709"/>
        <w:jc w:val="both"/>
        <w:rPr>
          <w:lang w:val="en-US"/>
        </w:rPr>
      </w:pPr>
      <w:r w:rsidRPr="004B4DE2">
        <w:rPr>
          <w:lang w:val="en-US"/>
        </w:rPr>
        <w:t>133.</w:t>
      </w:r>
      <w:r w:rsidRPr="004B4DE2">
        <w:rPr>
          <w:lang w:val="en-US"/>
        </w:rPr>
        <w:tab/>
        <w:t xml:space="preserve">Riva F, Bonavita E, Barbati E, Muzio M, Mantovani A, Garlanda C. TIR8/SIGIRR is an Interleukin-1 Receptor/Toll Like Receptor Family Member with Regulatory Functions in Inflammation and Immunity. </w:t>
      </w:r>
      <w:r w:rsidRPr="00701FE0">
        <w:rPr>
          <w:lang w:val="en-US"/>
        </w:rPr>
        <w:t xml:space="preserve">Front Immunol. 2012 Oct 29;3:322. doi: 10.3389/fimmu.2012.00322. </w:t>
      </w:r>
      <w:r w:rsidRPr="004B4DE2">
        <w:rPr>
          <w:lang w:val="en-US"/>
        </w:rPr>
        <w:t>PMID: 23112799; PMCID: PMC3482685.</w:t>
      </w:r>
    </w:p>
    <w:p w14:paraId="34361649" w14:textId="77777777" w:rsidR="004B4DE2" w:rsidRPr="004B4DE2" w:rsidRDefault="004B4DE2" w:rsidP="00A64D1A">
      <w:pPr>
        <w:pStyle w:val="ab"/>
        <w:spacing w:after="0" w:line="240" w:lineRule="auto"/>
        <w:ind w:firstLine="709"/>
        <w:jc w:val="both"/>
        <w:rPr>
          <w:lang w:val="en-US"/>
        </w:rPr>
      </w:pPr>
      <w:r w:rsidRPr="004B4DE2">
        <w:rPr>
          <w:lang w:val="en-US"/>
        </w:rPr>
        <w:t>134.</w:t>
      </w:r>
      <w:r w:rsidRPr="004B4DE2">
        <w:rPr>
          <w:lang w:val="en-US"/>
        </w:rPr>
        <w:tab/>
        <w:t xml:space="preserve">Takeuchi Y, Seki T, Kobayashi N, Sano K, Shigemura T, Shimojo H, Matsumoto K, Agematsu K. Analysis of serum IL-38 in juvenile-onset systemic lupus erythematosus. </w:t>
      </w:r>
      <w:r w:rsidRPr="00701FE0">
        <w:rPr>
          <w:lang w:val="en-US"/>
        </w:rPr>
        <w:t xml:space="preserve">Mod Rheumatol. 2018 Nov;28(6):1069-1072. doi: 10.1080/14397595.2018.1436118. </w:t>
      </w:r>
      <w:r w:rsidRPr="004B4DE2">
        <w:rPr>
          <w:lang w:val="en-US"/>
        </w:rPr>
        <w:t>Epub 2018 Feb 23. PMID: 29385862.</w:t>
      </w:r>
    </w:p>
    <w:p w14:paraId="1A01C5E3" w14:textId="77777777" w:rsidR="004B4DE2" w:rsidRPr="004B4DE2" w:rsidRDefault="004B4DE2" w:rsidP="00A64D1A">
      <w:pPr>
        <w:pStyle w:val="ab"/>
        <w:spacing w:after="0" w:line="240" w:lineRule="auto"/>
        <w:ind w:firstLine="709"/>
        <w:jc w:val="both"/>
        <w:rPr>
          <w:lang w:val="en-US"/>
        </w:rPr>
      </w:pPr>
      <w:r w:rsidRPr="004B4DE2">
        <w:rPr>
          <w:lang w:val="en-US"/>
        </w:rPr>
        <w:lastRenderedPageBreak/>
        <w:t>135.</w:t>
      </w:r>
      <w:r w:rsidRPr="004B4DE2">
        <w:rPr>
          <w:lang w:val="en-US"/>
        </w:rPr>
        <w:tab/>
        <w:t>Garraud T, Harel M, Boutet MA, Le Goff B, Blanchard F. The enigmatic role of IL-38 in inflammatory diseases. Cytokine Growth Factor Rev. 2018 Feb;39:26-35. doi: 10.1016/j.cytogfr.2018.01.001. Epub 2018 Jan 12. PMID: 29366546.</w:t>
      </w:r>
    </w:p>
    <w:p w14:paraId="5111675C" w14:textId="77777777" w:rsidR="004B4DE2" w:rsidRPr="00701FE0" w:rsidRDefault="004B4DE2" w:rsidP="00A64D1A">
      <w:pPr>
        <w:pStyle w:val="ab"/>
        <w:spacing w:after="0" w:line="240" w:lineRule="auto"/>
        <w:ind w:firstLine="709"/>
        <w:jc w:val="both"/>
        <w:rPr>
          <w:lang w:val="en-US"/>
        </w:rPr>
      </w:pPr>
      <w:r w:rsidRPr="004B4DE2">
        <w:rPr>
          <w:lang w:val="en-US"/>
        </w:rPr>
        <w:t>136.</w:t>
      </w:r>
      <w:r w:rsidRPr="004B4DE2">
        <w:rPr>
          <w:lang w:val="en-US"/>
        </w:rPr>
        <w:tab/>
        <w:t xml:space="preserve">Li J., Liu L., Rui W., Li X., Xuan D., Zheng S., Yu Y., Zhang J., Kong N., Zhu X., et al. New Interleukins in Psoriasis and Psoriatic Arthritis Patients: The Possible Roles of Interleukin-33 to Interleukin-38 in Disease Activities and Bone Erosions. </w:t>
      </w:r>
      <w:r w:rsidRPr="00701FE0">
        <w:rPr>
          <w:lang w:val="en-US"/>
        </w:rPr>
        <w:t>Dermatology. 2017;233:37–46. doi: 10.1159/000471798.</w:t>
      </w:r>
    </w:p>
    <w:p w14:paraId="23B722B8" w14:textId="77777777" w:rsidR="004B4DE2" w:rsidRPr="00701FE0" w:rsidRDefault="004B4DE2" w:rsidP="00A64D1A">
      <w:pPr>
        <w:pStyle w:val="ab"/>
        <w:spacing w:after="0" w:line="240" w:lineRule="auto"/>
        <w:ind w:firstLine="709"/>
        <w:jc w:val="both"/>
        <w:rPr>
          <w:lang w:val="en-US"/>
        </w:rPr>
      </w:pPr>
      <w:r w:rsidRPr="004B4DE2">
        <w:rPr>
          <w:lang w:val="en-US"/>
        </w:rPr>
        <w:t>137.</w:t>
      </w:r>
      <w:r w:rsidRPr="004B4DE2">
        <w:rPr>
          <w:lang w:val="en-US"/>
        </w:rPr>
        <w:tab/>
        <w:t xml:space="preserve">Ciccia F., Accardo-Palumbo A., Alessandro R., Alessandri C., Priori R., Guggino G., Raimondo S., Carubbi F., Valesini G., Giacomelli R., et al. </w:t>
      </w:r>
      <w:r w:rsidRPr="00701FE0">
        <w:rPr>
          <w:lang w:val="en-US"/>
        </w:rPr>
        <w:t>Interleukin-36</w:t>
      </w:r>
      <w:r>
        <w:t>α</w:t>
      </w:r>
      <w:r w:rsidRPr="00701FE0">
        <w:rPr>
          <w:lang w:val="en-US"/>
        </w:rPr>
        <w:t xml:space="preserve"> axis is modulated in patients with primary Sjögren’s syndrome. Clin. Exp. Immunol. 2015;181:230–238. doi: 10.1111/cei.12644.</w:t>
      </w:r>
    </w:p>
    <w:p w14:paraId="43BBAEB5" w14:textId="77777777" w:rsidR="004B4DE2" w:rsidRPr="00701FE0" w:rsidRDefault="004B4DE2" w:rsidP="00A64D1A">
      <w:pPr>
        <w:pStyle w:val="ab"/>
        <w:spacing w:after="0" w:line="240" w:lineRule="auto"/>
        <w:ind w:firstLine="709"/>
        <w:jc w:val="both"/>
        <w:rPr>
          <w:lang w:val="en-US"/>
        </w:rPr>
      </w:pPr>
      <w:r w:rsidRPr="004B4DE2">
        <w:rPr>
          <w:lang w:val="en-US"/>
        </w:rPr>
        <w:t>138.</w:t>
      </w:r>
      <w:r w:rsidRPr="004B4DE2">
        <w:rPr>
          <w:lang w:val="en-US"/>
        </w:rPr>
        <w:tab/>
        <w:t xml:space="preserve">Chu M., Chu I.M., Yung E.C., Lam C.W., Leung T.F., Wong G.W., Wong C.K. Aberrant Expression of Novel Cytokine IL-38 and Regulatory T Lymphocytes in Childhood Asthma. </w:t>
      </w:r>
      <w:r w:rsidRPr="00701FE0">
        <w:rPr>
          <w:lang w:val="en-US"/>
        </w:rPr>
        <w:t>Molecules. 2016;21:933. doi: 10.3390/molecules21070933.</w:t>
      </w:r>
    </w:p>
    <w:p w14:paraId="122A22A2" w14:textId="77777777" w:rsidR="004B4DE2" w:rsidRPr="004B4DE2" w:rsidRDefault="004B4DE2" w:rsidP="00A64D1A">
      <w:pPr>
        <w:pStyle w:val="ab"/>
        <w:spacing w:after="0" w:line="240" w:lineRule="auto"/>
        <w:ind w:firstLine="709"/>
        <w:jc w:val="both"/>
        <w:rPr>
          <w:lang w:val="en-US"/>
        </w:rPr>
      </w:pPr>
      <w:r w:rsidRPr="004B4DE2">
        <w:rPr>
          <w:lang w:val="en-US"/>
        </w:rPr>
        <w:t>139.</w:t>
      </w:r>
      <w:r w:rsidRPr="004B4DE2">
        <w:rPr>
          <w:lang w:val="en-US"/>
        </w:rPr>
        <w:tab/>
        <w:t>Zhang J., Zhao R., Chen J., Jin J., Yu Y., Tian Y., Li W., Wang W., Zhou H., Su S.B. The Effect of Interleukin 38 on Angiogenesis in a Model of Oxygen-induced Retinopathy. Sci. Rep. 2017;7:2756. doi: 10.1038/s41598-017-03079-z.</w:t>
      </w:r>
    </w:p>
    <w:p w14:paraId="757F6243" w14:textId="77777777" w:rsidR="004B4DE2" w:rsidRPr="004B4DE2" w:rsidRDefault="004B4DE2" w:rsidP="00A64D1A">
      <w:pPr>
        <w:pStyle w:val="ab"/>
        <w:spacing w:after="0" w:line="240" w:lineRule="auto"/>
        <w:ind w:firstLine="709"/>
        <w:jc w:val="both"/>
        <w:rPr>
          <w:lang w:val="en-US"/>
        </w:rPr>
      </w:pPr>
      <w:r w:rsidRPr="004B4DE2">
        <w:rPr>
          <w:lang w:val="en-US"/>
        </w:rPr>
        <w:t>140.</w:t>
      </w:r>
      <w:r w:rsidRPr="004B4DE2">
        <w:rPr>
          <w:lang w:val="en-US"/>
        </w:rPr>
        <w:tab/>
        <w:t>Wang H.-J., Jiang Y.-F., Wang X.-R., Zhang M.-L., Gao P.-J. Elevated serum interleukin-38 level at baseline predicts virological response in telbivudine-treated patients with chronic hepatitis B. World J. Gastroenterol. 2016;22:4529–4537. doi: 10.3748/wjg.v22.i18.4529.</w:t>
      </w:r>
    </w:p>
    <w:p w14:paraId="32E99422" w14:textId="77777777" w:rsidR="004B4DE2" w:rsidRPr="004B4DE2" w:rsidRDefault="004B4DE2" w:rsidP="00A64D1A">
      <w:pPr>
        <w:pStyle w:val="ab"/>
        <w:spacing w:after="0" w:line="240" w:lineRule="auto"/>
        <w:ind w:firstLine="709"/>
        <w:jc w:val="both"/>
        <w:rPr>
          <w:lang w:val="en-US"/>
        </w:rPr>
      </w:pPr>
      <w:r w:rsidRPr="004B4DE2">
        <w:rPr>
          <w:lang w:val="en-US"/>
        </w:rPr>
        <w:t>141.</w:t>
      </w:r>
      <w:r w:rsidRPr="004B4DE2">
        <w:rPr>
          <w:lang w:val="en-US"/>
        </w:rPr>
        <w:tab/>
        <w:t xml:space="preserve">Takada K., Okamoto T., Tominaga M., Teraishi K., Akamine T., Takamori S., Katsura M., Toyokawa G., Shoji F., Okamoto M., et al. </w:t>
      </w:r>
      <w:r w:rsidRPr="00701FE0">
        <w:rPr>
          <w:lang w:val="en-US"/>
        </w:rPr>
        <w:t xml:space="preserve">Clinical implications of the novel cytokine IL-38 expressed in lung adenocarcinoma: Possible association with PD-L1 expression. </w:t>
      </w:r>
      <w:r w:rsidRPr="004B4DE2">
        <w:rPr>
          <w:lang w:val="en-US"/>
        </w:rPr>
        <w:t>PLoS ONE. 2017;12:e0181598. doi: 10.1371/journal.pone.0181598.</w:t>
      </w:r>
    </w:p>
    <w:p w14:paraId="45E4B67E" w14:textId="77777777" w:rsidR="004B4DE2" w:rsidRPr="00701FE0" w:rsidRDefault="004B4DE2" w:rsidP="00A64D1A">
      <w:pPr>
        <w:pStyle w:val="ab"/>
        <w:spacing w:after="0" w:line="240" w:lineRule="auto"/>
        <w:ind w:firstLine="709"/>
        <w:jc w:val="both"/>
        <w:rPr>
          <w:lang w:val="en-US"/>
        </w:rPr>
      </w:pPr>
      <w:r w:rsidRPr="004B4DE2">
        <w:rPr>
          <w:lang w:val="en-US"/>
        </w:rPr>
        <w:t>142.</w:t>
      </w:r>
      <w:r w:rsidRPr="004B4DE2">
        <w:rPr>
          <w:lang w:val="en-US"/>
        </w:rPr>
        <w:tab/>
        <w:t xml:space="preserve">Zhong Y., Yu K., Wang X., Wang X., Ji Q., Zeng Q. Elevated Plasma IL-38 Concentrations in Patients with Acute ST-Segment Elevation Myocardial Infarction and Their Dynamics after Reperfusion Treatment. </w:t>
      </w:r>
      <w:r w:rsidRPr="00701FE0">
        <w:rPr>
          <w:lang w:val="en-US"/>
        </w:rPr>
        <w:t>Mediat. Inflamm. 2015;2015:1–10. doi: 10.1155/2015/490120.</w:t>
      </w:r>
    </w:p>
    <w:p w14:paraId="7239C6F4" w14:textId="77777777" w:rsidR="004B4DE2" w:rsidRPr="004B4DE2" w:rsidRDefault="004B4DE2" w:rsidP="00A64D1A">
      <w:pPr>
        <w:pStyle w:val="ab"/>
        <w:spacing w:after="0" w:line="240" w:lineRule="auto"/>
        <w:ind w:firstLine="709"/>
        <w:jc w:val="both"/>
        <w:rPr>
          <w:lang w:val="en-US"/>
        </w:rPr>
      </w:pPr>
      <w:r w:rsidRPr="004B4DE2">
        <w:rPr>
          <w:lang w:val="en-US"/>
        </w:rPr>
        <w:t>143.</w:t>
      </w:r>
      <w:r w:rsidRPr="004B4DE2">
        <w:rPr>
          <w:lang w:val="en-US"/>
        </w:rPr>
        <w:tab/>
        <w:t>Palomo J., Troccaz S., Talabot-Ayer D., Rodriguez E., Palmer G. The severity of imiquimod-induced mouse skin inflammation is independent of endogenous IL-38 expression. PLoS ONE. 2018;13:e0194667. doi: 10.1371/journal.pone.0194667.</w:t>
      </w:r>
    </w:p>
    <w:p w14:paraId="2D926DE9" w14:textId="77777777" w:rsidR="004B4DE2" w:rsidRPr="004B4DE2" w:rsidRDefault="004B4DE2" w:rsidP="00A64D1A">
      <w:pPr>
        <w:pStyle w:val="ab"/>
        <w:spacing w:after="0" w:line="240" w:lineRule="auto"/>
        <w:ind w:firstLine="709"/>
        <w:jc w:val="both"/>
        <w:rPr>
          <w:lang w:val="en-US"/>
        </w:rPr>
      </w:pPr>
      <w:r w:rsidRPr="004B4DE2">
        <w:rPr>
          <w:lang w:val="en-US"/>
        </w:rPr>
        <w:t>144.</w:t>
      </w:r>
      <w:r w:rsidRPr="004B4DE2">
        <w:rPr>
          <w:lang w:val="en-US"/>
        </w:rPr>
        <w:tab/>
        <w:t>Derer A., Groetsch B., Harre U., Bohm C., Towne J., Schett G., Frey S., Hueber A.J. Blockade of IL-36 Receptor Signaling Does Not Prevent from TNF-Induced Arthritis. PLoS ONE. 2014;9:101954. doi: 10.1371/journal.pone.0101954.</w:t>
      </w:r>
    </w:p>
    <w:p w14:paraId="658F5371" w14:textId="77777777" w:rsidR="004B4DE2" w:rsidRPr="004B4DE2" w:rsidRDefault="004B4DE2" w:rsidP="00A64D1A">
      <w:pPr>
        <w:pStyle w:val="ab"/>
        <w:spacing w:after="0" w:line="240" w:lineRule="auto"/>
        <w:ind w:firstLine="709"/>
        <w:jc w:val="both"/>
        <w:rPr>
          <w:lang w:val="en-US"/>
        </w:rPr>
      </w:pPr>
      <w:r w:rsidRPr="004B4DE2">
        <w:rPr>
          <w:lang w:val="en-US"/>
        </w:rPr>
        <w:t>145.</w:t>
      </w:r>
      <w:r w:rsidRPr="004B4DE2">
        <w:rPr>
          <w:lang w:val="en-US"/>
        </w:rPr>
        <w:tab/>
        <w:t>Lamacchia C., Palmer G., Rodriguez E., Martin P., Vigne S., Seemayer C.A., Talabot-Ayer D., E Towne J., Gabay C. The severity of experimental arthritis is independent of IL-36 receptor signaling. Arthritis Res. Ther. 2013;15:R38. doi: 10.1186/ar4192.</w:t>
      </w:r>
    </w:p>
    <w:p w14:paraId="4681010C" w14:textId="77777777" w:rsidR="004B4DE2" w:rsidRPr="00701FE0" w:rsidRDefault="004B4DE2" w:rsidP="00A64D1A">
      <w:pPr>
        <w:pStyle w:val="ab"/>
        <w:spacing w:after="0" w:line="240" w:lineRule="auto"/>
        <w:ind w:firstLine="709"/>
        <w:jc w:val="both"/>
        <w:rPr>
          <w:lang w:val="en-US"/>
        </w:rPr>
      </w:pPr>
      <w:r w:rsidRPr="004B4DE2">
        <w:rPr>
          <w:lang w:val="en-US"/>
        </w:rPr>
        <w:lastRenderedPageBreak/>
        <w:t>146.</w:t>
      </w:r>
      <w:r w:rsidRPr="004B4DE2">
        <w:rPr>
          <w:lang w:val="en-US"/>
        </w:rPr>
        <w:tab/>
        <w:t xml:space="preserve">Carrié A., Jun L., Bienvenu T., Vinet M.-C., McDonell N., Couvert P., Zemni R., Cardona A., Van Buggenhout G., Frints S., et al. A new member of the IL-1 receptor family highly expressed in hippocampus and involved in X-linked mental retardation. </w:t>
      </w:r>
      <w:r w:rsidRPr="00701FE0">
        <w:rPr>
          <w:lang w:val="en-US"/>
        </w:rPr>
        <w:t>Nat. Genet. 1999;23:25–31. doi: 10.1038/12623.</w:t>
      </w:r>
    </w:p>
    <w:p w14:paraId="5E1211E2" w14:textId="77777777" w:rsidR="004B4DE2" w:rsidRPr="004B4DE2" w:rsidRDefault="004B4DE2" w:rsidP="00A64D1A">
      <w:pPr>
        <w:pStyle w:val="ab"/>
        <w:spacing w:after="0" w:line="240" w:lineRule="auto"/>
        <w:ind w:firstLine="709"/>
        <w:jc w:val="both"/>
        <w:rPr>
          <w:lang w:val="en-US"/>
        </w:rPr>
      </w:pPr>
      <w:r w:rsidRPr="004B4DE2">
        <w:rPr>
          <w:lang w:val="en-US"/>
        </w:rPr>
        <w:t>147.</w:t>
      </w:r>
      <w:r w:rsidRPr="004B4DE2">
        <w:rPr>
          <w:lang w:val="en-US"/>
        </w:rPr>
        <w:tab/>
        <w:t>Born T.L., Smith D.E., Garka K.E., Renshaw B.R., Bertles J.S., Sims J.E. Identification and Characterization of Two Members of a Novel Class of the Interleukin-1 Receptor (IL-1R) Family: Delineation of a new class of IL-1R-related proteins based on signaling. J. Boil. Chem. 2000;275:29946–29954. doi: 10.1074/jbc.M004077200.</w:t>
      </w:r>
    </w:p>
    <w:p w14:paraId="7644F3D9" w14:textId="77777777" w:rsidR="004B4DE2" w:rsidRPr="004B4DE2" w:rsidRDefault="004B4DE2" w:rsidP="00A64D1A">
      <w:pPr>
        <w:pStyle w:val="ab"/>
        <w:spacing w:after="0" w:line="240" w:lineRule="auto"/>
        <w:ind w:firstLine="709"/>
        <w:jc w:val="both"/>
        <w:rPr>
          <w:lang w:val="en-US"/>
        </w:rPr>
      </w:pPr>
      <w:r w:rsidRPr="004B4DE2">
        <w:rPr>
          <w:lang w:val="en-US"/>
        </w:rPr>
        <w:t>148.</w:t>
      </w:r>
      <w:r w:rsidRPr="004B4DE2">
        <w:rPr>
          <w:lang w:val="en-US"/>
        </w:rPr>
        <w:tab/>
        <w:t>Pavlowsky A., Zanchi A., Pallotto M., Giustetto M., Chelly J., Sala C., Billuart P. Neuronal JNK pathway activation by IL-1 is mediated through IL1RAPL1, a protein required for development of cognitive functions. Commun. Integr. Boil. 2010;3:245–247. doi: 10.4161/cib.3.3.11414.</w:t>
      </w:r>
    </w:p>
    <w:p w14:paraId="4E4BC97C" w14:textId="77777777" w:rsidR="004B4DE2" w:rsidRPr="004B4DE2" w:rsidRDefault="004B4DE2" w:rsidP="00A64D1A">
      <w:pPr>
        <w:pStyle w:val="ab"/>
        <w:spacing w:after="0" w:line="240" w:lineRule="auto"/>
        <w:ind w:firstLine="709"/>
        <w:jc w:val="both"/>
        <w:rPr>
          <w:lang w:val="en-US"/>
        </w:rPr>
      </w:pPr>
      <w:r w:rsidRPr="004B4DE2">
        <w:rPr>
          <w:lang w:val="en-US"/>
        </w:rPr>
        <w:t>149.</w:t>
      </w:r>
      <w:r w:rsidRPr="004B4DE2">
        <w:rPr>
          <w:lang w:val="en-US"/>
        </w:rPr>
        <w:tab/>
        <w:t>Pujol-Borrell R, Gimenez-Barcons M, Marin-Sanchez A, Colobran R. Genetics of Graves’ disease: special focus on the role of TSHR gene. Horm Metab Res. 2015;47(10):753-766. doi: 10.1055/s-0035-1559646.</w:t>
      </w:r>
    </w:p>
    <w:p w14:paraId="4C7D8B6A" w14:textId="77777777" w:rsidR="004B4DE2" w:rsidRPr="004B4DE2" w:rsidRDefault="004B4DE2" w:rsidP="00A64D1A">
      <w:pPr>
        <w:pStyle w:val="ab"/>
        <w:spacing w:after="0" w:line="240" w:lineRule="auto"/>
        <w:ind w:firstLine="709"/>
        <w:jc w:val="both"/>
        <w:rPr>
          <w:lang w:val="en-US"/>
        </w:rPr>
      </w:pPr>
      <w:r w:rsidRPr="004B4DE2">
        <w:rPr>
          <w:lang w:val="en-US"/>
        </w:rPr>
        <w:t>150.</w:t>
      </w:r>
      <w:r w:rsidRPr="004B4DE2">
        <w:rPr>
          <w:lang w:val="en-US"/>
        </w:rPr>
        <w:tab/>
      </w:r>
      <w:r>
        <w:t>Серкин</w:t>
      </w:r>
      <w:r w:rsidRPr="004B4DE2">
        <w:rPr>
          <w:lang w:val="en-US"/>
        </w:rPr>
        <w:t xml:space="preserve"> </w:t>
      </w:r>
      <w:r>
        <w:t>Д</w:t>
      </w:r>
      <w:r w:rsidRPr="004B4DE2">
        <w:rPr>
          <w:lang w:val="en-US"/>
        </w:rPr>
        <w:t>.</w:t>
      </w:r>
      <w:r>
        <w:t>М</w:t>
      </w:r>
      <w:r w:rsidRPr="004B4DE2">
        <w:rPr>
          <w:lang w:val="en-US"/>
        </w:rPr>
        <w:t xml:space="preserve">., </w:t>
      </w:r>
      <w:r>
        <w:t>Серебрякова</w:t>
      </w:r>
      <w:r w:rsidRPr="004B4DE2">
        <w:rPr>
          <w:lang w:val="en-US"/>
        </w:rPr>
        <w:t xml:space="preserve"> </w:t>
      </w:r>
      <w:r>
        <w:t>О</w:t>
      </w:r>
      <w:r w:rsidRPr="004B4DE2">
        <w:rPr>
          <w:lang w:val="en-US"/>
        </w:rPr>
        <w:t>.</w:t>
      </w:r>
      <w:r>
        <w:t>В</w:t>
      </w:r>
      <w:r w:rsidRPr="004B4DE2">
        <w:rPr>
          <w:lang w:val="en-US"/>
        </w:rPr>
        <w:t xml:space="preserve">., </w:t>
      </w:r>
      <w:r>
        <w:t>Харинцева</w:t>
      </w:r>
      <w:r w:rsidRPr="004B4DE2">
        <w:rPr>
          <w:lang w:val="en-US"/>
        </w:rPr>
        <w:t xml:space="preserve"> </w:t>
      </w:r>
      <w:r>
        <w:t>С</w:t>
      </w:r>
      <w:r w:rsidRPr="004B4DE2">
        <w:rPr>
          <w:lang w:val="en-US"/>
        </w:rPr>
        <w:t>.</w:t>
      </w:r>
      <w:r>
        <w:t>В</w:t>
      </w:r>
      <w:r w:rsidRPr="004B4DE2">
        <w:rPr>
          <w:lang w:val="en-US"/>
        </w:rPr>
        <w:t xml:space="preserve">., </w:t>
      </w:r>
      <w:r>
        <w:t>и</w:t>
      </w:r>
      <w:r w:rsidRPr="004B4DE2">
        <w:rPr>
          <w:lang w:val="en-US"/>
        </w:rPr>
        <w:t xml:space="preserve"> </w:t>
      </w:r>
      <w:r>
        <w:t>др</w:t>
      </w:r>
      <w:r w:rsidRPr="004B4DE2">
        <w:rPr>
          <w:lang w:val="en-US"/>
        </w:rPr>
        <w:t xml:space="preserve">. </w:t>
      </w:r>
      <w:r>
        <w:t xml:space="preserve">Значение сочетаний полиморфизмов PRO12ALA И C1431T PPARγ в формировании эндокринной офтальмопатии. // Забайкальский медицинский вестник. – 2014. – №2. – С. 38–43. [Serkin DM, Serebryakova OV, Kharintseva SV, et al. Znachenie sochetaniy polimorfizmov PRO12ALA I C1431T PPARγ v formirovanii endokrinnoy oftal’mopatii. </w:t>
      </w:r>
      <w:r w:rsidRPr="00701FE0">
        <w:rPr>
          <w:lang w:val="en-US"/>
        </w:rPr>
        <w:t xml:space="preserve">Zabaykal’skiy meditsinskiy vestnik. 2014;(2):38-43. </w:t>
      </w:r>
      <w:r w:rsidRPr="004B4DE2">
        <w:rPr>
          <w:lang w:val="en-US"/>
        </w:rPr>
        <w:t>(In Russ.)].</w:t>
      </w:r>
    </w:p>
    <w:p w14:paraId="075A3488" w14:textId="77777777" w:rsidR="004B4DE2" w:rsidRPr="004B4DE2" w:rsidRDefault="004B4DE2" w:rsidP="00A64D1A">
      <w:pPr>
        <w:pStyle w:val="ab"/>
        <w:spacing w:after="0" w:line="240" w:lineRule="auto"/>
        <w:ind w:firstLine="709"/>
        <w:jc w:val="both"/>
        <w:rPr>
          <w:lang w:val="en-US"/>
        </w:rPr>
      </w:pPr>
      <w:r w:rsidRPr="004B4DE2">
        <w:rPr>
          <w:lang w:val="en-US"/>
        </w:rPr>
        <w:t>151.</w:t>
      </w:r>
      <w:r w:rsidRPr="004B4DE2">
        <w:rPr>
          <w:lang w:val="en-US"/>
        </w:rPr>
        <w:tab/>
        <w:t>Wong KH, Rong SS, Chong KK, Young AL, Pang CP, Chen LJ. Genetic Associations of Interleukin-related Genes with Graves’ Ophthalmopathy: a Systematic Review and Meta-analysis. Sci Rep. 2015 Nov 18;5:16672. doi: 10.1038/srep16672. PMID: 26578206; PMCID: PMC4649612.</w:t>
      </w:r>
    </w:p>
    <w:p w14:paraId="2A9E02C6" w14:textId="77777777" w:rsidR="004B4DE2" w:rsidRPr="004B4DE2" w:rsidRDefault="004B4DE2" w:rsidP="00A64D1A">
      <w:pPr>
        <w:pStyle w:val="ab"/>
        <w:spacing w:after="0" w:line="240" w:lineRule="auto"/>
        <w:ind w:firstLine="709"/>
        <w:jc w:val="both"/>
        <w:rPr>
          <w:lang w:val="en-US"/>
        </w:rPr>
      </w:pPr>
      <w:r w:rsidRPr="004B4DE2">
        <w:rPr>
          <w:lang w:val="en-US"/>
        </w:rPr>
        <w:t>152.</w:t>
      </w:r>
      <w:r w:rsidRPr="004B4DE2">
        <w:rPr>
          <w:lang w:val="en-US"/>
        </w:rPr>
        <w:tab/>
        <w:t xml:space="preserve">Petunina NA, Martirosian NS, Trukhina LV, Saakyan SV, Panteleeva OG, Burdennyy AM, Nosikov VV. </w:t>
      </w:r>
      <w:r w:rsidRPr="00701FE0">
        <w:rPr>
          <w:lang w:val="en-US"/>
        </w:rPr>
        <w:t xml:space="preserve">Association between polymorphic markers in candidate genes and the risk of manifestationof endocrine ophthalmopathy in patients with Graves’ disease. </w:t>
      </w:r>
      <w:r w:rsidRPr="004B4DE2">
        <w:rPr>
          <w:lang w:val="en-US"/>
        </w:rPr>
        <w:t>Ter Arkh. 2018 Nov 22;90(10):35-39. doi: 10.26442/terarkh2018901035-39. PMID: 30701793.</w:t>
      </w:r>
    </w:p>
    <w:p w14:paraId="0ADD36B5" w14:textId="77777777" w:rsidR="004B4DE2" w:rsidRPr="00701FE0" w:rsidRDefault="004B4DE2" w:rsidP="00A64D1A">
      <w:pPr>
        <w:pStyle w:val="ab"/>
        <w:spacing w:after="0" w:line="240" w:lineRule="auto"/>
        <w:ind w:firstLine="709"/>
        <w:jc w:val="both"/>
        <w:rPr>
          <w:lang w:val="en-US"/>
        </w:rPr>
      </w:pPr>
      <w:r w:rsidRPr="004B4DE2">
        <w:rPr>
          <w:lang w:val="en-US"/>
        </w:rPr>
        <w:t>153.</w:t>
      </w:r>
      <w:r w:rsidRPr="004B4DE2">
        <w:rPr>
          <w:lang w:val="en-US"/>
        </w:rPr>
        <w:tab/>
        <w:t xml:space="preserve">Cury SS, Oliveira M, Síbio MT, Clara S, Luvizotto RAM, Conde S, Jorge EN, Nunes VDS, Nogueira CR, Mazeto GMFDS. Graves’ ophthalmopathy: low-dose dexamethasone reduces retinoic acid receptor-alpha gene expression in orbital fibroblasts. </w:t>
      </w:r>
      <w:r w:rsidRPr="00701FE0">
        <w:rPr>
          <w:lang w:val="en-US"/>
        </w:rPr>
        <w:t>Arch Endocrinol Metab. 2018 Jun;62(3):366-369. doi: 10.20945/2359-3997000000044. Epub 2018 May 17. PMID: 29791662; PMCID: PMC10118777.</w:t>
      </w:r>
    </w:p>
    <w:p w14:paraId="638869E3" w14:textId="77777777" w:rsidR="004B4DE2" w:rsidRPr="004B4DE2" w:rsidRDefault="004B4DE2" w:rsidP="00A64D1A">
      <w:pPr>
        <w:pStyle w:val="ab"/>
        <w:spacing w:after="0" w:line="240" w:lineRule="auto"/>
        <w:ind w:firstLine="709"/>
        <w:jc w:val="both"/>
        <w:rPr>
          <w:lang w:val="en-US"/>
        </w:rPr>
      </w:pPr>
      <w:r w:rsidRPr="00701FE0">
        <w:rPr>
          <w:lang w:val="en-US"/>
        </w:rPr>
        <w:t>154.</w:t>
      </w:r>
      <w:r w:rsidRPr="00701FE0">
        <w:rPr>
          <w:lang w:val="en-US"/>
        </w:rPr>
        <w:tab/>
        <w:t xml:space="preserve">Xuan M, Zhao SX, Yan CY, Yang J, Li Y, Song LG, Song HD, Zhang XZ. </w:t>
      </w:r>
      <w:r w:rsidRPr="004B4DE2">
        <w:rPr>
          <w:lang w:val="en-US"/>
        </w:rPr>
        <w:t>Fine mapping of thyroglobulin gene identifies two independent risk loci for Graves’ disease in Chinese Han population. Ann Transl Med. 2019 Sep;7(18):434. doi: 10.21037/atm.2019.08.115. PMID: 31700870; PMCID: PMC6803187.</w:t>
      </w:r>
    </w:p>
    <w:p w14:paraId="035302C9" w14:textId="77777777" w:rsidR="004B4DE2" w:rsidRPr="004B4DE2" w:rsidRDefault="004B4DE2" w:rsidP="00A64D1A">
      <w:pPr>
        <w:pStyle w:val="ab"/>
        <w:spacing w:after="0" w:line="240" w:lineRule="auto"/>
        <w:ind w:firstLine="709"/>
        <w:jc w:val="both"/>
        <w:rPr>
          <w:lang w:val="en-US"/>
        </w:rPr>
      </w:pPr>
      <w:r w:rsidRPr="004B4DE2">
        <w:rPr>
          <w:lang w:val="en-US"/>
        </w:rPr>
        <w:t>155.</w:t>
      </w:r>
      <w:r w:rsidRPr="004B4DE2">
        <w:rPr>
          <w:lang w:val="en-US"/>
        </w:rPr>
        <w:tab/>
        <w:t xml:space="preserve">Yao Q, An X, Zhang J, Mu K, Li L, Song R, Sun P, Zhang JA. IRF7 Gene Variations Confer Susceptibility to Autoimmune Thyroid Diseases and Graves’ </w:t>
      </w:r>
      <w:r w:rsidRPr="004B4DE2">
        <w:rPr>
          <w:lang w:val="en-US"/>
        </w:rPr>
        <w:lastRenderedPageBreak/>
        <w:t xml:space="preserve">Ophthalmopathy. </w:t>
      </w:r>
      <w:r w:rsidRPr="00701FE0">
        <w:rPr>
          <w:lang w:val="en-US"/>
        </w:rPr>
        <w:t xml:space="preserve">Int J Endocrinol. 2019 Jan 15;2019:7429187. doi: 10.1155/2019/7429187. </w:t>
      </w:r>
      <w:r w:rsidRPr="004B4DE2">
        <w:rPr>
          <w:lang w:val="en-US"/>
        </w:rPr>
        <w:t>PMID: 30774658; PMCID: PMC6350596.</w:t>
      </w:r>
    </w:p>
    <w:p w14:paraId="229E79EA" w14:textId="77777777" w:rsidR="004B4DE2" w:rsidRPr="00701FE0" w:rsidRDefault="004B4DE2" w:rsidP="00A64D1A">
      <w:pPr>
        <w:pStyle w:val="ab"/>
        <w:spacing w:after="0" w:line="240" w:lineRule="auto"/>
        <w:ind w:firstLine="709"/>
        <w:jc w:val="both"/>
        <w:rPr>
          <w:lang w:val="en-US"/>
        </w:rPr>
      </w:pPr>
      <w:r w:rsidRPr="004B4DE2">
        <w:rPr>
          <w:lang w:val="en-US"/>
        </w:rPr>
        <w:t>156.</w:t>
      </w:r>
      <w:r w:rsidRPr="004B4DE2">
        <w:rPr>
          <w:lang w:val="en-US"/>
        </w:rPr>
        <w:tab/>
        <w:t xml:space="preserve">Carmona F. D., Gutala R., Simeón C. P., et al. </w:t>
      </w:r>
      <w:r w:rsidRPr="00701FE0">
        <w:rPr>
          <w:lang w:val="en-US"/>
        </w:rPr>
        <w:t>Novel identification of the IRF7 region as an anticentromere autoantibody propensity locus in systemic sclerosis. Annals of the Rheumatic Diseases. 2012;71(1):114–119. doi: 10.1136/annrheumdis-2011-200275. [PMC free article] [PubMed] [CrossRef] [Google Scholar].</w:t>
      </w:r>
    </w:p>
    <w:p w14:paraId="34B7D5E2" w14:textId="77777777" w:rsidR="004B4DE2" w:rsidRPr="00701FE0" w:rsidRDefault="004B4DE2" w:rsidP="00A64D1A">
      <w:pPr>
        <w:pStyle w:val="ab"/>
        <w:spacing w:after="0" w:line="240" w:lineRule="auto"/>
        <w:ind w:firstLine="709"/>
        <w:jc w:val="both"/>
        <w:rPr>
          <w:lang w:val="en-US"/>
        </w:rPr>
      </w:pPr>
      <w:r w:rsidRPr="00701FE0">
        <w:rPr>
          <w:lang w:val="en-US"/>
        </w:rPr>
        <w:t>157.</w:t>
      </w:r>
      <w:r w:rsidRPr="00701FE0">
        <w:rPr>
          <w:lang w:val="en-US"/>
        </w:rPr>
        <w:tab/>
        <w:t>Lin L. H., Ling P., Liu M. F. The potential role of interferon-regulatory factor 7 among Taiwanese patients with systemic lupus erythematosus. The Journal of Rheumatology. 2011;38(9):1914–1919. doi: 10.3899/jrheum.101004. [PubMed] [CrossRef] [Google Scholar].</w:t>
      </w:r>
    </w:p>
    <w:p w14:paraId="0B9521B6" w14:textId="77777777" w:rsidR="004B4DE2" w:rsidRPr="00701FE0" w:rsidRDefault="004B4DE2" w:rsidP="00A64D1A">
      <w:pPr>
        <w:pStyle w:val="ab"/>
        <w:spacing w:after="0" w:line="240" w:lineRule="auto"/>
        <w:ind w:firstLine="709"/>
        <w:jc w:val="both"/>
        <w:rPr>
          <w:lang w:val="en-US"/>
        </w:rPr>
      </w:pPr>
      <w:r w:rsidRPr="00701FE0">
        <w:rPr>
          <w:lang w:val="en-US"/>
        </w:rPr>
        <w:t>158.</w:t>
      </w:r>
      <w:r w:rsidRPr="00701FE0">
        <w:rPr>
          <w:lang w:val="en-US"/>
        </w:rPr>
        <w:tab/>
        <w:t>Shahida B, Planck T, Åsman P, Lantz M. Study of Deiodinase Type 2 Polymorphisms in Graves’ Disease and Ophthalmopathy in a Swedish Population. Eur Thyroid J. 2018 Nov;7(6):289-293. doi: 10.1159/000490892. Epub 2018 Jul 20. PMID: 30574458; PMCID: PMC6276746.</w:t>
      </w:r>
    </w:p>
    <w:p w14:paraId="733AF817" w14:textId="77777777" w:rsidR="004B4DE2" w:rsidRPr="00701FE0" w:rsidRDefault="004B4DE2" w:rsidP="00A64D1A">
      <w:pPr>
        <w:pStyle w:val="ab"/>
        <w:spacing w:after="0" w:line="240" w:lineRule="auto"/>
        <w:ind w:firstLine="709"/>
        <w:jc w:val="both"/>
        <w:rPr>
          <w:lang w:val="en-US"/>
        </w:rPr>
      </w:pPr>
      <w:r w:rsidRPr="00701FE0">
        <w:rPr>
          <w:lang w:val="en-US"/>
        </w:rPr>
        <w:t>159.</w:t>
      </w:r>
      <w:r w:rsidRPr="00701FE0">
        <w:rPr>
          <w:lang w:val="en-US"/>
        </w:rPr>
        <w:tab/>
        <w:t>Bufalo NE, Dos Santos RB, Marcello MA, Piai RP, Secolin R, Romaldini JH, Ward LS. TSHR intronic polymorphisms (rs179247 and rs12885526) and their role in the susceptibility of the Brazilian population to Graves’ disease and Graves’ ophthalmopathy. J Endocrinol Invest. 2015 May;38(5):555-61. doi: 10.1007/s40618-014-0228-9. Epub 2014 Dec 28. PMID: 25543543.</w:t>
      </w:r>
    </w:p>
    <w:p w14:paraId="384C744E" w14:textId="77777777" w:rsidR="004B4DE2" w:rsidRPr="00701FE0" w:rsidRDefault="004B4DE2" w:rsidP="00A64D1A">
      <w:pPr>
        <w:pStyle w:val="ab"/>
        <w:spacing w:after="0" w:line="240" w:lineRule="auto"/>
        <w:ind w:firstLine="709"/>
        <w:jc w:val="both"/>
        <w:rPr>
          <w:lang w:val="en-US"/>
        </w:rPr>
      </w:pPr>
      <w:r w:rsidRPr="00701FE0">
        <w:rPr>
          <w:lang w:val="en-US"/>
        </w:rPr>
        <w:t>160.</w:t>
      </w:r>
      <w:r w:rsidRPr="00701FE0">
        <w:rPr>
          <w:lang w:val="en-US"/>
        </w:rPr>
        <w:tab/>
        <w:t>Zhou F, Liang Z, Wang X, Tan G, Wei W, Zheng G, Ma X, Tian D, Li H, Yu H. The VDR gene confers a genetic predisposition to Graves’ disease and Graves’ ophthalmopathy in the Southwest Chinese Han population. Gene. 2021 Aug 15;793:145750. doi: 10.1016/j.gene.2021.145750. Epub 2021 May 30. PMID: 34077777.</w:t>
      </w:r>
    </w:p>
    <w:p w14:paraId="6816A807" w14:textId="77777777" w:rsidR="004B4DE2" w:rsidRPr="00701FE0" w:rsidRDefault="004B4DE2" w:rsidP="00A64D1A">
      <w:pPr>
        <w:pStyle w:val="ab"/>
        <w:spacing w:after="0" w:line="240" w:lineRule="auto"/>
        <w:ind w:firstLine="709"/>
        <w:jc w:val="both"/>
        <w:rPr>
          <w:lang w:val="en-US"/>
        </w:rPr>
      </w:pPr>
      <w:r w:rsidRPr="00701FE0">
        <w:rPr>
          <w:lang w:val="en-US"/>
        </w:rPr>
        <w:t>161.</w:t>
      </w:r>
      <w:r w:rsidRPr="00701FE0">
        <w:rPr>
          <w:lang w:val="en-US"/>
        </w:rPr>
        <w:tab/>
        <w:t>Anvari M, Khalilzadeh O, Esteghamati A, Esfahani SA, Rashidi A, Etemadi A, Mahmoudi M, Amirzargar AA. Genetic susceptibility to Graves’ ophthalmopathy: the role of polymorphisms in proinflammatory cytokine genes. Eye (Lond) 2010;24:1058. doi: 10.1038/eye.2009.244. [PubMed] [CrossRef] [Google Scholar] [Ref list].</w:t>
      </w:r>
    </w:p>
    <w:p w14:paraId="483910A0" w14:textId="77777777" w:rsidR="004B4DE2" w:rsidRPr="00701FE0" w:rsidRDefault="004B4DE2" w:rsidP="00A64D1A">
      <w:pPr>
        <w:pStyle w:val="ab"/>
        <w:spacing w:after="0" w:line="240" w:lineRule="auto"/>
        <w:ind w:firstLine="709"/>
        <w:jc w:val="both"/>
        <w:rPr>
          <w:lang w:val="en-US"/>
        </w:rPr>
      </w:pPr>
      <w:r w:rsidRPr="00701FE0">
        <w:rPr>
          <w:lang w:val="en-US"/>
        </w:rPr>
        <w:t>162.</w:t>
      </w:r>
      <w:r w:rsidRPr="00701FE0">
        <w:rPr>
          <w:lang w:val="en-US"/>
        </w:rPr>
        <w:tab/>
        <w:t>Hiromatsu Y, Fukutani T, Ichimura M, Mukai T, Kaku H, Miyake I, Yamada K. Interleukin-12B gene polymorphism does not confer susceptibility to Graves’ ophthalmopathy in Japanese population. Endocr J. 2006;53:753. doi: 10.1507/endocrj.K06-040. [PubMed] [CrossRef] [Google Scholar] [Ref list].</w:t>
      </w:r>
    </w:p>
    <w:p w14:paraId="503F9C2C" w14:textId="77777777" w:rsidR="004B4DE2" w:rsidRPr="00701FE0" w:rsidRDefault="004B4DE2" w:rsidP="00A64D1A">
      <w:pPr>
        <w:pStyle w:val="ab"/>
        <w:spacing w:after="0" w:line="240" w:lineRule="auto"/>
        <w:ind w:firstLine="709"/>
        <w:jc w:val="both"/>
        <w:rPr>
          <w:lang w:val="en-US"/>
        </w:rPr>
      </w:pPr>
      <w:r w:rsidRPr="00701FE0">
        <w:rPr>
          <w:lang w:val="en-US"/>
        </w:rPr>
        <w:t>163.</w:t>
      </w:r>
      <w:r w:rsidRPr="00701FE0">
        <w:rPr>
          <w:lang w:val="en-US"/>
        </w:rPr>
        <w:tab/>
        <w:t>Walsh JP, Berry J, Liu S, Panicker V, Dayan CM, Brix TH, Hegedus L, Hou P, Shi B, Morahan G. The clinical presentation of autoimmune thyroid disease in men is associated with IL12B genotype. Clin Endocrinol (Oxf) 2011;74:508. doi: 10.1111/j.1365-2265.2010.03970.x. [PubMed] [CrossRef] [Google Scholar] [Ref list].</w:t>
      </w:r>
    </w:p>
    <w:p w14:paraId="335719DA" w14:textId="77777777" w:rsidR="004B4DE2" w:rsidRPr="00701FE0" w:rsidRDefault="004B4DE2" w:rsidP="00A64D1A">
      <w:pPr>
        <w:pStyle w:val="ab"/>
        <w:spacing w:after="0" w:line="240" w:lineRule="auto"/>
        <w:ind w:firstLine="709"/>
        <w:jc w:val="both"/>
        <w:rPr>
          <w:lang w:val="en-US"/>
        </w:rPr>
      </w:pPr>
      <w:r w:rsidRPr="00701FE0">
        <w:rPr>
          <w:lang w:val="en-US"/>
        </w:rPr>
        <w:t>164.</w:t>
      </w:r>
      <w:r w:rsidRPr="00701FE0">
        <w:rPr>
          <w:lang w:val="en-US"/>
        </w:rPr>
        <w:tab/>
        <w:t>Wang W, Yu ZY, Song RH, He ST, Shi LF, Zhang JA. Polymorphisms of ATG5 Gene Are Associated with Autoimmune Thyroid Diseases, Especially Thyroid Eye Disease. J Immunol Res. 2022 Apr 26;2022:3881417. doi: 10.1155/2022/3881417. PMID: 35518570; PMCID: PMC9064513.</w:t>
      </w:r>
    </w:p>
    <w:p w14:paraId="2F87A02E" w14:textId="77777777" w:rsidR="004B4DE2" w:rsidRPr="00701FE0" w:rsidRDefault="004B4DE2" w:rsidP="00A64D1A">
      <w:pPr>
        <w:pStyle w:val="ab"/>
        <w:spacing w:after="0" w:line="240" w:lineRule="auto"/>
        <w:ind w:firstLine="709"/>
        <w:jc w:val="both"/>
        <w:rPr>
          <w:lang w:val="en-US"/>
        </w:rPr>
      </w:pPr>
      <w:r w:rsidRPr="00701FE0">
        <w:rPr>
          <w:lang w:val="en-US"/>
        </w:rPr>
        <w:t>165.</w:t>
      </w:r>
      <w:r w:rsidRPr="00701FE0">
        <w:rPr>
          <w:lang w:val="en-US"/>
        </w:rPr>
        <w:tab/>
        <w:t xml:space="preserve">Nakajima S, Kabata H, Kabashima K, Asano K. Anti-TSLP antibodies: Targeting a master regulator of type 2 immune responses. Allergol Int. 2020 </w:t>
      </w:r>
      <w:r w:rsidRPr="00701FE0">
        <w:rPr>
          <w:lang w:val="en-US"/>
        </w:rPr>
        <w:lastRenderedPageBreak/>
        <w:t>Apr;69(2):197-203. doi: 10.1016/j.alit.2020.01.001. Epub 2020 Jan 21. PMID: 31974038.</w:t>
      </w:r>
    </w:p>
    <w:p w14:paraId="0118D257" w14:textId="77777777" w:rsidR="004B4DE2" w:rsidRPr="00701FE0" w:rsidRDefault="004B4DE2" w:rsidP="00A64D1A">
      <w:pPr>
        <w:pStyle w:val="ab"/>
        <w:spacing w:after="0" w:line="240" w:lineRule="auto"/>
        <w:ind w:firstLine="709"/>
        <w:jc w:val="both"/>
        <w:rPr>
          <w:lang w:val="en-US"/>
        </w:rPr>
      </w:pPr>
      <w:r w:rsidRPr="00701FE0">
        <w:rPr>
          <w:lang w:val="en-US"/>
        </w:rPr>
        <w:t>166.</w:t>
      </w:r>
      <w:r w:rsidRPr="00701FE0">
        <w:rPr>
          <w:lang w:val="en-US"/>
        </w:rPr>
        <w:tab/>
        <w:t>Qi Y, Zheng H, Liu N, Guo T, Zhu W, Wang S, Cui B, Ning G. Genetic association between Interleukin-17A gene polymorphisms and the pathogenesis of Graves’ disease in the Han Chinese population. Clin Endocrinol (Oxf). 2016 Feb;84(2):265-270. doi: 10.1111/cen.12725. Epub 2015 Feb 24. PMID: 25597472.</w:t>
      </w:r>
    </w:p>
    <w:p w14:paraId="304A0DFA" w14:textId="77777777" w:rsidR="004B4DE2" w:rsidRPr="00701FE0" w:rsidRDefault="004B4DE2" w:rsidP="00A64D1A">
      <w:pPr>
        <w:pStyle w:val="ab"/>
        <w:spacing w:after="0" w:line="240" w:lineRule="auto"/>
        <w:ind w:firstLine="709"/>
        <w:jc w:val="both"/>
        <w:rPr>
          <w:lang w:val="en-US"/>
        </w:rPr>
      </w:pPr>
      <w:r w:rsidRPr="00701FE0">
        <w:rPr>
          <w:lang w:val="en-US"/>
        </w:rPr>
        <w:t>167.</w:t>
      </w:r>
      <w:r w:rsidRPr="00701FE0">
        <w:rPr>
          <w:lang w:val="en-US"/>
        </w:rPr>
        <w:tab/>
        <w:t>Guo T, Huo Y, Zhu W, Xu F, Liu C, Liu N, Cao M, Cui B, Ning G. Genetic association between IL-17F gene polymorphisms and the pathogenesis of Graves’ Disease in the Han Chinese population. Gene. 2013 Jan 10;512(2):300-4. doi: 10.1016/j.gene.2012.10.021. Epub 2012 Oct 27. PMID: 23111159.</w:t>
      </w:r>
    </w:p>
    <w:p w14:paraId="2406F668" w14:textId="77777777" w:rsidR="004B4DE2" w:rsidRPr="00701FE0" w:rsidRDefault="004B4DE2" w:rsidP="00A64D1A">
      <w:pPr>
        <w:pStyle w:val="ab"/>
        <w:spacing w:after="0" w:line="240" w:lineRule="auto"/>
        <w:ind w:firstLine="709"/>
        <w:jc w:val="both"/>
        <w:rPr>
          <w:lang w:val="en-US"/>
        </w:rPr>
      </w:pPr>
      <w:r w:rsidRPr="00701FE0">
        <w:rPr>
          <w:lang w:val="en-US"/>
        </w:rPr>
        <w:t>168.</w:t>
      </w:r>
      <w:r w:rsidRPr="00701FE0">
        <w:rPr>
          <w:lang w:val="en-US"/>
        </w:rPr>
        <w:tab/>
        <w:t>Tan H, Deng B, Yu H, Yang Y, Ding L, Zhang Q, Qin J, Kijlstra A, Chen R, Yang P. Genetic analysis of innate immunity in Behcet’s disease identifies an association with IL-37 and IL-18RAP. Sci Rep. 2016 Oct 24;6:35802. doi: 10.1038/srep35802. PMID: 27775096; PMCID: PMC5075872.</w:t>
      </w:r>
    </w:p>
    <w:p w14:paraId="3A27B6CE" w14:textId="77777777" w:rsidR="004B4DE2" w:rsidRPr="00701FE0" w:rsidRDefault="004B4DE2" w:rsidP="00A64D1A">
      <w:pPr>
        <w:pStyle w:val="ab"/>
        <w:spacing w:after="0" w:line="240" w:lineRule="auto"/>
        <w:ind w:firstLine="709"/>
        <w:jc w:val="both"/>
        <w:rPr>
          <w:lang w:val="en-US"/>
        </w:rPr>
      </w:pPr>
      <w:r w:rsidRPr="00701FE0">
        <w:rPr>
          <w:lang w:val="en-US"/>
        </w:rPr>
        <w:t>169.</w:t>
      </w:r>
      <w:r w:rsidRPr="00701FE0">
        <w:rPr>
          <w:lang w:val="en-US"/>
        </w:rPr>
        <w:tab/>
      </w:r>
      <w:r>
        <w:t>Дедов</w:t>
      </w:r>
      <w:r w:rsidRPr="00701FE0">
        <w:rPr>
          <w:lang w:val="en-US"/>
        </w:rPr>
        <w:t xml:space="preserve"> </w:t>
      </w:r>
      <w:r>
        <w:t>И</w:t>
      </w:r>
      <w:r w:rsidRPr="00701FE0">
        <w:rPr>
          <w:lang w:val="en-US"/>
        </w:rPr>
        <w:t>.</w:t>
      </w:r>
      <w:r>
        <w:t>И</w:t>
      </w:r>
      <w:r w:rsidRPr="00701FE0">
        <w:rPr>
          <w:lang w:val="en-US"/>
        </w:rPr>
        <w:t xml:space="preserve">. </w:t>
      </w:r>
      <w:r>
        <w:t>Сахарный</w:t>
      </w:r>
      <w:r w:rsidRPr="00701FE0">
        <w:rPr>
          <w:lang w:val="en-US"/>
        </w:rPr>
        <w:t xml:space="preserve"> </w:t>
      </w:r>
      <w:r>
        <w:t>диабет</w:t>
      </w:r>
      <w:r w:rsidRPr="00701FE0">
        <w:rPr>
          <w:lang w:val="en-US"/>
        </w:rPr>
        <w:t xml:space="preserve"> – </w:t>
      </w:r>
      <w:r>
        <w:t>опаснейший</w:t>
      </w:r>
      <w:r w:rsidRPr="00701FE0">
        <w:rPr>
          <w:lang w:val="en-US"/>
        </w:rPr>
        <w:t xml:space="preserve"> </w:t>
      </w:r>
      <w:r>
        <w:t>вызов</w:t>
      </w:r>
      <w:r w:rsidRPr="00701FE0">
        <w:rPr>
          <w:lang w:val="en-US"/>
        </w:rPr>
        <w:t xml:space="preserve"> </w:t>
      </w:r>
      <w:r>
        <w:t>мировому</w:t>
      </w:r>
      <w:r w:rsidRPr="00701FE0">
        <w:rPr>
          <w:lang w:val="en-US"/>
        </w:rPr>
        <w:t xml:space="preserve"> </w:t>
      </w:r>
      <w:r>
        <w:t>сообществу</w:t>
      </w:r>
      <w:r w:rsidRPr="00701FE0">
        <w:rPr>
          <w:lang w:val="en-US"/>
        </w:rPr>
        <w:t xml:space="preserve"> // </w:t>
      </w:r>
      <w:r>
        <w:t>Вестник</w:t>
      </w:r>
      <w:r w:rsidRPr="00701FE0">
        <w:rPr>
          <w:lang w:val="en-US"/>
        </w:rPr>
        <w:t xml:space="preserve"> </w:t>
      </w:r>
      <w:r>
        <w:t>РАМН</w:t>
      </w:r>
      <w:r w:rsidRPr="00701FE0">
        <w:rPr>
          <w:lang w:val="en-US"/>
        </w:rPr>
        <w:t xml:space="preserve">. - 2012. - № 1. - </w:t>
      </w:r>
      <w:r>
        <w:t>С</w:t>
      </w:r>
      <w:r w:rsidRPr="00701FE0">
        <w:rPr>
          <w:lang w:val="en-US"/>
        </w:rPr>
        <w:t>. 7–13.</w:t>
      </w:r>
    </w:p>
    <w:p w14:paraId="209CD5D1" w14:textId="77777777" w:rsidR="004B4DE2" w:rsidRDefault="004B4DE2" w:rsidP="00A64D1A">
      <w:pPr>
        <w:pStyle w:val="ab"/>
        <w:spacing w:after="0" w:line="240" w:lineRule="auto"/>
        <w:ind w:firstLine="709"/>
        <w:jc w:val="both"/>
      </w:pPr>
      <w:r>
        <w:t>170.</w:t>
      </w:r>
      <w:r>
        <w:tab/>
        <w:t>Аблаев Э.Э., Безруков О.Ф., Зима Д.В. Заболевания щитовидно-паращитовидного комплекса как социальная проблема // ТМБВ. 2017. №3-1. URL: https://cyberleninka.ru/article/n/zabolevaniya-schitovidno-paraschitovidnogo-kompleksa-kak-sotsialnaya-problema (дата обращения: 21.09.2024).</w:t>
      </w:r>
    </w:p>
    <w:p w14:paraId="3BC36E0B" w14:textId="77777777" w:rsidR="004B4DE2" w:rsidRPr="00701FE0" w:rsidRDefault="004B4DE2" w:rsidP="00A64D1A">
      <w:pPr>
        <w:pStyle w:val="ab"/>
        <w:spacing w:after="0" w:line="240" w:lineRule="auto"/>
        <w:ind w:firstLine="709"/>
        <w:jc w:val="both"/>
        <w:rPr>
          <w:lang w:val="en-US"/>
        </w:rPr>
      </w:pPr>
      <w:r w:rsidRPr="00701FE0">
        <w:rPr>
          <w:lang w:val="en-US"/>
        </w:rPr>
        <w:t>171.</w:t>
      </w:r>
      <w:r w:rsidRPr="00701FE0">
        <w:rPr>
          <w:lang w:val="en-US"/>
        </w:rPr>
        <w:tab/>
        <w:t>Bartalena L, Kahaly GJ, Baldeschi L, Dayan CM, Eckstein A, Marcocci C, Marinò M, Vaidya B, Wiersinga WM; EUGOGO †. The 2021 European Group on Graves’ orbitopathy (EUGOGO) clinical practice guidelines for the medical management of Graves’ orbitopathy. Eur J Endocrinol. 2021 Aug 27;185(4):G43-G67. doi: 10.1530/EJE-21-0479. PMID: 34297684.</w:t>
      </w:r>
    </w:p>
    <w:p w14:paraId="536181E6" w14:textId="77777777" w:rsidR="004B4DE2" w:rsidRPr="00701FE0" w:rsidRDefault="004B4DE2" w:rsidP="00A64D1A">
      <w:pPr>
        <w:pStyle w:val="ab"/>
        <w:spacing w:after="0" w:line="240" w:lineRule="auto"/>
        <w:ind w:firstLine="709"/>
        <w:jc w:val="both"/>
        <w:rPr>
          <w:lang w:val="en-US"/>
        </w:rPr>
      </w:pPr>
      <w:r w:rsidRPr="00701FE0">
        <w:rPr>
          <w:lang w:val="en-US"/>
        </w:rPr>
        <w:t>172.</w:t>
      </w:r>
      <w:r w:rsidRPr="00701FE0">
        <w:rPr>
          <w:lang w:val="en-US"/>
        </w:rPr>
        <w:tab/>
        <w:t>Smith TJ, Hegedüs L, Lesser I, Perros P, Dorris K, Kinrade M, Troy-Ott P, Wuerth L, Nori M. How patients experience thyroid eye disease. Front Endocrinol (Lausanne). 2023 Nov 9;14:1283374. doi: 10.3389/fendo.2023.1283374. PMID: 38027128; PMCID: PMC10665908.</w:t>
      </w:r>
    </w:p>
    <w:p w14:paraId="5EC12F97" w14:textId="77777777" w:rsidR="004B4DE2" w:rsidRPr="00701FE0" w:rsidRDefault="004B4DE2" w:rsidP="00A64D1A">
      <w:pPr>
        <w:pStyle w:val="ab"/>
        <w:spacing w:after="0" w:line="240" w:lineRule="auto"/>
        <w:ind w:firstLine="709"/>
        <w:jc w:val="both"/>
        <w:rPr>
          <w:lang w:val="en-US"/>
        </w:rPr>
      </w:pPr>
      <w:r w:rsidRPr="00701FE0">
        <w:rPr>
          <w:lang w:val="en-US"/>
        </w:rPr>
        <w:t>173.</w:t>
      </w:r>
      <w:r w:rsidRPr="00701FE0">
        <w:rPr>
          <w:lang w:val="en-US"/>
        </w:rPr>
        <w:tab/>
        <w:t>Sharma A, Stan MN, Rootman DB. Measuring Health-Related Quality of Life in Thyroid Eye Disease. J Clin Endocrinol Metab. 2022 Aug 8;107(Suppl_1):S27-S35. doi: 10.1210/clinem/dgac230. PMID: 36346683; PMCID: PMC9359445.</w:t>
      </w:r>
    </w:p>
    <w:p w14:paraId="344BA84C" w14:textId="77777777" w:rsidR="004B4DE2" w:rsidRPr="00701FE0" w:rsidRDefault="004B4DE2" w:rsidP="00A64D1A">
      <w:pPr>
        <w:pStyle w:val="ab"/>
        <w:spacing w:after="0" w:line="240" w:lineRule="auto"/>
        <w:ind w:firstLine="709"/>
        <w:jc w:val="both"/>
        <w:rPr>
          <w:lang w:val="en-US"/>
        </w:rPr>
      </w:pPr>
      <w:r w:rsidRPr="00701FE0">
        <w:rPr>
          <w:lang w:val="en-US"/>
        </w:rPr>
        <w:t>174.</w:t>
      </w:r>
      <w:r w:rsidRPr="00701FE0">
        <w:rPr>
          <w:lang w:val="en-US"/>
        </w:rPr>
        <w:tab/>
        <w:t>Feng S, Yu H, Yu Y, Geng Y, Li D, Yang C et al (2018) Levels of infammatory cytokines IL-1</w:t>
      </w:r>
      <w:r>
        <w:t>β</w:t>
      </w:r>
      <w:r w:rsidRPr="00701FE0">
        <w:rPr>
          <w:lang w:val="en-US"/>
        </w:rPr>
        <w:t>, IL-6, IL-8, IL17A, and TNF-</w:t>
      </w:r>
      <w:r>
        <w:t>α</w:t>
      </w:r>
      <w:r w:rsidRPr="00701FE0">
        <w:rPr>
          <w:lang w:val="en-US"/>
        </w:rPr>
        <w:t xml:space="preserve"> in aqueous humour of patients with diabetic retinopathy. J Diabetes Res 2018:8546423.</w:t>
      </w:r>
    </w:p>
    <w:p w14:paraId="5584296D" w14:textId="77777777" w:rsidR="004B4DE2" w:rsidRPr="00701FE0" w:rsidRDefault="004B4DE2" w:rsidP="00A64D1A">
      <w:pPr>
        <w:pStyle w:val="ab"/>
        <w:spacing w:after="0" w:line="240" w:lineRule="auto"/>
        <w:ind w:firstLine="709"/>
        <w:jc w:val="both"/>
        <w:rPr>
          <w:lang w:val="en-US"/>
        </w:rPr>
      </w:pPr>
      <w:r w:rsidRPr="00701FE0">
        <w:rPr>
          <w:lang w:val="en-US"/>
        </w:rPr>
        <w:t>175.</w:t>
      </w:r>
      <w:r w:rsidRPr="00701FE0">
        <w:rPr>
          <w:lang w:val="en-US"/>
        </w:rPr>
        <w:tab/>
        <w:t>Drui D, Du Pasquier FL, Vignal Clermont C, Daumerie C (2018) Graves’ orbitopathy: diagnosis and treatment. Ann Endocrinol 79(6):656–664.</w:t>
      </w:r>
    </w:p>
    <w:p w14:paraId="4A360ED1" w14:textId="77777777" w:rsidR="004B4DE2" w:rsidRDefault="004B4DE2" w:rsidP="00A64D1A">
      <w:pPr>
        <w:pStyle w:val="ab"/>
        <w:spacing w:after="0" w:line="240" w:lineRule="auto"/>
        <w:ind w:firstLine="709"/>
        <w:jc w:val="both"/>
      </w:pPr>
      <w:r w:rsidRPr="00701FE0">
        <w:rPr>
          <w:lang w:val="en-US"/>
        </w:rPr>
        <w:t>176.</w:t>
      </w:r>
      <w:r w:rsidRPr="00701FE0">
        <w:rPr>
          <w:lang w:val="en-US"/>
        </w:rPr>
        <w:tab/>
        <w:t xml:space="preserve">Kwon J-W, Jee D (2018) Aqueous humor cytokine levels in patients with diabetic macular edema refractory to antiVEGF treatment. </w:t>
      </w:r>
      <w:r>
        <w:t>PLoS ONE 13(9):e0203408.</w:t>
      </w:r>
    </w:p>
    <w:p w14:paraId="16E34810" w14:textId="77777777" w:rsidR="004B4DE2" w:rsidRDefault="004B4DE2" w:rsidP="00A64D1A">
      <w:pPr>
        <w:pStyle w:val="ab"/>
        <w:spacing w:after="0" w:line="240" w:lineRule="auto"/>
        <w:ind w:firstLine="709"/>
        <w:jc w:val="both"/>
      </w:pPr>
      <w:r>
        <w:t>177.</w:t>
      </w:r>
      <w:r>
        <w:tab/>
        <w:t>Бровкина А.Ф., Стоюхина А.С. Классификация эндокрин ной офтальмопатии. Проблемы Эндокринологии. 2006;52(5):11-15. https://doi.org/10.14341/probl200652511-15.</w:t>
      </w:r>
    </w:p>
    <w:p w14:paraId="500CD5B9" w14:textId="62E23CFF" w:rsidR="005D3305" w:rsidRDefault="00937F46" w:rsidP="00742BC4">
      <w:pPr>
        <w:spacing w:after="0" w:line="240" w:lineRule="auto"/>
        <w:ind w:firstLine="709"/>
        <w:contextualSpacing/>
        <w:jc w:val="both"/>
        <w:rPr>
          <w:rFonts w:cs="Times New Roman"/>
          <w:b/>
          <w:szCs w:val="28"/>
          <w:lang w:eastAsia="ru-RU"/>
        </w:rPr>
      </w:pPr>
      <w:r w:rsidRPr="002B136D">
        <w:rPr>
          <w:rFonts w:cs="Times New Roman"/>
          <w:szCs w:val="28"/>
        </w:rPr>
        <w:lastRenderedPageBreak/>
        <w:fldChar w:fldCharType="end"/>
      </w:r>
      <w:r w:rsidR="00742BC4">
        <w:rPr>
          <w:rFonts w:cs="Times New Roman"/>
          <w:szCs w:val="28"/>
        </w:rPr>
        <w:t xml:space="preserve">                                         </w:t>
      </w:r>
      <w:r w:rsidR="005D3305" w:rsidRPr="002B136D">
        <w:rPr>
          <w:rFonts w:cs="Times New Roman"/>
          <w:b/>
          <w:szCs w:val="28"/>
          <w:lang w:eastAsia="ru-RU"/>
        </w:rPr>
        <w:t>ПРИЛОЖЕНИЕ А</w:t>
      </w:r>
    </w:p>
    <w:p w14:paraId="23921A16" w14:textId="77777777" w:rsidR="00F674A4" w:rsidRPr="002B136D" w:rsidRDefault="00F674A4" w:rsidP="00EB5BAC">
      <w:pPr>
        <w:tabs>
          <w:tab w:val="left" w:pos="2448"/>
        </w:tabs>
        <w:spacing w:after="0" w:line="240" w:lineRule="auto"/>
        <w:ind w:firstLine="709"/>
        <w:contextualSpacing/>
        <w:jc w:val="both"/>
        <w:rPr>
          <w:rFonts w:cs="Times New Roman"/>
          <w:b/>
          <w:szCs w:val="28"/>
          <w:lang w:eastAsia="ru-RU"/>
        </w:rPr>
      </w:pPr>
    </w:p>
    <w:p w14:paraId="0545FF19" w14:textId="5E1A5D99" w:rsidR="005D3305" w:rsidRDefault="005D3305" w:rsidP="006B0B4D">
      <w:pPr>
        <w:tabs>
          <w:tab w:val="left" w:pos="2448"/>
        </w:tabs>
        <w:spacing w:line="240" w:lineRule="auto"/>
        <w:contextualSpacing/>
        <w:jc w:val="center"/>
        <w:rPr>
          <w:rFonts w:cs="Times New Roman"/>
          <w:b/>
          <w:szCs w:val="28"/>
          <w:lang w:eastAsia="ru-RU"/>
        </w:rPr>
      </w:pPr>
      <w:r w:rsidRPr="002B136D">
        <w:rPr>
          <w:rFonts w:cs="Times New Roman"/>
          <w:b/>
          <w:szCs w:val="28"/>
          <w:lang w:eastAsia="ru-RU"/>
        </w:rPr>
        <w:t>Авторское свидетельство о внесении сведений в государственный реестр прав на объекты, охраняемые авторским правом: «Метод дифференциальной диагностики эутиреоидной фо</w:t>
      </w:r>
      <w:r w:rsidR="00F35C00">
        <w:rPr>
          <w:rFonts w:cs="Times New Roman"/>
          <w:b/>
          <w:szCs w:val="28"/>
          <w:lang w:eastAsia="ru-RU"/>
        </w:rPr>
        <w:t xml:space="preserve">рмы эндокринной офтальмопатии» </w:t>
      </w:r>
      <w:r w:rsidRPr="002B136D">
        <w:rPr>
          <w:rFonts w:cs="Times New Roman"/>
          <w:b/>
          <w:szCs w:val="28"/>
          <w:lang w:eastAsia="ru-RU"/>
        </w:rPr>
        <w:t>№ 43185 от 16.02.2024 г.</w:t>
      </w:r>
    </w:p>
    <w:p w14:paraId="65BEDFD0" w14:textId="77777777" w:rsidR="00F674A4" w:rsidRPr="002B136D" w:rsidRDefault="00F674A4" w:rsidP="006B0B4D">
      <w:pPr>
        <w:tabs>
          <w:tab w:val="left" w:pos="2448"/>
        </w:tabs>
        <w:spacing w:line="240" w:lineRule="auto"/>
        <w:contextualSpacing/>
        <w:jc w:val="center"/>
        <w:rPr>
          <w:rFonts w:cs="Times New Roman"/>
          <w:b/>
          <w:szCs w:val="28"/>
          <w:lang w:eastAsia="ru-RU"/>
        </w:rPr>
      </w:pPr>
    </w:p>
    <w:p w14:paraId="176FFE8A" w14:textId="75F1DF64" w:rsidR="00B03946" w:rsidRPr="002B136D" w:rsidRDefault="00F674A4" w:rsidP="00F674A4">
      <w:pPr>
        <w:tabs>
          <w:tab w:val="left" w:pos="2448"/>
        </w:tabs>
        <w:jc w:val="center"/>
        <w:rPr>
          <w:rFonts w:cs="Times New Roman"/>
          <w:szCs w:val="28"/>
          <w:lang w:eastAsia="ru-RU"/>
        </w:rPr>
      </w:pPr>
      <w:r w:rsidRPr="002B136D">
        <w:rPr>
          <w:rFonts w:cs="Times New Roman"/>
          <w:noProof/>
          <w:szCs w:val="28"/>
          <w:lang w:eastAsia="ru-RU"/>
        </w:rPr>
        <w:drawing>
          <wp:inline distT="0" distB="0" distL="0" distR="0" wp14:anchorId="5B13ECB9" wp14:editId="2AEA33C3">
            <wp:extent cx="6010275" cy="751879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28207" cy="7541224"/>
                    </a:xfrm>
                    <a:prstGeom prst="rect">
                      <a:avLst/>
                    </a:prstGeom>
                  </pic:spPr>
                </pic:pic>
              </a:graphicData>
            </a:graphic>
          </wp:inline>
        </w:drawing>
      </w:r>
    </w:p>
    <w:p w14:paraId="3B4E96F6" w14:textId="7DF7F6A9" w:rsidR="005D3305" w:rsidRDefault="005D3305" w:rsidP="00F674A4">
      <w:pPr>
        <w:spacing w:after="0" w:line="240" w:lineRule="auto"/>
        <w:contextualSpacing/>
        <w:jc w:val="center"/>
        <w:rPr>
          <w:rFonts w:cs="Times New Roman"/>
          <w:b/>
          <w:szCs w:val="28"/>
        </w:rPr>
      </w:pPr>
      <w:r w:rsidRPr="002B136D">
        <w:rPr>
          <w:rFonts w:cs="Times New Roman"/>
          <w:b/>
          <w:szCs w:val="28"/>
        </w:rPr>
        <w:lastRenderedPageBreak/>
        <w:t>ПРИЛОЖЕНИЕ Б</w:t>
      </w:r>
    </w:p>
    <w:p w14:paraId="5C4E94C8" w14:textId="77777777" w:rsidR="00F674A4" w:rsidRPr="002B136D" w:rsidRDefault="00F674A4" w:rsidP="00F674A4">
      <w:pPr>
        <w:spacing w:after="0" w:line="240" w:lineRule="auto"/>
        <w:contextualSpacing/>
        <w:jc w:val="center"/>
        <w:rPr>
          <w:rFonts w:cs="Times New Roman"/>
          <w:b/>
          <w:szCs w:val="28"/>
        </w:rPr>
      </w:pPr>
    </w:p>
    <w:p w14:paraId="6BE5A52E" w14:textId="60F7E163" w:rsidR="00E626F8" w:rsidRPr="002B136D" w:rsidRDefault="005D3305" w:rsidP="00F674A4">
      <w:pPr>
        <w:spacing w:after="0" w:line="240" w:lineRule="auto"/>
        <w:contextualSpacing/>
        <w:jc w:val="center"/>
        <w:rPr>
          <w:rFonts w:cs="Times New Roman"/>
          <w:b/>
          <w:szCs w:val="28"/>
        </w:rPr>
      </w:pPr>
      <w:r w:rsidRPr="002B136D">
        <w:rPr>
          <w:rFonts w:cs="Times New Roman"/>
          <w:b/>
          <w:szCs w:val="28"/>
        </w:rPr>
        <w:t>Авторское свидетельство о внесении сведений в государственный реестр прав на объекты, охраняемые авторским правом: «Прогностическая модель развития ЭОП» № 44256 от 01.04.2024 г.</w:t>
      </w:r>
    </w:p>
    <w:p w14:paraId="41BA8B41" w14:textId="77777777" w:rsidR="00E626F8" w:rsidRPr="002B136D" w:rsidRDefault="00E626F8" w:rsidP="00535B7F">
      <w:pPr>
        <w:spacing w:after="0" w:line="360" w:lineRule="auto"/>
        <w:ind w:firstLine="709"/>
        <w:jc w:val="both"/>
        <w:rPr>
          <w:rFonts w:cs="Times New Roman"/>
          <w:szCs w:val="28"/>
        </w:rPr>
      </w:pPr>
    </w:p>
    <w:p w14:paraId="57009F4D" w14:textId="1CA9A144" w:rsidR="00E626F8" w:rsidRPr="002B136D" w:rsidRDefault="00F0159D" w:rsidP="00F674A4">
      <w:pPr>
        <w:spacing w:after="0" w:line="360" w:lineRule="auto"/>
        <w:jc w:val="center"/>
        <w:rPr>
          <w:rFonts w:cs="Times New Roman"/>
          <w:szCs w:val="28"/>
        </w:rPr>
      </w:pPr>
      <w:r w:rsidRPr="002B136D">
        <w:rPr>
          <w:rFonts w:cs="Times New Roman"/>
          <w:noProof/>
          <w:szCs w:val="28"/>
          <w:lang w:eastAsia="ru-RU"/>
        </w:rPr>
        <w:drawing>
          <wp:inline distT="0" distB="0" distL="0" distR="0" wp14:anchorId="329C672D" wp14:editId="13FCF3EA">
            <wp:extent cx="6067425" cy="758888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3899" cy="7584475"/>
                    </a:xfrm>
                    <a:prstGeom prst="rect">
                      <a:avLst/>
                    </a:prstGeom>
                    <a:noFill/>
                  </pic:spPr>
                </pic:pic>
              </a:graphicData>
            </a:graphic>
          </wp:inline>
        </w:drawing>
      </w:r>
    </w:p>
    <w:p w14:paraId="4EEE7062" w14:textId="1C0B31D3" w:rsidR="005D3305" w:rsidRDefault="005D3305" w:rsidP="00F674A4">
      <w:pPr>
        <w:spacing w:after="0" w:line="240" w:lineRule="auto"/>
        <w:jc w:val="center"/>
        <w:rPr>
          <w:rFonts w:cs="Times New Roman"/>
          <w:b/>
          <w:szCs w:val="28"/>
        </w:rPr>
      </w:pPr>
      <w:r w:rsidRPr="002B136D">
        <w:rPr>
          <w:rFonts w:cs="Times New Roman"/>
          <w:b/>
          <w:szCs w:val="28"/>
        </w:rPr>
        <w:lastRenderedPageBreak/>
        <w:t xml:space="preserve">ПРИЛОЖЕНИЕ </w:t>
      </w:r>
      <w:proofErr w:type="gramStart"/>
      <w:r w:rsidRPr="002B136D">
        <w:rPr>
          <w:rFonts w:cs="Times New Roman"/>
          <w:b/>
          <w:szCs w:val="28"/>
        </w:rPr>
        <w:t>В</w:t>
      </w:r>
      <w:proofErr w:type="gramEnd"/>
    </w:p>
    <w:p w14:paraId="3ACF46C9" w14:textId="77777777" w:rsidR="00F674A4" w:rsidRPr="002B136D" w:rsidRDefault="00F674A4" w:rsidP="00F674A4">
      <w:pPr>
        <w:spacing w:after="0" w:line="240" w:lineRule="auto"/>
        <w:jc w:val="center"/>
        <w:rPr>
          <w:rFonts w:cs="Times New Roman"/>
          <w:b/>
          <w:szCs w:val="28"/>
        </w:rPr>
      </w:pPr>
    </w:p>
    <w:p w14:paraId="74DA4B81" w14:textId="44F3D869" w:rsidR="005D3305" w:rsidRPr="002B136D" w:rsidRDefault="005D3305" w:rsidP="00F674A4">
      <w:pPr>
        <w:spacing w:after="0" w:line="240" w:lineRule="auto"/>
        <w:jc w:val="center"/>
        <w:rPr>
          <w:rFonts w:cs="Times New Roman"/>
          <w:szCs w:val="28"/>
        </w:rPr>
      </w:pPr>
      <w:r w:rsidRPr="002B136D">
        <w:rPr>
          <w:rFonts w:cs="Times New Roman"/>
          <w:b/>
          <w:szCs w:val="28"/>
        </w:rPr>
        <w:t>Авторское свидетельство о внесении сведений в государственный реестр прав на объекты, охраняемые авторским правом:</w:t>
      </w:r>
      <w:r w:rsidR="006B0B4D" w:rsidRPr="002B136D">
        <w:rPr>
          <w:rFonts w:cs="Times New Roman"/>
          <w:szCs w:val="28"/>
        </w:rPr>
        <w:t xml:space="preserve"> </w:t>
      </w:r>
      <w:proofErr w:type="gramStart"/>
      <w:r w:rsidR="006B0B4D" w:rsidRPr="002B136D">
        <w:rPr>
          <w:rFonts w:cs="Times New Roman"/>
          <w:b/>
          <w:szCs w:val="28"/>
        </w:rPr>
        <w:t>«Способ определения активности аутоиммунного процесса при эндокринной офтальмопатии» № 43609 от 06.03.2024 г.</w:t>
      </w:r>
      <w:proofErr w:type="gramEnd"/>
    </w:p>
    <w:p w14:paraId="1C283047" w14:textId="77777777" w:rsidR="005D3305" w:rsidRPr="002B136D" w:rsidRDefault="005D3305" w:rsidP="006B0B4D">
      <w:pPr>
        <w:spacing w:after="0" w:line="240" w:lineRule="auto"/>
        <w:ind w:firstLine="709"/>
        <w:jc w:val="center"/>
        <w:rPr>
          <w:rFonts w:cs="Times New Roman"/>
          <w:szCs w:val="28"/>
        </w:rPr>
      </w:pPr>
    </w:p>
    <w:p w14:paraId="6DECDAD7" w14:textId="476FF218" w:rsidR="00E626F8" w:rsidRPr="002B136D" w:rsidRDefault="00F0159D" w:rsidP="00F674A4">
      <w:pPr>
        <w:spacing w:after="0" w:line="360" w:lineRule="auto"/>
        <w:jc w:val="center"/>
        <w:rPr>
          <w:rFonts w:cs="Times New Roman"/>
          <w:szCs w:val="28"/>
        </w:rPr>
      </w:pPr>
      <w:r w:rsidRPr="002B136D">
        <w:rPr>
          <w:rFonts w:cs="Times New Roman"/>
          <w:noProof/>
          <w:szCs w:val="28"/>
          <w:lang w:eastAsia="ru-RU"/>
        </w:rPr>
        <w:drawing>
          <wp:inline distT="0" distB="0" distL="0" distR="0" wp14:anchorId="75C6A992" wp14:editId="604A71FF">
            <wp:extent cx="6067425" cy="7439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4605" cy="7447828"/>
                    </a:xfrm>
                    <a:prstGeom prst="rect">
                      <a:avLst/>
                    </a:prstGeom>
                    <a:noFill/>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0"/>
      </w:tblGrid>
      <w:tr w:rsidR="002B136D" w:rsidRPr="002B136D" w14:paraId="5CF24B9E" w14:textId="77777777" w:rsidTr="00A27642">
        <w:tc>
          <w:tcPr>
            <w:tcW w:w="9287" w:type="dxa"/>
          </w:tcPr>
          <w:p w14:paraId="6822F360" w14:textId="77777777" w:rsidR="00A27642" w:rsidRDefault="00A27642" w:rsidP="00A27642">
            <w:pPr>
              <w:jc w:val="center"/>
              <w:rPr>
                <w:rFonts w:cs="Times New Roman"/>
                <w:b/>
                <w:szCs w:val="28"/>
              </w:rPr>
            </w:pPr>
            <w:r w:rsidRPr="002B136D">
              <w:rPr>
                <w:rFonts w:cs="Times New Roman"/>
                <w:b/>
                <w:szCs w:val="28"/>
              </w:rPr>
              <w:lastRenderedPageBreak/>
              <w:t>ПРИЛОЖЕНИЕ Г</w:t>
            </w:r>
          </w:p>
          <w:p w14:paraId="7349FC31" w14:textId="77777777" w:rsidR="00F674A4" w:rsidRPr="002B136D" w:rsidRDefault="00F674A4" w:rsidP="00A27642">
            <w:pPr>
              <w:jc w:val="center"/>
              <w:rPr>
                <w:rFonts w:cs="Times New Roman"/>
                <w:b/>
                <w:szCs w:val="28"/>
              </w:rPr>
            </w:pPr>
          </w:p>
          <w:p w14:paraId="1FDF88F6" w14:textId="1CB754F8" w:rsidR="00A27642" w:rsidRPr="002B136D" w:rsidRDefault="00A27642" w:rsidP="00A27642">
            <w:pPr>
              <w:jc w:val="center"/>
              <w:rPr>
                <w:rFonts w:cs="Times New Roman"/>
                <w:b/>
                <w:szCs w:val="28"/>
              </w:rPr>
            </w:pPr>
            <w:r w:rsidRPr="002B136D">
              <w:rPr>
                <w:rFonts w:cs="Times New Roman"/>
                <w:b/>
                <w:szCs w:val="28"/>
              </w:rPr>
              <w:t xml:space="preserve">Акт внедрения </w:t>
            </w:r>
            <w:r w:rsidR="00A33416" w:rsidRPr="002B136D">
              <w:rPr>
                <w:rFonts w:cs="Times New Roman"/>
                <w:b/>
                <w:szCs w:val="28"/>
                <w:lang w:val="kk-KZ"/>
              </w:rPr>
              <w:t>№135 от 18.03.</w:t>
            </w:r>
            <w:r w:rsidRPr="002B136D">
              <w:rPr>
                <w:rFonts w:cs="Times New Roman"/>
                <w:b/>
                <w:szCs w:val="28"/>
                <w:lang w:val="kk-KZ"/>
              </w:rPr>
              <w:t xml:space="preserve"> 2025г. в ТОО «Казахский научно-исследовательский институт глазных болезней», «</w:t>
            </w:r>
            <w:r w:rsidRPr="002B136D">
              <w:rPr>
                <w:rFonts w:cs="Times New Roman"/>
                <w:b/>
                <w:szCs w:val="28"/>
              </w:rPr>
              <w:t>Разработка прогностической модели развития эндокринной офтальмопатии</w:t>
            </w:r>
            <w:r w:rsidRPr="002B136D">
              <w:rPr>
                <w:rFonts w:cs="Times New Roman"/>
                <w:b/>
                <w:szCs w:val="28"/>
                <w:lang w:val="kk-KZ"/>
              </w:rPr>
              <w:t>»</w:t>
            </w:r>
          </w:p>
          <w:p w14:paraId="5D960C19" w14:textId="77777777" w:rsidR="00A27642" w:rsidRPr="002B136D" w:rsidRDefault="00A27642" w:rsidP="00A27642">
            <w:pPr>
              <w:jc w:val="center"/>
              <w:rPr>
                <w:rFonts w:cs="Times New Roman"/>
                <w:szCs w:val="28"/>
              </w:rPr>
            </w:pPr>
          </w:p>
          <w:p w14:paraId="4F933202" w14:textId="77777777" w:rsidR="00A27642" w:rsidRPr="002B136D" w:rsidRDefault="00A27642" w:rsidP="00203C78">
            <w:pPr>
              <w:jc w:val="center"/>
              <w:rPr>
                <w:rFonts w:cs="Times New Roman"/>
                <w:b/>
                <w:szCs w:val="28"/>
              </w:rPr>
            </w:pPr>
          </w:p>
        </w:tc>
      </w:tr>
      <w:tr w:rsidR="00F674A4" w:rsidRPr="002B136D" w14:paraId="38988EF0" w14:textId="77777777" w:rsidTr="00A27642">
        <w:tc>
          <w:tcPr>
            <w:tcW w:w="9287" w:type="dxa"/>
          </w:tcPr>
          <w:p w14:paraId="564BE4E2" w14:textId="4D6B1FEE" w:rsidR="00A27642" w:rsidRPr="002B136D" w:rsidRDefault="00A27642" w:rsidP="00203C78">
            <w:pPr>
              <w:jc w:val="center"/>
              <w:rPr>
                <w:rFonts w:cs="Times New Roman"/>
                <w:b/>
                <w:szCs w:val="28"/>
              </w:rPr>
            </w:pPr>
            <w:r w:rsidRPr="002B136D">
              <w:rPr>
                <w:rFonts w:cs="Times New Roman"/>
                <w:noProof/>
                <w:szCs w:val="28"/>
                <w:lang w:eastAsia="ru-RU"/>
              </w:rPr>
              <w:drawing>
                <wp:inline distT="0" distB="0" distL="0" distR="0" wp14:anchorId="21B4BD09" wp14:editId="7E31A94D">
                  <wp:extent cx="5952825" cy="7296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9095" cy="7303835"/>
                          </a:xfrm>
                          <a:prstGeom prst="rect">
                            <a:avLst/>
                          </a:prstGeom>
                        </pic:spPr>
                      </pic:pic>
                    </a:graphicData>
                  </a:graphic>
                </wp:inline>
              </w:drawing>
            </w:r>
          </w:p>
        </w:tc>
      </w:tr>
    </w:tbl>
    <w:p w14:paraId="76B9C9B5" w14:textId="77777777" w:rsidR="00203C78" w:rsidRPr="002B136D" w:rsidRDefault="00203C78" w:rsidP="00203C78">
      <w:pPr>
        <w:jc w:val="center"/>
        <w:rPr>
          <w:rFonts w:cs="Times New Roman"/>
          <w:b/>
          <w:szCs w:val="28"/>
        </w:rPr>
      </w:pPr>
    </w:p>
    <w:p w14:paraId="444B2B9B" w14:textId="77777777" w:rsidR="00F674A4" w:rsidRPr="002B136D" w:rsidRDefault="00F674A4" w:rsidP="00F674A4">
      <w:pPr>
        <w:spacing w:after="0" w:line="240" w:lineRule="auto"/>
        <w:jc w:val="center"/>
        <w:rPr>
          <w:rFonts w:cs="Times New Roman"/>
          <w:b/>
          <w:szCs w:val="28"/>
          <w:lang w:val="kk-KZ"/>
        </w:rPr>
      </w:pPr>
      <w:r w:rsidRPr="002B136D">
        <w:rPr>
          <w:rFonts w:cs="Times New Roman"/>
          <w:b/>
          <w:szCs w:val="28"/>
        </w:rPr>
        <w:lastRenderedPageBreak/>
        <w:t xml:space="preserve">ПРИЛОЖЕНИЕ </w:t>
      </w:r>
      <w:r w:rsidRPr="002B136D">
        <w:rPr>
          <w:rFonts w:cs="Times New Roman"/>
          <w:b/>
          <w:szCs w:val="28"/>
          <w:lang w:val="kk-KZ"/>
        </w:rPr>
        <w:t>Д</w:t>
      </w:r>
    </w:p>
    <w:p w14:paraId="621DFBC3" w14:textId="77777777" w:rsidR="00203C78" w:rsidRPr="002B136D" w:rsidRDefault="00203C78" w:rsidP="00AD50B3">
      <w:pPr>
        <w:spacing w:after="0" w:line="240" w:lineRule="auto"/>
        <w:ind w:firstLine="709"/>
        <w:jc w:val="center"/>
        <w:rPr>
          <w:rFonts w:cs="Times New Roman"/>
          <w:b/>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2B136D" w:rsidRPr="002B136D" w14:paraId="0131E66E" w14:textId="77777777" w:rsidTr="00A27642">
        <w:tc>
          <w:tcPr>
            <w:tcW w:w="9287" w:type="dxa"/>
          </w:tcPr>
          <w:p w14:paraId="736422BF" w14:textId="74CA98CF" w:rsidR="00A27642" w:rsidRPr="002B136D" w:rsidRDefault="00A27642" w:rsidP="00F674A4">
            <w:pPr>
              <w:jc w:val="center"/>
              <w:rPr>
                <w:rFonts w:cs="Times New Roman"/>
                <w:b/>
                <w:szCs w:val="28"/>
              </w:rPr>
            </w:pPr>
            <w:r w:rsidRPr="002B136D">
              <w:rPr>
                <w:rFonts w:cs="Times New Roman"/>
                <w:b/>
                <w:szCs w:val="28"/>
              </w:rPr>
              <w:t xml:space="preserve">Акт внедрения №2 от </w:t>
            </w:r>
            <w:r w:rsidR="008E2E30" w:rsidRPr="002B136D">
              <w:rPr>
                <w:rFonts w:cs="Times New Roman"/>
                <w:b/>
                <w:szCs w:val="28"/>
              </w:rPr>
              <w:t>03.03.</w:t>
            </w:r>
            <w:r w:rsidRPr="002B136D">
              <w:rPr>
                <w:rFonts w:cs="Times New Roman"/>
                <w:b/>
                <w:szCs w:val="28"/>
              </w:rPr>
              <w:t xml:space="preserve"> 2025г.</w:t>
            </w:r>
            <w:r w:rsidR="007325E7">
              <w:rPr>
                <w:rFonts w:cs="Times New Roman"/>
                <w:b/>
                <w:szCs w:val="28"/>
              </w:rPr>
              <w:t xml:space="preserve"> в </w:t>
            </w:r>
            <w:r w:rsidRPr="002B136D">
              <w:rPr>
                <w:rFonts w:cs="Times New Roman"/>
                <w:b/>
                <w:szCs w:val="28"/>
                <w:lang w:val="kk-KZ"/>
              </w:rPr>
              <w:t>ТОО “Институт эндокринологии” г. Алматы, «</w:t>
            </w:r>
            <w:r w:rsidRPr="002B136D">
              <w:rPr>
                <w:rFonts w:cs="Times New Roman"/>
                <w:b/>
                <w:szCs w:val="28"/>
              </w:rPr>
              <w:t xml:space="preserve">Прогностическая модель развития </w:t>
            </w:r>
            <w:r w:rsidRPr="002B136D">
              <w:rPr>
                <w:rFonts w:cs="Times New Roman"/>
                <w:b/>
                <w:szCs w:val="28"/>
                <w:lang w:val="kk-KZ"/>
              </w:rPr>
              <w:t>эндокринной офтальмопатии»</w:t>
            </w:r>
          </w:p>
          <w:p w14:paraId="5877A641" w14:textId="77777777" w:rsidR="00A27642" w:rsidRPr="002B136D" w:rsidRDefault="00A27642" w:rsidP="00AD50B3">
            <w:pPr>
              <w:jc w:val="center"/>
              <w:rPr>
                <w:rFonts w:cs="Times New Roman"/>
                <w:b/>
                <w:szCs w:val="28"/>
              </w:rPr>
            </w:pPr>
          </w:p>
        </w:tc>
      </w:tr>
      <w:tr w:rsidR="00F674A4" w:rsidRPr="002B136D" w14:paraId="2B87B989" w14:textId="77777777" w:rsidTr="00A27642">
        <w:tc>
          <w:tcPr>
            <w:tcW w:w="9287" w:type="dxa"/>
          </w:tcPr>
          <w:p w14:paraId="7261C321" w14:textId="28B3A9DE" w:rsidR="00A27642" w:rsidRPr="002B136D" w:rsidRDefault="00A27642" w:rsidP="00AD50B3">
            <w:pPr>
              <w:jc w:val="center"/>
              <w:rPr>
                <w:rFonts w:cs="Times New Roman"/>
                <w:b/>
                <w:szCs w:val="28"/>
              </w:rPr>
            </w:pPr>
            <w:r w:rsidRPr="002B136D">
              <w:rPr>
                <w:rFonts w:cs="Times New Roman"/>
                <w:b/>
                <w:noProof/>
                <w:szCs w:val="28"/>
                <w:lang w:eastAsia="ru-RU"/>
              </w:rPr>
              <w:drawing>
                <wp:inline distT="0" distB="0" distL="0" distR="0" wp14:anchorId="0F886213" wp14:editId="57C06E9E">
                  <wp:extent cx="5867400" cy="7429177"/>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70381" cy="7432951"/>
                          </a:xfrm>
                          <a:prstGeom prst="rect">
                            <a:avLst/>
                          </a:prstGeom>
                        </pic:spPr>
                      </pic:pic>
                    </a:graphicData>
                  </a:graphic>
                </wp:inline>
              </w:drawing>
            </w:r>
          </w:p>
        </w:tc>
      </w:tr>
    </w:tbl>
    <w:p w14:paraId="57095C53" w14:textId="77777777" w:rsidR="00A27642" w:rsidRPr="002B136D" w:rsidRDefault="00A27642" w:rsidP="00AD50B3">
      <w:pPr>
        <w:spacing w:after="0" w:line="240" w:lineRule="auto"/>
        <w:ind w:firstLine="709"/>
        <w:jc w:val="center"/>
        <w:rPr>
          <w:rFonts w:cs="Times New Roman"/>
          <w:b/>
          <w:szCs w:val="28"/>
        </w:rPr>
      </w:pPr>
    </w:p>
    <w:p w14:paraId="60FDAD62" w14:textId="77777777" w:rsidR="006142C9" w:rsidRPr="002B136D" w:rsidRDefault="006142C9" w:rsidP="00AD50B3">
      <w:pPr>
        <w:spacing w:after="0" w:line="240" w:lineRule="auto"/>
        <w:ind w:firstLine="709"/>
        <w:jc w:val="center"/>
        <w:rPr>
          <w:rFonts w:cs="Times New Roman"/>
          <w:b/>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0"/>
      </w:tblGrid>
      <w:tr w:rsidR="002B136D" w:rsidRPr="002B136D" w14:paraId="0480DC7D" w14:textId="77777777" w:rsidTr="00A27642">
        <w:tc>
          <w:tcPr>
            <w:tcW w:w="9287" w:type="dxa"/>
          </w:tcPr>
          <w:p w14:paraId="129E226D" w14:textId="77777777" w:rsidR="00A27642" w:rsidRDefault="00A27642" w:rsidP="00A27642">
            <w:pPr>
              <w:tabs>
                <w:tab w:val="left" w:pos="2748"/>
              </w:tabs>
              <w:jc w:val="center"/>
              <w:rPr>
                <w:rFonts w:cs="Times New Roman"/>
                <w:b/>
                <w:bCs/>
                <w:szCs w:val="28"/>
                <w:lang w:val="kk-KZ"/>
              </w:rPr>
            </w:pPr>
            <w:r w:rsidRPr="002B136D">
              <w:rPr>
                <w:rFonts w:cs="Times New Roman"/>
                <w:b/>
                <w:bCs/>
                <w:szCs w:val="28"/>
              </w:rPr>
              <w:lastRenderedPageBreak/>
              <w:t>ПРИЛОЖЕНИЕ</w:t>
            </w:r>
            <w:r w:rsidRPr="002B136D">
              <w:rPr>
                <w:rFonts w:cs="Times New Roman"/>
                <w:b/>
                <w:bCs/>
                <w:szCs w:val="28"/>
                <w:lang w:val="kk-KZ"/>
              </w:rPr>
              <w:t xml:space="preserve"> Е</w:t>
            </w:r>
          </w:p>
          <w:p w14:paraId="70DBCED9" w14:textId="77777777" w:rsidR="00F674A4" w:rsidRPr="002B136D" w:rsidRDefault="00F674A4" w:rsidP="00A27642">
            <w:pPr>
              <w:tabs>
                <w:tab w:val="left" w:pos="2748"/>
              </w:tabs>
              <w:jc w:val="center"/>
              <w:rPr>
                <w:rFonts w:cs="Times New Roman"/>
                <w:b/>
                <w:szCs w:val="28"/>
                <w:lang w:val="kk-KZ"/>
              </w:rPr>
            </w:pPr>
          </w:p>
          <w:p w14:paraId="579B75BB" w14:textId="77777777" w:rsidR="00A27642" w:rsidRPr="002B136D" w:rsidRDefault="00A27642" w:rsidP="00A27642">
            <w:pPr>
              <w:tabs>
                <w:tab w:val="left" w:pos="2748"/>
              </w:tabs>
              <w:jc w:val="center"/>
              <w:rPr>
                <w:rFonts w:cs="Times New Roman"/>
                <w:b/>
                <w:szCs w:val="28"/>
                <w:lang w:val="kk-KZ"/>
              </w:rPr>
            </w:pPr>
            <w:r w:rsidRPr="002B136D">
              <w:rPr>
                <w:rFonts w:cs="Times New Roman"/>
                <w:b/>
                <w:szCs w:val="28"/>
              </w:rPr>
              <w:t>Акт внедрения</w:t>
            </w:r>
            <w:r w:rsidRPr="002B136D">
              <w:rPr>
                <w:rFonts w:cs="Times New Roman"/>
                <w:b/>
                <w:szCs w:val="28"/>
                <w:lang w:val="kk-KZ"/>
              </w:rPr>
              <w:t xml:space="preserve"> в </w:t>
            </w:r>
            <w:r w:rsidRPr="002B136D">
              <w:rPr>
                <w:rFonts w:cs="Times New Roman"/>
                <w:b/>
                <w:bCs/>
                <w:szCs w:val="28"/>
              </w:rPr>
              <w:t>ГКП на ПХВ «Алматинская Многопрофильная Клиническая Больница»,</w:t>
            </w:r>
            <w:r w:rsidRPr="002B136D">
              <w:rPr>
                <w:rFonts w:cs="Times New Roman"/>
                <w:b/>
                <w:szCs w:val="28"/>
                <w:lang w:val="kk-KZ"/>
              </w:rPr>
              <w:t xml:space="preserve"> </w:t>
            </w:r>
            <w:r w:rsidRPr="002B136D">
              <w:rPr>
                <w:rFonts w:cs="Times New Roman"/>
                <w:b/>
                <w:bCs/>
                <w:szCs w:val="28"/>
                <w:lang w:val="kk-KZ"/>
              </w:rPr>
              <w:t>«</w:t>
            </w:r>
            <w:r w:rsidRPr="002B136D">
              <w:rPr>
                <w:rFonts w:cs="Times New Roman"/>
                <w:b/>
                <w:bCs/>
                <w:szCs w:val="28"/>
              </w:rPr>
              <w:t xml:space="preserve">Прогностическая модель развития </w:t>
            </w:r>
            <w:proofErr w:type="gramStart"/>
            <w:r w:rsidRPr="002B136D">
              <w:rPr>
                <w:rFonts w:cs="Times New Roman"/>
                <w:b/>
                <w:bCs/>
                <w:szCs w:val="28"/>
                <w:lang w:val="kk-KZ"/>
              </w:rPr>
              <w:t>эндокринной</w:t>
            </w:r>
            <w:proofErr w:type="gramEnd"/>
            <w:r w:rsidRPr="002B136D">
              <w:rPr>
                <w:rFonts w:cs="Times New Roman"/>
                <w:b/>
                <w:bCs/>
                <w:szCs w:val="28"/>
                <w:lang w:val="kk-KZ"/>
              </w:rPr>
              <w:t xml:space="preserve"> офтальмопатии»</w:t>
            </w:r>
          </w:p>
          <w:p w14:paraId="0FE5F8A7" w14:textId="77777777" w:rsidR="00A27642" w:rsidRPr="002B136D" w:rsidRDefault="00A27642" w:rsidP="00F674A4">
            <w:pPr>
              <w:tabs>
                <w:tab w:val="left" w:pos="2748"/>
              </w:tabs>
              <w:rPr>
                <w:rFonts w:cs="Times New Roman"/>
                <w:b/>
                <w:bCs/>
                <w:szCs w:val="28"/>
                <w:lang w:val="kk-KZ"/>
              </w:rPr>
            </w:pPr>
          </w:p>
        </w:tc>
      </w:tr>
      <w:tr w:rsidR="00F674A4" w:rsidRPr="002B136D" w14:paraId="6EAEF1D5" w14:textId="77777777" w:rsidTr="00A27642">
        <w:tc>
          <w:tcPr>
            <w:tcW w:w="9287" w:type="dxa"/>
          </w:tcPr>
          <w:p w14:paraId="5E975544" w14:textId="0CFE07FF" w:rsidR="00A27642" w:rsidRPr="002B136D" w:rsidRDefault="00A27642" w:rsidP="00203C78">
            <w:pPr>
              <w:tabs>
                <w:tab w:val="left" w:pos="2748"/>
              </w:tabs>
              <w:jc w:val="center"/>
              <w:rPr>
                <w:rFonts w:cs="Times New Roman"/>
                <w:b/>
                <w:bCs/>
                <w:szCs w:val="28"/>
              </w:rPr>
            </w:pPr>
            <w:r w:rsidRPr="002B136D">
              <w:rPr>
                <w:rFonts w:cs="Times New Roman"/>
                <w:b/>
                <w:noProof/>
                <w:szCs w:val="28"/>
                <w:lang w:eastAsia="ru-RU"/>
              </w:rPr>
              <w:drawing>
                <wp:inline distT="0" distB="0" distL="0" distR="0" wp14:anchorId="08858B12" wp14:editId="486BA98E">
                  <wp:extent cx="5819717" cy="7648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30141" cy="7662275"/>
                          </a:xfrm>
                          <a:prstGeom prst="rect">
                            <a:avLst/>
                          </a:prstGeom>
                        </pic:spPr>
                      </pic:pic>
                    </a:graphicData>
                  </a:graphic>
                </wp:inline>
              </w:drawing>
            </w:r>
          </w:p>
        </w:tc>
      </w:tr>
    </w:tbl>
    <w:p w14:paraId="222380AE" w14:textId="2DCC2D99" w:rsidR="00203C78" w:rsidRPr="002B136D" w:rsidRDefault="00203C78" w:rsidP="00AD50B3">
      <w:pPr>
        <w:spacing w:after="0" w:line="240" w:lineRule="auto"/>
        <w:ind w:firstLine="709"/>
        <w:jc w:val="center"/>
        <w:rPr>
          <w:rFonts w:cs="Times New Roman"/>
          <w:b/>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2B136D" w:rsidRPr="002B136D" w14:paraId="2A3DE346" w14:textId="77777777" w:rsidTr="00A27642">
        <w:tc>
          <w:tcPr>
            <w:tcW w:w="9287" w:type="dxa"/>
          </w:tcPr>
          <w:p w14:paraId="6404FD99" w14:textId="77777777" w:rsidR="00A27642" w:rsidRDefault="00A27642" w:rsidP="00F674A4">
            <w:pPr>
              <w:jc w:val="center"/>
              <w:rPr>
                <w:rFonts w:cs="Times New Roman"/>
                <w:b/>
                <w:szCs w:val="28"/>
              </w:rPr>
            </w:pPr>
            <w:r w:rsidRPr="002B136D">
              <w:rPr>
                <w:rFonts w:cs="Times New Roman"/>
                <w:b/>
                <w:szCs w:val="28"/>
              </w:rPr>
              <w:lastRenderedPageBreak/>
              <w:t>ПРИЛОЖЕНИЕ Ж</w:t>
            </w:r>
          </w:p>
          <w:p w14:paraId="7742AEEE" w14:textId="77777777" w:rsidR="00F674A4" w:rsidRPr="002B136D" w:rsidRDefault="00F674A4" w:rsidP="00F674A4">
            <w:pPr>
              <w:jc w:val="center"/>
              <w:rPr>
                <w:rFonts w:cs="Times New Roman"/>
                <w:b/>
                <w:szCs w:val="28"/>
              </w:rPr>
            </w:pPr>
          </w:p>
          <w:p w14:paraId="2E81C8A0" w14:textId="3485A75A" w:rsidR="00A27642" w:rsidRPr="002B136D" w:rsidRDefault="00A27642" w:rsidP="00F674A4">
            <w:pPr>
              <w:jc w:val="center"/>
              <w:rPr>
                <w:rFonts w:cs="Times New Roman"/>
                <w:szCs w:val="28"/>
              </w:rPr>
            </w:pPr>
            <w:r w:rsidRPr="002B136D">
              <w:rPr>
                <w:rFonts w:cs="Times New Roman"/>
                <w:b/>
                <w:szCs w:val="28"/>
              </w:rPr>
              <w:t>Акт внедрения в Казахский национальный университет имени Аль-Фараби, «Разработка прогностической модели развития эндокринной офтальмопатии»</w:t>
            </w:r>
          </w:p>
          <w:p w14:paraId="0EF36387" w14:textId="77777777" w:rsidR="00A27642" w:rsidRPr="002B136D" w:rsidRDefault="00A27642" w:rsidP="00F674A4">
            <w:pPr>
              <w:rPr>
                <w:rFonts w:cs="Times New Roman"/>
                <w:b/>
                <w:szCs w:val="28"/>
              </w:rPr>
            </w:pPr>
          </w:p>
        </w:tc>
      </w:tr>
      <w:tr w:rsidR="00F674A4" w:rsidRPr="002B136D" w14:paraId="1DDB8A95" w14:textId="77777777" w:rsidTr="00A27642">
        <w:tc>
          <w:tcPr>
            <w:tcW w:w="9287" w:type="dxa"/>
          </w:tcPr>
          <w:p w14:paraId="2344B4DF" w14:textId="7FBEAF7C" w:rsidR="00A27642" w:rsidRPr="002B136D" w:rsidRDefault="00A27642" w:rsidP="00A63F42">
            <w:pPr>
              <w:jc w:val="center"/>
              <w:rPr>
                <w:rFonts w:cs="Times New Roman"/>
                <w:b/>
                <w:szCs w:val="28"/>
              </w:rPr>
            </w:pPr>
            <w:r w:rsidRPr="002B136D">
              <w:rPr>
                <w:rFonts w:cs="Times New Roman"/>
                <w:noProof/>
                <w:szCs w:val="28"/>
                <w:lang w:eastAsia="ru-RU"/>
              </w:rPr>
              <w:drawing>
                <wp:inline distT="0" distB="0" distL="0" distR="0" wp14:anchorId="515F17D7" wp14:editId="7D41BD2F">
                  <wp:extent cx="5886450" cy="7338695"/>
                  <wp:effectExtent l="0" t="0" r="0" b="0"/>
                  <wp:docPr id="45" name="Рисунок 45" descr="C:\Users\Админ\AppData\Local\Packages\5319275A.WhatsAppDesktop_cv1g1gvanyjgm\TempState\089489949B129C48AB7B16662A6A521D\Изображение WhatsApp 2025-03-18 в 17.23.44_8beb8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Packages\5319275A.WhatsAppDesktop_cv1g1gvanyjgm\TempState\089489949B129C48AB7B16662A6A521D\Изображение WhatsApp 2025-03-18 в 17.23.44_8beb8cb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85861" cy="7337961"/>
                          </a:xfrm>
                          <a:prstGeom prst="rect">
                            <a:avLst/>
                          </a:prstGeom>
                          <a:noFill/>
                          <a:ln>
                            <a:noFill/>
                          </a:ln>
                        </pic:spPr>
                      </pic:pic>
                    </a:graphicData>
                  </a:graphic>
                </wp:inline>
              </w:drawing>
            </w:r>
          </w:p>
        </w:tc>
      </w:tr>
    </w:tbl>
    <w:p w14:paraId="271D8E9B" w14:textId="77777777" w:rsidR="00F61760" w:rsidRPr="002B136D" w:rsidRDefault="00F61760" w:rsidP="00AD50B3">
      <w:pPr>
        <w:tabs>
          <w:tab w:val="left" w:pos="2748"/>
        </w:tabs>
        <w:rPr>
          <w:rFonts w:cs="Times New Roman"/>
          <w:szCs w:val="28"/>
          <w:lang w:val="kk-KZ"/>
        </w:rPr>
      </w:pPr>
    </w:p>
    <w:sectPr w:rsidR="00F61760" w:rsidRPr="002B136D" w:rsidSect="001204D8">
      <w:footerReference w:type="default" r:id="rId62"/>
      <w:pgSz w:w="11907" w:h="16839" w:code="9"/>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136D9" w14:textId="77777777" w:rsidR="000A09A6" w:rsidRDefault="000A09A6" w:rsidP="0065674C">
      <w:pPr>
        <w:spacing w:after="0" w:line="240" w:lineRule="auto"/>
      </w:pPr>
      <w:r>
        <w:separator/>
      </w:r>
    </w:p>
  </w:endnote>
  <w:endnote w:type="continuationSeparator" w:id="0">
    <w:p w14:paraId="691E1291" w14:textId="77777777" w:rsidR="000A09A6" w:rsidRDefault="000A09A6" w:rsidP="00656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tka Text">
    <w:panose1 w:val="02000505000000020004"/>
    <w:charset w:val="CC"/>
    <w:family w:val="auto"/>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020794"/>
      <w:docPartObj>
        <w:docPartGallery w:val="Page Numbers (Bottom of Page)"/>
        <w:docPartUnique/>
      </w:docPartObj>
    </w:sdtPr>
    <w:sdtEndPr/>
    <w:sdtContent>
      <w:p w14:paraId="17BD9623" w14:textId="1EE48792" w:rsidR="0044499C" w:rsidRDefault="0044499C">
        <w:pPr>
          <w:pStyle w:val="a6"/>
          <w:jc w:val="center"/>
        </w:pPr>
        <w:r>
          <w:fldChar w:fldCharType="begin"/>
        </w:r>
        <w:r>
          <w:instrText>PAGE   \* MERGEFORMAT</w:instrText>
        </w:r>
        <w:r>
          <w:fldChar w:fldCharType="separate"/>
        </w:r>
        <w:r w:rsidR="002D649E">
          <w:rPr>
            <w:noProof/>
          </w:rPr>
          <w:t>6</w:t>
        </w:r>
        <w:r>
          <w:fldChar w:fldCharType="end"/>
        </w:r>
      </w:p>
    </w:sdtContent>
  </w:sdt>
  <w:p w14:paraId="78255FE1" w14:textId="1A7B81A3" w:rsidR="0044499C" w:rsidRDefault="0044499C" w:rsidP="003A2D30">
    <w:pPr>
      <w:pStyle w:val="a6"/>
      <w:tabs>
        <w:tab w:val="clear" w:pos="4677"/>
        <w:tab w:val="clear" w:pos="9355"/>
        <w:tab w:val="left" w:pos="69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109AD" w14:textId="77777777" w:rsidR="000A09A6" w:rsidRDefault="000A09A6" w:rsidP="0065674C">
      <w:pPr>
        <w:spacing w:after="0" w:line="240" w:lineRule="auto"/>
      </w:pPr>
      <w:r>
        <w:separator/>
      </w:r>
    </w:p>
  </w:footnote>
  <w:footnote w:type="continuationSeparator" w:id="0">
    <w:p w14:paraId="1171B018" w14:textId="77777777" w:rsidR="000A09A6" w:rsidRDefault="000A09A6" w:rsidP="006567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05C7"/>
    <w:multiLevelType w:val="hybridMultilevel"/>
    <w:tmpl w:val="91AE2EAA"/>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nsid w:val="079F19D5"/>
    <w:multiLevelType w:val="hybridMultilevel"/>
    <w:tmpl w:val="A802BD56"/>
    <w:lvl w:ilvl="0" w:tplc="8E3AC3D0">
      <w:start w:val="1"/>
      <w:numFmt w:val="decimal"/>
      <w:lvlText w:val="%1."/>
      <w:lvlJc w:val="left"/>
      <w:pPr>
        <w:ind w:left="1140" w:hanging="78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2">
    <w:nsid w:val="0A354436"/>
    <w:multiLevelType w:val="multilevel"/>
    <w:tmpl w:val="156042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A855264"/>
    <w:multiLevelType w:val="hybridMultilevel"/>
    <w:tmpl w:val="0E0E9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E17DC8"/>
    <w:multiLevelType w:val="hybridMultilevel"/>
    <w:tmpl w:val="58263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D1AD4"/>
    <w:multiLevelType w:val="hybridMultilevel"/>
    <w:tmpl w:val="F1527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6C553B"/>
    <w:multiLevelType w:val="hybridMultilevel"/>
    <w:tmpl w:val="A2F065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8A46695"/>
    <w:multiLevelType w:val="hybridMultilevel"/>
    <w:tmpl w:val="5F3A9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B65249"/>
    <w:multiLevelType w:val="hybridMultilevel"/>
    <w:tmpl w:val="CACC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A1138B"/>
    <w:multiLevelType w:val="hybridMultilevel"/>
    <w:tmpl w:val="23FAA32A"/>
    <w:lvl w:ilvl="0" w:tplc="61C673DC">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B339B2"/>
    <w:multiLevelType w:val="hybridMultilevel"/>
    <w:tmpl w:val="7FDEC91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nsid w:val="342B1F93"/>
    <w:multiLevelType w:val="hybridMultilevel"/>
    <w:tmpl w:val="BCF4621C"/>
    <w:lvl w:ilvl="0" w:tplc="A7E2FA24">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nsid w:val="3E337965"/>
    <w:multiLevelType w:val="multilevel"/>
    <w:tmpl w:val="72A48028"/>
    <w:lvl w:ilvl="0">
      <w:start w:val="1"/>
      <w:numFmt w:val="decimal"/>
      <w:lvlText w:val="%1."/>
      <w:lvlJc w:val="left"/>
      <w:pPr>
        <w:ind w:left="720" w:hanging="360"/>
      </w:pPr>
      <w:rPr>
        <w:rFonts w:hint="default"/>
        <w:b w:val="0"/>
      </w:rPr>
    </w:lvl>
    <w:lvl w:ilvl="1">
      <w:start w:val="5"/>
      <w:numFmt w:val="decimal"/>
      <w:isLgl/>
      <w:lvlText w:val="%1.%2"/>
      <w:lvlJc w:val="left"/>
      <w:pPr>
        <w:ind w:left="1141"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nsid w:val="4687676B"/>
    <w:multiLevelType w:val="hybridMultilevel"/>
    <w:tmpl w:val="AB66D76A"/>
    <w:lvl w:ilvl="0" w:tplc="E23CC88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nsid w:val="4CF762DA"/>
    <w:multiLevelType w:val="hybridMultilevel"/>
    <w:tmpl w:val="2CD0768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nsid w:val="4FF22F82"/>
    <w:multiLevelType w:val="multilevel"/>
    <w:tmpl w:val="078C0480"/>
    <w:lvl w:ilvl="0">
      <w:start w:val="1"/>
      <w:numFmt w:val="decimal"/>
      <w:lvlText w:val="%1."/>
      <w:lvlJc w:val="left"/>
      <w:pPr>
        <w:ind w:left="360" w:hanging="360"/>
      </w:pPr>
      <w:rPr>
        <w:rFonts w:hint="default"/>
      </w:rPr>
    </w:lvl>
    <w:lvl w:ilvl="1">
      <w:start w:val="2"/>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5AA541AF"/>
    <w:multiLevelType w:val="hybridMultilevel"/>
    <w:tmpl w:val="2A04502C"/>
    <w:lvl w:ilvl="0" w:tplc="0419000B">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7">
    <w:nsid w:val="5D303E4E"/>
    <w:multiLevelType w:val="hybridMultilevel"/>
    <w:tmpl w:val="1F36D79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nsid w:val="5DF017E1"/>
    <w:multiLevelType w:val="hybridMultilevel"/>
    <w:tmpl w:val="A6E8C0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6A003D"/>
    <w:multiLevelType w:val="hybridMultilevel"/>
    <w:tmpl w:val="0AB8A75A"/>
    <w:lvl w:ilvl="0" w:tplc="C83C6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12E6F82"/>
    <w:multiLevelType w:val="hybridMultilevel"/>
    <w:tmpl w:val="87A8B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B756C"/>
    <w:multiLevelType w:val="hybridMultilevel"/>
    <w:tmpl w:val="1F36D79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nsid w:val="6C554DAC"/>
    <w:multiLevelType w:val="hybridMultilevel"/>
    <w:tmpl w:val="BC8862D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6E9E6D88"/>
    <w:multiLevelType w:val="hybridMultilevel"/>
    <w:tmpl w:val="C0AC00F2"/>
    <w:lvl w:ilvl="0" w:tplc="0B761CC2">
      <w:start w:val="5"/>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4">
    <w:nsid w:val="6F696C5B"/>
    <w:multiLevelType w:val="hybridMultilevel"/>
    <w:tmpl w:val="049E5998"/>
    <w:lvl w:ilvl="0" w:tplc="61BCE104">
      <w:start w:val="2"/>
      <w:numFmt w:val="bullet"/>
      <w:lvlText w:val="-"/>
      <w:lvlJc w:val="left"/>
      <w:pPr>
        <w:ind w:left="1068" w:hanging="360"/>
      </w:pPr>
      <w:rPr>
        <w:rFonts w:ascii="Times New Roman" w:eastAsiaTheme="minorHAnsi" w:hAnsi="Times New Roman" w:cs="Times New Roman"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25">
    <w:nsid w:val="71F33A4E"/>
    <w:multiLevelType w:val="hybridMultilevel"/>
    <w:tmpl w:val="D4CC15DC"/>
    <w:lvl w:ilvl="0" w:tplc="4374183A">
      <w:start w:val="1"/>
      <w:numFmt w:val="decimal"/>
      <w:lvlText w:val="%1."/>
      <w:lvlJc w:val="left"/>
      <w:pPr>
        <w:ind w:left="780" w:hanging="4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30274ED"/>
    <w:multiLevelType w:val="multilevel"/>
    <w:tmpl w:val="03169E00"/>
    <w:lvl w:ilvl="0">
      <w:start w:val="1"/>
      <w:numFmt w:val="decimal"/>
      <w:lvlText w:val="%1."/>
      <w:lvlJc w:val="left"/>
      <w:rPr>
        <w:dstrike w:val="0"/>
      </w:rPr>
    </w:lvl>
    <w:lvl w:ilvl="1">
      <w:start w:val="1"/>
      <w:numFmt w:val="none"/>
      <w:suff w:val="nothing"/>
      <w:lvlText w:val=""/>
      <w:lvlJc w:val="left"/>
      <w:rPr>
        <w:dstrike w:val="0"/>
      </w:rPr>
    </w:lvl>
    <w:lvl w:ilvl="2">
      <w:start w:val="1"/>
      <w:numFmt w:val="none"/>
      <w:suff w:val="nothing"/>
      <w:lvlText w:val=""/>
      <w:lvlJc w:val="left"/>
      <w:rPr>
        <w:dstrike w:val="0"/>
      </w:rPr>
    </w:lvl>
    <w:lvl w:ilvl="3">
      <w:start w:val="1"/>
      <w:numFmt w:val="none"/>
      <w:suff w:val="nothing"/>
      <w:lvlText w:val=""/>
      <w:lvlJc w:val="left"/>
      <w:rPr>
        <w:dstrike w:val="0"/>
      </w:rPr>
    </w:lvl>
    <w:lvl w:ilvl="4">
      <w:start w:val="1"/>
      <w:numFmt w:val="none"/>
      <w:suff w:val="nothing"/>
      <w:lvlText w:val=""/>
      <w:lvlJc w:val="left"/>
      <w:rPr>
        <w:dstrike w:val="0"/>
      </w:rPr>
    </w:lvl>
    <w:lvl w:ilvl="5">
      <w:start w:val="1"/>
      <w:numFmt w:val="none"/>
      <w:suff w:val="nothing"/>
      <w:lvlText w:val=""/>
      <w:lvlJc w:val="left"/>
      <w:rPr>
        <w:dstrike w:val="0"/>
      </w:rPr>
    </w:lvl>
    <w:lvl w:ilvl="6">
      <w:start w:val="1"/>
      <w:numFmt w:val="none"/>
      <w:suff w:val="nothing"/>
      <w:lvlText w:val=""/>
      <w:lvlJc w:val="left"/>
      <w:rPr>
        <w:dstrike w:val="0"/>
      </w:rPr>
    </w:lvl>
    <w:lvl w:ilvl="7">
      <w:start w:val="1"/>
      <w:numFmt w:val="none"/>
      <w:suff w:val="nothing"/>
      <w:lvlText w:val=""/>
      <w:lvlJc w:val="left"/>
      <w:rPr>
        <w:dstrike w:val="0"/>
      </w:rPr>
    </w:lvl>
    <w:lvl w:ilvl="8">
      <w:start w:val="1"/>
      <w:numFmt w:val="none"/>
      <w:suff w:val="nothing"/>
      <w:lvlText w:val=""/>
      <w:lvlJc w:val="left"/>
      <w:rPr>
        <w:dstrike w:val="0"/>
      </w:rPr>
    </w:lvl>
  </w:abstractNum>
  <w:abstractNum w:abstractNumId="27">
    <w:nsid w:val="76515D87"/>
    <w:multiLevelType w:val="hybridMultilevel"/>
    <w:tmpl w:val="26E0C222"/>
    <w:lvl w:ilvl="0" w:tplc="0EA8A4D6">
      <w:start w:val="50"/>
      <w:numFmt w:val="bullet"/>
      <w:lvlText w:val=""/>
      <w:lvlJc w:val="left"/>
      <w:pPr>
        <w:ind w:left="1068" w:hanging="360"/>
      </w:pPr>
      <w:rPr>
        <w:rFonts w:ascii="Symbol" w:eastAsiaTheme="minorHAnsi" w:hAnsi="Symbol" w:cs="Times New Roman"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28">
    <w:nsid w:val="78F22B79"/>
    <w:multiLevelType w:val="hybridMultilevel"/>
    <w:tmpl w:val="DBE0D31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nsid w:val="79532AFE"/>
    <w:multiLevelType w:val="hybridMultilevel"/>
    <w:tmpl w:val="1F36D79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nsid w:val="7AE754C4"/>
    <w:multiLevelType w:val="hybridMultilevel"/>
    <w:tmpl w:val="0D98EFA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D84E8D"/>
    <w:multiLevelType w:val="hybridMultilevel"/>
    <w:tmpl w:val="C62402C6"/>
    <w:lvl w:ilvl="0" w:tplc="4D52C9DC">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0"/>
  </w:num>
  <w:num w:numId="4">
    <w:abstractNumId w:val="18"/>
  </w:num>
  <w:num w:numId="5">
    <w:abstractNumId w:val="4"/>
  </w:num>
  <w:num w:numId="6">
    <w:abstractNumId w:val="5"/>
  </w:num>
  <w:num w:numId="7">
    <w:abstractNumId w:val="2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7"/>
  </w:num>
  <w:num w:numId="12">
    <w:abstractNumId w:val="29"/>
  </w:num>
  <w:num w:numId="13">
    <w:abstractNumId w:val="1"/>
  </w:num>
  <w:num w:numId="14">
    <w:abstractNumId w:val="21"/>
  </w:num>
  <w:num w:numId="15">
    <w:abstractNumId w:val="28"/>
  </w:num>
  <w:num w:numId="16">
    <w:abstractNumId w:val="11"/>
  </w:num>
  <w:num w:numId="17">
    <w:abstractNumId w:val="17"/>
  </w:num>
  <w:num w:numId="18">
    <w:abstractNumId w:val="14"/>
  </w:num>
  <w:num w:numId="19">
    <w:abstractNumId w:val="10"/>
  </w:num>
  <w:num w:numId="20">
    <w:abstractNumId w:val="16"/>
  </w:num>
  <w:num w:numId="21">
    <w:abstractNumId w:val="12"/>
  </w:num>
  <w:num w:numId="22">
    <w:abstractNumId w:val="9"/>
  </w:num>
  <w:num w:numId="23">
    <w:abstractNumId w:val="6"/>
  </w:num>
  <w:num w:numId="24">
    <w:abstractNumId w:val="31"/>
  </w:num>
  <w:num w:numId="25">
    <w:abstractNumId w:val="13"/>
  </w:num>
  <w:num w:numId="26">
    <w:abstractNumId w:val="19"/>
  </w:num>
  <w:num w:numId="27">
    <w:abstractNumId w:val="26"/>
  </w:num>
  <w:num w:numId="28">
    <w:abstractNumId w:val="3"/>
  </w:num>
  <w:num w:numId="29">
    <w:abstractNumId w:val="7"/>
  </w:num>
  <w:num w:numId="30">
    <w:abstractNumId w:val="20"/>
  </w:num>
  <w:num w:numId="31">
    <w:abstractNumId w:val="8"/>
  </w:num>
  <w:num w:numId="32">
    <w:abstractNumId w:val="2"/>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244"/>
    <w:rsid w:val="0000073D"/>
    <w:rsid w:val="000028E8"/>
    <w:rsid w:val="0000583F"/>
    <w:rsid w:val="00012A70"/>
    <w:rsid w:val="00012D84"/>
    <w:rsid w:val="00012FC3"/>
    <w:rsid w:val="0001359B"/>
    <w:rsid w:val="000135FA"/>
    <w:rsid w:val="00013A30"/>
    <w:rsid w:val="00013F8C"/>
    <w:rsid w:val="00015474"/>
    <w:rsid w:val="00017E0D"/>
    <w:rsid w:val="000210B8"/>
    <w:rsid w:val="00021A1C"/>
    <w:rsid w:val="00023075"/>
    <w:rsid w:val="0003112A"/>
    <w:rsid w:val="00032153"/>
    <w:rsid w:val="0003221A"/>
    <w:rsid w:val="000334F8"/>
    <w:rsid w:val="00033A97"/>
    <w:rsid w:val="00033BA5"/>
    <w:rsid w:val="000346E5"/>
    <w:rsid w:val="00034FE6"/>
    <w:rsid w:val="000402A6"/>
    <w:rsid w:val="00040650"/>
    <w:rsid w:val="0004172D"/>
    <w:rsid w:val="00042688"/>
    <w:rsid w:val="00042706"/>
    <w:rsid w:val="00044321"/>
    <w:rsid w:val="00044496"/>
    <w:rsid w:val="00047AB3"/>
    <w:rsid w:val="000513C5"/>
    <w:rsid w:val="00052965"/>
    <w:rsid w:val="0005340E"/>
    <w:rsid w:val="00055600"/>
    <w:rsid w:val="00055CA2"/>
    <w:rsid w:val="00055E10"/>
    <w:rsid w:val="00057654"/>
    <w:rsid w:val="00060570"/>
    <w:rsid w:val="000605F6"/>
    <w:rsid w:val="00061EB0"/>
    <w:rsid w:val="00063295"/>
    <w:rsid w:val="000635FC"/>
    <w:rsid w:val="00063BC3"/>
    <w:rsid w:val="0006456B"/>
    <w:rsid w:val="00065DEC"/>
    <w:rsid w:val="000673DD"/>
    <w:rsid w:val="000673F8"/>
    <w:rsid w:val="00067D98"/>
    <w:rsid w:val="00067DE2"/>
    <w:rsid w:val="000701F8"/>
    <w:rsid w:val="00070DC6"/>
    <w:rsid w:val="00070E84"/>
    <w:rsid w:val="00074A4F"/>
    <w:rsid w:val="000760D8"/>
    <w:rsid w:val="000775C3"/>
    <w:rsid w:val="00080812"/>
    <w:rsid w:val="00081194"/>
    <w:rsid w:val="00081B1D"/>
    <w:rsid w:val="000845D3"/>
    <w:rsid w:val="000849F5"/>
    <w:rsid w:val="000852FB"/>
    <w:rsid w:val="00085A4F"/>
    <w:rsid w:val="00086CA5"/>
    <w:rsid w:val="00092AA4"/>
    <w:rsid w:val="00092B89"/>
    <w:rsid w:val="00094448"/>
    <w:rsid w:val="00094836"/>
    <w:rsid w:val="0009534E"/>
    <w:rsid w:val="00095DF0"/>
    <w:rsid w:val="00097FFC"/>
    <w:rsid w:val="000A0529"/>
    <w:rsid w:val="000A09A6"/>
    <w:rsid w:val="000A1519"/>
    <w:rsid w:val="000A1837"/>
    <w:rsid w:val="000A334D"/>
    <w:rsid w:val="000A4090"/>
    <w:rsid w:val="000A4DA9"/>
    <w:rsid w:val="000A5179"/>
    <w:rsid w:val="000A5416"/>
    <w:rsid w:val="000A6AE6"/>
    <w:rsid w:val="000A7C5F"/>
    <w:rsid w:val="000B00CB"/>
    <w:rsid w:val="000B27B6"/>
    <w:rsid w:val="000B29C6"/>
    <w:rsid w:val="000B2A21"/>
    <w:rsid w:val="000B361F"/>
    <w:rsid w:val="000B386B"/>
    <w:rsid w:val="000B6763"/>
    <w:rsid w:val="000C2C7B"/>
    <w:rsid w:val="000C4132"/>
    <w:rsid w:val="000C4320"/>
    <w:rsid w:val="000C6563"/>
    <w:rsid w:val="000C7DF2"/>
    <w:rsid w:val="000D1901"/>
    <w:rsid w:val="000D4B38"/>
    <w:rsid w:val="000D7194"/>
    <w:rsid w:val="000D748D"/>
    <w:rsid w:val="000E0289"/>
    <w:rsid w:val="000E18AC"/>
    <w:rsid w:val="000E2464"/>
    <w:rsid w:val="000E25C2"/>
    <w:rsid w:val="000E2978"/>
    <w:rsid w:val="000E3E8D"/>
    <w:rsid w:val="000E4B69"/>
    <w:rsid w:val="000E4C40"/>
    <w:rsid w:val="000E53B2"/>
    <w:rsid w:val="000E6110"/>
    <w:rsid w:val="000E74C3"/>
    <w:rsid w:val="000F0498"/>
    <w:rsid w:val="000F1FBD"/>
    <w:rsid w:val="000F2E6F"/>
    <w:rsid w:val="000F3DB1"/>
    <w:rsid w:val="000F59BE"/>
    <w:rsid w:val="000F5F71"/>
    <w:rsid w:val="000F6D14"/>
    <w:rsid w:val="00100053"/>
    <w:rsid w:val="001028B7"/>
    <w:rsid w:val="00102EAC"/>
    <w:rsid w:val="001037EE"/>
    <w:rsid w:val="00103DB8"/>
    <w:rsid w:val="00105BCE"/>
    <w:rsid w:val="00105C67"/>
    <w:rsid w:val="001069BD"/>
    <w:rsid w:val="00110B9B"/>
    <w:rsid w:val="001120B2"/>
    <w:rsid w:val="00112CDE"/>
    <w:rsid w:val="00114090"/>
    <w:rsid w:val="00114CCF"/>
    <w:rsid w:val="00115D14"/>
    <w:rsid w:val="00115FCF"/>
    <w:rsid w:val="001175D5"/>
    <w:rsid w:val="00117681"/>
    <w:rsid w:val="001204D8"/>
    <w:rsid w:val="00120884"/>
    <w:rsid w:val="00120964"/>
    <w:rsid w:val="00123507"/>
    <w:rsid w:val="00123761"/>
    <w:rsid w:val="0012395D"/>
    <w:rsid w:val="00124675"/>
    <w:rsid w:val="001248F6"/>
    <w:rsid w:val="00124B39"/>
    <w:rsid w:val="001256A4"/>
    <w:rsid w:val="001304A9"/>
    <w:rsid w:val="00133150"/>
    <w:rsid w:val="0013364B"/>
    <w:rsid w:val="00133BA4"/>
    <w:rsid w:val="00134124"/>
    <w:rsid w:val="001345B2"/>
    <w:rsid w:val="001358AC"/>
    <w:rsid w:val="001362D9"/>
    <w:rsid w:val="001365C1"/>
    <w:rsid w:val="001409F9"/>
    <w:rsid w:val="00140E52"/>
    <w:rsid w:val="00140EF0"/>
    <w:rsid w:val="00142859"/>
    <w:rsid w:val="00143622"/>
    <w:rsid w:val="001437C1"/>
    <w:rsid w:val="00143D08"/>
    <w:rsid w:val="00145654"/>
    <w:rsid w:val="00145E8F"/>
    <w:rsid w:val="001475C9"/>
    <w:rsid w:val="001510DB"/>
    <w:rsid w:val="00153717"/>
    <w:rsid w:val="00153CBD"/>
    <w:rsid w:val="00155640"/>
    <w:rsid w:val="001556A0"/>
    <w:rsid w:val="0015703A"/>
    <w:rsid w:val="001574F3"/>
    <w:rsid w:val="00160A99"/>
    <w:rsid w:val="00160D18"/>
    <w:rsid w:val="00161A83"/>
    <w:rsid w:val="00161E1C"/>
    <w:rsid w:val="00163A4E"/>
    <w:rsid w:val="00163EDB"/>
    <w:rsid w:val="00166E44"/>
    <w:rsid w:val="00166FEB"/>
    <w:rsid w:val="00167A90"/>
    <w:rsid w:val="00170F17"/>
    <w:rsid w:val="001711BE"/>
    <w:rsid w:val="00171EC6"/>
    <w:rsid w:val="001720D8"/>
    <w:rsid w:val="001745D7"/>
    <w:rsid w:val="00174C1E"/>
    <w:rsid w:val="001802E2"/>
    <w:rsid w:val="00181329"/>
    <w:rsid w:val="00181DA9"/>
    <w:rsid w:val="00181E84"/>
    <w:rsid w:val="00181FBA"/>
    <w:rsid w:val="0018218F"/>
    <w:rsid w:val="0018219B"/>
    <w:rsid w:val="00184061"/>
    <w:rsid w:val="00185CE3"/>
    <w:rsid w:val="00187219"/>
    <w:rsid w:val="00191D04"/>
    <w:rsid w:val="00191F5A"/>
    <w:rsid w:val="0019293D"/>
    <w:rsid w:val="00192A05"/>
    <w:rsid w:val="00192DA5"/>
    <w:rsid w:val="00193EE3"/>
    <w:rsid w:val="001944DC"/>
    <w:rsid w:val="001976BA"/>
    <w:rsid w:val="001A0B99"/>
    <w:rsid w:val="001A0C49"/>
    <w:rsid w:val="001A24D3"/>
    <w:rsid w:val="001A265D"/>
    <w:rsid w:val="001A2CFB"/>
    <w:rsid w:val="001A2E09"/>
    <w:rsid w:val="001A5AB9"/>
    <w:rsid w:val="001B32AC"/>
    <w:rsid w:val="001B4296"/>
    <w:rsid w:val="001B6330"/>
    <w:rsid w:val="001C231F"/>
    <w:rsid w:val="001C2E00"/>
    <w:rsid w:val="001C4BA8"/>
    <w:rsid w:val="001C5836"/>
    <w:rsid w:val="001C7C91"/>
    <w:rsid w:val="001D0703"/>
    <w:rsid w:val="001D0C05"/>
    <w:rsid w:val="001D46BC"/>
    <w:rsid w:val="001D4756"/>
    <w:rsid w:val="001D5ECF"/>
    <w:rsid w:val="001D6289"/>
    <w:rsid w:val="001D6D13"/>
    <w:rsid w:val="001E2869"/>
    <w:rsid w:val="001E3616"/>
    <w:rsid w:val="001E36F7"/>
    <w:rsid w:val="001E384C"/>
    <w:rsid w:val="001E5CD5"/>
    <w:rsid w:val="001E618B"/>
    <w:rsid w:val="001F0603"/>
    <w:rsid w:val="001F23D6"/>
    <w:rsid w:val="001F3B7C"/>
    <w:rsid w:val="001F414F"/>
    <w:rsid w:val="001F5F37"/>
    <w:rsid w:val="001F7AF9"/>
    <w:rsid w:val="001F7FC8"/>
    <w:rsid w:val="00201882"/>
    <w:rsid w:val="00202E3C"/>
    <w:rsid w:val="00202FA3"/>
    <w:rsid w:val="00203741"/>
    <w:rsid w:val="00203C78"/>
    <w:rsid w:val="0020489F"/>
    <w:rsid w:val="00204AFF"/>
    <w:rsid w:val="002052A7"/>
    <w:rsid w:val="00206720"/>
    <w:rsid w:val="00206E3A"/>
    <w:rsid w:val="0021069F"/>
    <w:rsid w:val="00210A21"/>
    <w:rsid w:val="0021348C"/>
    <w:rsid w:val="0021458E"/>
    <w:rsid w:val="00214B44"/>
    <w:rsid w:val="00215F01"/>
    <w:rsid w:val="00216F09"/>
    <w:rsid w:val="00217C48"/>
    <w:rsid w:val="0022028A"/>
    <w:rsid w:val="00220E48"/>
    <w:rsid w:val="00221C64"/>
    <w:rsid w:val="00225E3B"/>
    <w:rsid w:val="00227F40"/>
    <w:rsid w:val="0023446D"/>
    <w:rsid w:val="00234DC9"/>
    <w:rsid w:val="00235CFC"/>
    <w:rsid w:val="00236598"/>
    <w:rsid w:val="00236C30"/>
    <w:rsid w:val="002379EE"/>
    <w:rsid w:val="00240243"/>
    <w:rsid w:val="00242683"/>
    <w:rsid w:val="00242C83"/>
    <w:rsid w:val="00243EAD"/>
    <w:rsid w:val="00245A32"/>
    <w:rsid w:val="00247325"/>
    <w:rsid w:val="002475F2"/>
    <w:rsid w:val="00253235"/>
    <w:rsid w:val="00253E32"/>
    <w:rsid w:val="00254105"/>
    <w:rsid w:val="0025557C"/>
    <w:rsid w:val="0025599E"/>
    <w:rsid w:val="002578CB"/>
    <w:rsid w:val="0026140B"/>
    <w:rsid w:val="00261F62"/>
    <w:rsid w:val="002621E6"/>
    <w:rsid w:val="00263552"/>
    <w:rsid w:val="00265D3D"/>
    <w:rsid w:val="002675F5"/>
    <w:rsid w:val="00267FB3"/>
    <w:rsid w:val="002709CE"/>
    <w:rsid w:val="00271BD0"/>
    <w:rsid w:val="00272BDF"/>
    <w:rsid w:val="00272FCA"/>
    <w:rsid w:val="002732B9"/>
    <w:rsid w:val="002742D0"/>
    <w:rsid w:val="002746AE"/>
    <w:rsid w:val="00275188"/>
    <w:rsid w:val="00276415"/>
    <w:rsid w:val="00277BDA"/>
    <w:rsid w:val="00280028"/>
    <w:rsid w:val="002807F8"/>
    <w:rsid w:val="00282CC4"/>
    <w:rsid w:val="00283211"/>
    <w:rsid w:val="0028443E"/>
    <w:rsid w:val="00285C52"/>
    <w:rsid w:val="00287A50"/>
    <w:rsid w:val="00290F5D"/>
    <w:rsid w:val="00291EEA"/>
    <w:rsid w:val="00292711"/>
    <w:rsid w:val="00292804"/>
    <w:rsid w:val="002929B6"/>
    <w:rsid w:val="002932C4"/>
    <w:rsid w:val="0029368A"/>
    <w:rsid w:val="002946A4"/>
    <w:rsid w:val="0029480F"/>
    <w:rsid w:val="00295BAD"/>
    <w:rsid w:val="00297559"/>
    <w:rsid w:val="00297A58"/>
    <w:rsid w:val="002A0BDD"/>
    <w:rsid w:val="002A58F2"/>
    <w:rsid w:val="002A733D"/>
    <w:rsid w:val="002B136D"/>
    <w:rsid w:val="002B2F2D"/>
    <w:rsid w:val="002B33FD"/>
    <w:rsid w:val="002B41FF"/>
    <w:rsid w:val="002B4E82"/>
    <w:rsid w:val="002B5069"/>
    <w:rsid w:val="002B5881"/>
    <w:rsid w:val="002B6CC3"/>
    <w:rsid w:val="002B6D1D"/>
    <w:rsid w:val="002B7127"/>
    <w:rsid w:val="002B7350"/>
    <w:rsid w:val="002B7537"/>
    <w:rsid w:val="002C0E53"/>
    <w:rsid w:val="002C2A12"/>
    <w:rsid w:val="002C4438"/>
    <w:rsid w:val="002C46A8"/>
    <w:rsid w:val="002D2784"/>
    <w:rsid w:val="002D3304"/>
    <w:rsid w:val="002D4967"/>
    <w:rsid w:val="002D649E"/>
    <w:rsid w:val="002D66E4"/>
    <w:rsid w:val="002D67F8"/>
    <w:rsid w:val="002D725B"/>
    <w:rsid w:val="002E02A9"/>
    <w:rsid w:val="002E1A3B"/>
    <w:rsid w:val="002E323C"/>
    <w:rsid w:val="002E4EFB"/>
    <w:rsid w:val="002E73B1"/>
    <w:rsid w:val="002F06E7"/>
    <w:rsid w:val="002F4108"/>
    <w:rsid w:val="002F4171"/>
    <w:rsid w:val="002F5DBD"/>
    <w:rsid w:val="002F7857"/>
    <w:rsid w:val="00300C79"/>
    <w:rsid w:val="0030116F"/>
    <w:rsid w:val="00304390"/>
    <w:rsid w:val="00304762"/>
    <w:rsid w:val="003058EB"/>
    <w:rsid w:val="00306A55"/>
    <w:rsid w:val="00311A7F"/>
    <w:rsid w:val="00312892"/>
    <w:rsid w:val="00312A96"/>
    <w:rsid w:val="00312ADE"/>
    <w:rsid w:val="003133EE"/>
    <w:rsid w:val="00313524"/>
    <w:rsid w:val="00313563"/>
    <w:rsid w:val="003138EE"/>
    <w:rsid w:val="0031421F"/>
    <w:rsid w:val="00314E53"/>
    <w:rsid w:val="00314FDE"/>
    <w:rsid w:val="00315C65"/>
    <w:rsid w:val="0031614B"/>
    <w:rsid w:val="00317C92"/>
    <w:rsid w:val="00320129"/>
    <w:rsid w:val="003206AB"/>
    <w:rsid w:val="00321084"/>
    <w:rsid w:val="00321765"/>
    <w:rsid w:val="0032176C"/>
    <w:rsid w:val="00322446"/>
    <w:rsid w:val="003242EC"/>
    <w:rsid w:val="00325521"/>
    <w:rsid w:val="00326F83"/>
    <w:rsid w:val="003300FF"/>
    <w:rsid w:val="00330257"/>
    <w:rsid w:val="00330660"/>
    <w:rsid w:val="00330958"/>
    <w:rsid w:val="00330C94"/>
    <w:rsid w:val="00333038"/>
    <w:rsid w:val="00334A43"/>
    <w:rsid w:val="00334A72"/>
    <w:rsid w:val="0033603D"/>
    <w:rsid w:val="00336183"/>
    <w:rsid w:val="003365B3"/>
    <w:rsid w:val="0034246C"/>
    <w:rsid w:val="0034363E"/>
    <w:rsid w:val="00343715"/>
    <w:rsid w:val="00344806"/>
    <w:rsid w:val="003465A6"/>
    <w:rsid w:val="00350B0B"/>
    <w:rsid w:val="003520A1"/>
    <w:rsid w:val="00354B5A"/>
    <w:rsid w:val="00355322"/>
    <w:rsid w:val="0035630E"/>
    <w:rsid w:val="003568DA"/>
    <w:rsid w:val="00356C40"/>
    <w:rsid w:val="00356D6E"/>
    <w:rsid w:val="003579F1"/>
    <w:rsid w:val="00357D14"/>
    <w:rsid w:val="00360DBF"/>
    <w:rsid w:val="0036336E"/>
    <w:rsid w:val="00363B48"/>
    <w:rsid w:val="00364308"/>
    <w:rsid w:val="00364872"/>
    <w:rsid w:val="003655AA"/>
    <w:rsid w:val="00365A59"/>
    <w:rsid w:val="00365AC2"/>
    <w:rsid w:val="00365ADF"/>
    <w:rsid w:val="0036699C"/>
    <w:rsid w:val="00366CEC"/>
    <w:rsid w:val="0037080A"/>
    <w:rsid w:val="0037124C"/>
    <w:rsid w:val="003728F9"/>
    <w:rsid w:val="0037553E"/>
    <w:rsid w:val="0037557F"/>
    <w:rsid w:val="00375C10"/>
    <w:rsid w:val="00375C75"/>
    <w:rsid w:val="00377EC7"/>
    <w:rsid w:val="003801DD"/>
    <w:rsid w:val="00380E32"/>
    <w:rsid w:val="00383844"/>
    <w:rsid w:val="003847FE"/>
    <w:rsid w:val="0038552C"/>
    <w:rsid w:val="003855A9"/>
    <w:rsid w:val="00391A80"/>
    <w:rsid w:val="003A13C8"/>
    <w:rsid w:val="003A2329"/>
    <w:rsid w:val="003A2D30"/>
    <w:rsid w:val="003A404C"/>
    <w:rsid w:val="003A52E7"/>
    <w:rsid w:val="003A5A07"/>
    <w:rsid w:val="003A6E7E"/>
    <w:rsid w:val="003B03E7"/>
    <w:rsid w:val="003B1C5C"/>
    <w:rsid w:val="003B2D8F"/>
    <w:rsid w:val="003B3E6E"/>
    <w:rsid w:val="003B4AEA"/>
    <w:rsid w:val="003B7A0F"/>
    <w:rsid w:val="003C076B"/>
    <w:rsid w:val="003C0FF5"/>
    <w:rsid w:val="003C2FF4"/>
    <w:rsid w:val="003C33EB"/>
    <w:rsid w:val="003C40B8"/>
    <w:rsid w:val="003C4AB8"/>
    <w:rsid w:val="003C63B0"/>
    <w:rsid w:val="003C6540"/>
    <w:rsid w:val="003C793E"/>
    <w:rsid w:val="003D0228"/>
    <w:rsid w:val="003D0870"/>
    <w:rsid w:val="003D1253"/>
    <w:rsid w:val="003D3B42"/>
    <w:rsid w:val="003D43BF"/>
    <w:rsid w:val="003D43D3"/>
    <w:rsid w:val="003D4CE3"/>
    <w:rsid w:val="003D4F4C"/>
    <w:rsid w:val="003D5199"/>
    <w:rsid w:val="003D5F94"/>
    <w:rsid w:val="003D7E01"/>
    <w:rsid w:val="003E0278"/>
    <w:rsid w:val="003E0E6B"/>
    <w:rsid w:val="003E141B"/>
    <w:rsid w:val="003E173E"/>
    <w:rsid w:val="003E39AF"/>
    <w:rsid w:val="003E3D16"/>
    <w:rsid w:val="003E4713"/>
    <w:rsid w:val="003E57E9"/>
    <w:rsid w:val="003E5A4A"/>
    <w:rsid w:val="003E6BA6"/>
    <w:rsid w:val="003E6CDB"/>
    <w:rsid w:val="003F080E"/>
    <w:rsid w:val="003F17FF"/>
    <w:rsid w:val="003F3205"/>
    <w:rsid w:val="003F3C12"/>
    <w:rsid w:val="003F5FAA"/>
    <w:rsid w:val="003F783A"/>
    <w:rsid w:val="003F7D83"/>
    <w:rsid w:val="00402FBA"/>
    <w:rsid w:val="004043DB"/>
    <w:rsid w:val="004047AE"/>
    <w:rsid w:val="0040486A"/>
    <w:rsid w:val="00406500"/>
    <w:rsid w:val="004074BC"/>
    <w:rsid w:val="00407E99"/>
    <w:rsid w:val="004101E7"/>
    <w:rsid w:val="00410493"/>
    <w:rsid w:val="00410C23"/>
    <w:rsid w:val="004111C4"/>
    <w:rsid w:val="0041163D"/>
    <w:rsid w:val="004132E1"/>
    <w:rsid w:val="0041386D"/>
    <w:rsid w:val="00413D3F"/>
    <w:rsid w:val="00413E60"/>
    <w:rsid w:val="004147BB"/>
    <w:rsid w:val="00414B9F"/>
    <w:rsid w:val="00414EE3"/>
    <w:rsid w:val="00414F53"/>
    <w:rsid w:val="00415F9F"/>
    <w:rsid w:val="0041655F"/>
    <w:rsid w:val="004213BB"/>
    <w:rsid w:val="00421479"/>
    <w:rsid w:val="00421F9A"/>
    <w:rsid w:val="0042222F"/>
    <w:rsid w:val="004232BE"/>
    <w:rsid w:val="00425890"/>
    <w:rsid w:val="0042721E"/>
    <w:rsid w:val="00430A14"/>
    <w:rsid w:val="00432150"/>
    <w:rsid w:val="00432D19"/>
    <w:rsid w:val="00433E85"/>
    <w:rsid w:val="00434B89"/>
    <w:rsid w:val="00435929"/>
    <w:rsid w:val="0043660C"/>
    <w:rsid w:val="00436993"/>
    <w:rsid w:val="00440E07"/>
    <w:rsid w:val="004421E0"/>
    <w:rsid w:val="004428BB"/>
    <w:rsid w:val="00443895"/>
    <w:rsid w:val="00443CF3"/>
    <w:rsid w:val="00443DD5"/>
    <w:rsid w:val="0044499C"/>
    <w:rsid w:val="00444B7E"/>
    <w:rsid w:val="00444C22"/>
    <w:rsid w:val="00452AE6"/>
    <w:rsid w:val="004554B0"/>
    <w:rsid w:val="00455815"/>
    <w:rsid w:val="0045583C"/>
    <w:rsid w:val="00455FA2"/>
    <w:rsid w:val="00456B36"/>
    <w:rsid w:val="00457449"/>
    <w:rsid w:val="00457646"/>
    <w:rsid w:val="00457A48"/>
    <w:rsid w:val="00462BE2"/>
    <w:rsid w:val="004634E7"/>
    <w:rsid w:val="0046790C"/>
    <w:rsid w:val="004706BF"/>
    <w:rsid w:val="00471BBF"/>
    <w:rsid w:val="004722CC"/>
    <w:rsid w:val="00474239"/>
    <w:rsid w:val="0047465E"/>
    <w:rsid w:val="00477387"/>
    <w:rsid w:val="0048079B"/>
    <w:rsid w:val="00482CCA"/>
    <w:rsid w:val="004830C2"/>
    <w:rsid w:val="004846C4"/>
    <w:rsid w:val="00486C1B"/>
    <w:rsid w:val="004874DA"/>
    <w:rsid w:val="004912B6"/>
    <w:rsid w:val="004912FC"/>
    <w:rsid w:val="00491D06"/>
    <w:rsid w:val="00492826"/>
    <w:rsid w:val="004931E6"/>
    <w:rsid w:val="00493936"/>
    <w:rsid w:val="00495DBA"/>
    <w:rsid w:val="0049772D"/>
    <w:rsid w:val="004A07B0"/>
    <w:rsid w:val="004A0C0A"/>
    <w:rsid w:val="004A1580"/>
    <w:rsid w:val="004A5DF5"/>
    <w:rsid w:val="004A7488"/>
    <w:rsid w:val="004A7669"/>
    <w:rsid w:val="004A7DF0"/>
    <w:rsid w:val="004B0216"/>
    <w:rsid w:val="004B2E49"/>
    <w:rsid w:val="004B38A6"/>
    <w:rsid w:val="004B40F7"/>
    <w:rsid w:val="004B4B2B"/>
    <w:rsid w:val="004B4DE2"/>
    <w:rsid w:val="004B50B0"/>
    <w:rsid w:val="004B6901"/>
    <w:rsid w:val="004C017C"/>
    <w:rsid w:val="004C3BD2"/>
    <w:rsid w:val="004C58AF"/>
    <w:rsid w:val="004C5C7B"/>
    <w:rsid w:val="004D17C9"/>
    <w:rsid w:val="004D343E"/>
    <w:rsid w:val="004D3B52"/>
    <w:rsid w:val="004D65B6"/>
    <w:rsid w:val="004D7690"/>
    <w:rsid w:val="004E1C1C"/>
    <w:rsid w:val="004E60B3"/>
    <w:rsid w:val="004E67BE"/>
    <w:rsid w:val="004E7460"/>
    <w:rsid w:val="004E7BC5"/>
    <w:rsid w:val="004F1848"/>
    <w:rsid w:val="004F2FDD"/>
    <w:rsid w:val="004F429A"/>
    <w:rsid w:val="004F454B"/>
    <w:rsid w:val="004F4CD9"/>
    <w:rsid w:val="004F55F1"/>
    <w:rsid w:val="004F6FAF"/>
    <w:rsid w:val="004F7162"/>
    <w:rsid w:val="00501B3D"/>
    <w:rsid w:val="00502272"/>
    <w:rsid w:val="00502959"/>
    <w:rsid w:val="00503B5A"/>
    <w:rsid w:val="0050416E"/>
    <w:rsid w:val="005072DE"/>
    <w:rsid w:val="00510BBA"/>
    <w:rsid w:val="0051340D"/>
    <w:rsid w:val="00513906"/>
    <w:rsid w:val="0051523E"/>
    <w:rsid w:val="00516E6B"/>
    <w:rsid w:val="00517126"/>
    <w:rsid w:val="00520A0B"/>
    <w:rsid w:val="00522A58"/>
    <w:rsid w:val="00522B07"/>
    <w:rsid w:val="00523230"/>
    <w:rsid w:val="005243F8"/>
    <w:rsid w:val="0052448B"/>
    <w:rsid w:val="00524D97"/>
    <w:rsid w:val="005258A3"/>
    <w:rsid w:val="005264F8"/>
    <w:rsid w:val="00530468"/>
    <w:rsid w:val="00530A65"/>
    <w:rsid w:val="00532035"/>
    <w:rsid w:val="00532FDF"/>
    <w:rsid w:val="00533566"/>
    <w:rsid w:val="00533796"/>
    <w:rsid w:val="005337C8"/>
    <w:rsid w:val="00534078"/>
    <w:rsid w:val="005344F4"/>
    <w:rsid w:val="0053461A"/>
    <w:rsid w:val="00535804"/>
    <w:rsid w:val="00535B7F"/>
    <w:rsid w:val="005371EF"/>
    <w:rsid w:val="00541B8B"/>
    <w:rsid w:val="00541ED1"/>
    <w:rsid w:val="0054313E"/>
    <w:rsid w:val="00546DED"/>
    <w:rsid w:val="00550119"/>
    <w:rsid w:val="00550BDA"/>
    <w:rsid w:val="0055394E"/>
    <w:rsid w:val="005559F7"/>
    <w:rsid w:val="00557A1D"/>
    <w:rsid w:val="005618AC"/>
    <w:rsid w:val="00561B51"/>
    <w:rsid w:val="005629F5"/>
    <w:rsid w:val="00563B20"/>
    <w:rsid w:val="00570159"/>
    <w:rsid w:val="00573FD1"/>
    <w:rsid w:val="00574FB1"/>
    <w:rsid w:val="00575181"/>
    <w:rsid w:val="00580037"/>
    <w:rsid w:val="0058324B"/>
    <w:rsid w:val="0058346B"/>
    <w:rsid w:val="00583F25"/>
    <w:rsid w:val="00585F60"/>
    <w:rsid w:val="0059042D"/>
    <w:rsid w:val="00590565"/>
    <w:rsid w:val="00590C72"/>
    <w:rsid w:val="00591637"/>
    <w:rsid w:val="00594545"/>
    <w:rsid w:val="00596837"/>
    <w:rsid w:val="00597654"/>
    <w:rsid w:val="00597CED"/>
    <w:rsid w:val="005A1375"/>
    <w:rsid w:val="005A27E9"/>
    <w:rsid w:val="005A3433"/>
    <w:rsid w:val="005A3AE9"/>
    <w:rsid w:val="005A3CB0"/>
    <w:rsid w:val="005A54CB"/>
    <w:rsid w:val="005A61AA"/>
    <w:rsid w:val="005A75A3"/>
    <w:rsid w:val="005B0439"/>
    <w:rsid w:val="005B0467"/>
    <w:rsid w:val="005B052F"/>
    <w:rsid w:val="005B08C2"/>
    <w:rsid w:val="005B18BE"/>
    <w:rsid w:val="005B30BF"/>
    <w:rsid w:val="005B3D8C"/>
    <w:rsid w:val="005C20A8"/>
    <w:rsid w:val="005C2139"/>
    <w:rsid w:val="005C5267"/>
    <w:rsid w:val="005C56BE"/>
    <w:rsid w:val="005C5DAF"/>
    <w:rsid w:val="005C602B"/>
    <w:rsid w:val="005D3305"/>
    <w:rsid w:val="005D4539"/>
    <w:rsid w:val="005D5458"/>
    <w:rsid w:val="005D6AA6"/>
    <w:rsid w:val="005D7235"/>
    <w:rsid w:val="005D7D64"/>
    <w:rsid w:val="005E21A1"/>
    <w:rsid w:val="005E4D8F"/>
    <w:rsid w:val="005E7DE7"/>
    <w:rsid w:val="005F0A98"/>
    <w:rsid w:val="005F0E57"/>
    <w:rsid w:val="005F1DEA"/>
    <w:rsid w:val="005F2AF0"/>
    <w:rsid w:val="005F610D"/>
    <w:rsid w:val="00600F00"/>
    <w:rsid w:val="00602E48"/>
    <w:rsid w:val="00603A83"/>
    <w:rsid w:val="006050AC"/>
    <w:rsid w:val="00606D39"/>
    <w:rsid w:val="00610232"/>
    <w:rsid w:val="006103DB"/>
    <w:rsid w:val="006116AD"/>
    <w:rsid w:val="006126C0"/>
    <w:rsid w:val="0061354C"/>
    <w:rsid w:val="006138E1"/>
    <w:rsid w:val="006142C9"/>
    <w:rsid w:val="00614C87"/>
    <w:rsid w:val="00615969"/>
    <w:rsid w:val="00615FAB"/>
    <w:rsid w:val="00616082"/>
    <w:rsid w:val="00616111"/>
    <w:rsid w:val="00616CD6"/>
    <w:rsid w:val="006173D6"/>
    <w:rsid w:val="00620F5A"/>
    <w:rsid w:val="00622CE8"/>
    <w:rsid w:val="006243E8"/>
    <w:rsid w:val="0062535E"/>
    <w:rsid w:val="0062680E"/>
    <w:rsid w:val="0063021C"/>
    <w:rsid w:val="00630562"/>
    <w:rsid w:val="00633D85"/>
    <w:rsid w:val="0063443B"/>
    <w:rsid w:val="00634FD1"/>
    <w:rsid w:val="00636B7E"/>
    <w:rsid w:val="0064057A"/>
    <w:rsid w:val="00640EAB"/>
    <w:rsid w:val="00641C31"/>
    <w:rsid w:val="00643858"/>
    <w:rsid w:val="00644466"/>
    <w:rsid w:val="00644BB9"/>
    <w:rsid w:val="00645235"/>
    <w:rsid w:val="006453F9"/>
    <w:rsid w:val="006468AD"/>
    <w:rsid w:val="00651333"/>
    <w:rsid w:val="0065262A"/>
    <w:rsid w:val="006550AB"/>
    <w:rsid w:val="00655819"/>
    <w:rsid w:val="00655FA8"/>
    <w:rsid w:val="0065674C"/>
    <w:rsid w:val="00662181"/>
    <w:rsid w:val="00662F39"/>
    <w:rsid w:val="00664882"/>
    <w:rsid w:val="00671C3D"/>
    <w:rsid w:val="006740D4"/>
    <w:rsid w:val="0067560B"/>
    <w:rsid w:val="00676F5F"/>
    <w:rsid w:val="0067708D"/>
    <w:rsid w:val="00681639"/>
    <w:rsid w:val="0068330E"/>
    <w:rsid w:val="006838D0"/>
    <w:rsid w:val="00686AE6"/>
    <w:rsid w:val="006873CD"/>
    <w:rsid w:val="00687989"/>
    <w:rsid w:val="0069047F"/>
    <w:rsid w:val="00690892"/>
    <w:rsid w:val="0069327C"/>
    <w:rsid w:val="00694BF4"/>
    <w:rsid w:val="00696811"/>
    <w:rsid w:val="00697D9D"/>
    <w:rsid w:val="006A0795"/>
    <w:rsid w:val="006A0CD8"/>
    <w:rsid w:val="006A2E3A"/>
    <w:rsid w:val="006A3156"/>
    <w:rsid w:val="006A31F4"/>
    <w:rsid w:val="006A326F"/>
    <w:rsid w:val="006A3D9C"/>
    <w:rsid w:val="006A4525"/>
    <w:rsid w:val="006A786C"/>
    <w:rsid w:val="006B0230"/>
    <w:rsid w:val="006B06A0"/>
    <w:rsid w:val="006B0B4D"/>
    <w:rsid w:val="006B43CD"/>
    <w:rsid w:val="006B4915"/>
    <w:rsid w:val="006B49BB"/>
    <w:rsid w:val="006B4F6E"/>
    <w:rsid w:val="006B6CB4"/>
    <w:rsid w:val="006B75EB"/>
    <w:rsid w:val="006C2CD2"/>
    <w:rsid w:val="006C2EA8"/>
    <w:rsid w:val="006C4DE7"/>
    <w:rsid w:val="006C4ED0"/>
    <w:rsid w:val="006C5016"/>
    <w:rsid w:val="006C5BDE"/>
    <w:rsid w:val="006D06D7"/>
    <w:rsid w:val="006D1A9E"/>
    <w:rsid w:val="006D29FF"/>
    <w:rsid w:val="006D39BF"/>
    <w:rsid w:val="006D536A"/>
    <w:rsid w:val="006D5A8C"/>
    <w:rsid w:val="006D65AF"/>
    <w:rsid w:val="006D78C7"/>
    <w:rsid w:val="006E1716"/>
    <w:rsid w:val="006E4017"/>
    <w:rsid w:val="006E4AFB"/>
    <w:rsid w:val="006E7060"/>
    <w:rsid w:val="006E7629"/>
    <w:rsid w:val="006F1E37"/>
    <w:rsid w:val="006F2F2A"/>
    <w:rsid w:val="006F45AB"/>
    <w:rsid w:val="006F50DD"/>
    <w:rsid w:val="006F58B1"/>
    <w:rsid w:val="006F5E3C"/>
    <w:rsid w:val="006F5F9D"/>
    <w:rsid w:val="006F6DD2"/>
    <w:rsid w:val="00701C59"/>
    <w:rsid w:val="00701FE0"/>
    <w:rsid w:val="00702539"/>
    <w:rsid w:val="00702589"/>
    <w:rsid w:val="007075BB"/>
    <w:rsid w:val="007077B6"/>
    <w:rsid w:val="007104CB"/>
    <w:rsid w:val="00712526"/>
    <w:rsid w:val="0071282B"/>
    <w:rsid w:val="007129D9"/>
    <w:rsid w:val="00713B55"/>
    <w:rsid w:val="00714239"/>
    <w:rsid w:val="007153D2"/>
    <w:rsid w:val="00715C5A"/>
    <w:rsid w:val="00717675"/>
    <w:rsid w:val="0071792F"/>
    <w:rsid w:val="00722651"/>
    <w:rsid w:val="00725712"/>
    <w:rsid w:val="007267FE"/>
    <w:rsid w:val="0073056F"/>
    <w:rsid w:val="007310B5"/>
    <w:rsid w:val="00731103"/>
    <w:rsid w:val="00731477"/>
    <w:rsid w:val="0073232C"/>
    <w:rsid w:val="007325E7"/>
    <w:rsid w:val="00732F3A"/>
    <w:rsid w:val="00734E57"/>
    <w:rsid w:val="00735D10"/>
    <w:rsid w:val="007360E3"/>
    <w:rsid w:val="00736886"/>
    <w:rsid w:val="00736A36"/>
    <w:rsid w:val="00736A51"/>
    <w:rsid w:val="00737C8D"/>
    <w:rsid w:val="00737D6A"/>
    <w:rsid w:val="00742BC4"/>
    <w:rsid w:val="00742D12"/>
    <w:rsid w:val="00742EC7"/>
    <w:rsid w:val="00743B9C"/>
    <w:rsid w:val="00744288"/>
    <w:rsid w:val="00745C97"/>
    <w:rsid w:val="00747408"/>
    <w:rsid w:val="0074789B"/>
    <w:rsid w:val="00750E34"/>
    <w:rsid w:val="0075107D"/>
    <w:rsid w:val="00752039"/>
    <w:rsid w:val="007525DF"/>
    <w:rsid w:val="00754A71"/>
    <w:rsid w:val="00756C99"/>
    <w:rsid w:val="00756CBB"/>
    <w:rsid w:val="0076161A"/>
    <w:rsid w:val="00761C1A"/>
    <w:rsid w:val="00761FA3"/>
    <w:rsid w:val="00762592"/>
    <w:rsid w:val="007630CF"/>
    <w:rsid w:val="007630E2"/>
    <w:rsid w:val="007644FC"/>
    <w:rsid w:val="007666B8"/>
    <w:rsid w:val="00770A22"/>
    <w:rsid w:val="007721AE"/>
    <w:rsid w:val="007723E7"/>
    <w:rsid w:val="0077401C"/>
    <w:rsid w:val="0077403F"/>
    <w:rsid w:val="00774688"/>
    <w:rsid w:val="00776D8D"/>
    <w:rsid w:val="00777718"/>
    <w:rsid w:val="00780698"/>
    <w:rsid w:val="00780986"/>
    <w:rsid w:val="00781DEE"/>
    <w:rsid w:val="007825CA"/>
    <w:rsid w:val="00784DA7"/>
    <w:rsid w:val="007868E0"/>
    <w:rsid w:val="0079082D"/>
    <w:rsid w:val="0079233F"/>
    <w:rsid w:val="007924E8"/>
    <w:rsid w:val="007A04B8"/>
    <w:rsid w:val="007A0A38"/>
    <w:rsid w:val="007A2FAE"/>
    <w:rsid w:val="007A485C"/>
    <w:rsid w:val="007B05B8"/>
    <w:rsid w:val="007B0BFC"/>
    <w:rsid w:val="007B2271"/>
    <w:rsid w:val="007B2CD7"/>
    <w:rsid w:val="007B2D38"/>
    <w:rsid w:val="007B3915"/>
    <w:rsid w:val="007B402D"/>
    <w:rsid w:val="007B62B5"/>
    <w:rsid w:val="007B646B"/>
    <w:rsid w:val="007B6815"/>
    <w:rsid w:val="007B7B91"/>
    <w:rsid w:val="007B7D7B"/>
    <w:rsid w:val="007C056C"/>
    <w:rsid w:val="007C09CB"/>
    <w:rsid w:val="007C32D1"/>
    <w:rsid w:val="007C5B2E"/>
    <w:rsid w:val="007C5CEA"/>
    <w:rsid w:val="007C7F69"/>
    <w:rsid w:val="007D0314"/>
    <w:rsid w:val="007D09DF"/>
    <w:rsid w:val="007D265F"/>
    <w:rsid w:val="007D27BE"/>
    <w:rsid w:val="007D30BC"/>
    <w:rsid w:val="007D42F8"/>
    <w:rsid w:val="007D435C"/>
    <w:rsid w:val="007E03E2"/>
    <w:rsid w:val="007E0F01"/>
    <w:rsid w:val="007E2F28"/>
    <w:rsid w:val="007E3004"/>
    <w:rsid w:val="007E35A1"/>
    <w:rsid w:val="007E499F"/>
    <w:rsid w:val="007E5B74"/>
    <w:rsid w:val="007E5C63"/>
    <w:rsid w:val="007E5D47"/>
    <w:rsid w:val="007F24EE"/>
    <w:rsid w:val="007F2F08"/>
    <w:rsid w:val="007F3950"/>
    <w:rsid w:val="007F54FF"/>
    <w:rsid w:val="007F59B1"/>
    <w:rsid w:val="007F5FD1"/>
    <w:rsid w:val="007F7CBA"/>
    <w:rsid w:val="00801948"/>
    <w:rsid w:val="00801BE3"/>
    <w:rsid w:val="00802853"/>
    <w:rsid w:val="00802C28"/>
    <w:rsid w:val="00803407"/>
    <w:rsid w:val="00804861"/>
    <w:rsid w:val="008062F6"/>
    <w:rsid w:val="00806EC2"/>
    <w:rsid w:val="00810CAD"/>
    <w:rsid w:val="00810DAF"/>
    <w:rsid w:val="008115DB"/>
    <w:rsid w:val="00811BB6"/>
    <w:rsid w:val="00812116"/>
    <w:rsid w:val="008123B1"/>
    <w:rsid w:val="008127D3"/>
    <w:rsid w:val="00813820"/>
    <w:rsid w:val="00813D1A"/>
    <w:rsid w:val="00814BC8"/>
    <w:rsid w:val="00816BAE"/>
    <w:rsid w:val="008230CF"/>
    <w:rsid w:val="00825922"/>
    <w:rsid w:val="00825C08"/>
    <w:rsid w:val="00825C0A"/>
    <w:rsid w:val="00831E5B"/>
    <w:rsid w:val="00833903"/>
    <w:rsid w:val="0083433B"/>
    <w:rsid w:val="00835A21"/>
    <w:rsid w:val="00835ABF"/>
    <w:rsid w:val="00835DE9"/>
    <w:rsid w:val="00836976"/>
    <w:rsid w:val="00837892"/>
    <w:rsid w:val="00837BCF"/>
    <w:rsid w:val="00841873"/>
    <w:rsid w:val="00842097"/>
    <w:rsid w:val="008425C4"/>
    <w:rsid w:val="00843E38"/>
    <w:rsid w:val="00847E6E"/>
    <w:rsid w:val="00852053"/>
    <w:rsid w:val="00852C3D"/>
    <w:rsid w:val="00853436"/>
    <w:rsid w:val="00853A64"/>
    <w:rsid w:val="00854262"/>
    <w:rsid w:val="0085439A"/>
    <w:rsid w:val="00854449"/>
    <w:rsid w:val="0085481A"/>
    <w:rsid w:val="00854901"/>
    <w:rsid w:val="00855D89"/>
    <w:rsid w:val="00855E8E"/>
    <w:rsid w:val="0085655E"/>
    <w:rsid w:val="00856D48"/>
    <w:rsid w:val="00857197"/>
    <w:rsid w:val="0085764B"/>
    <w:rsid w:val="0085790D"/>
    <w:rsid w:val="00860009"/>
    <w:rsid w:val="0086001E"/>
    <w:rsid w:val="00860A3E"/>
    <w:rsid w:val="00860E2D"/>
    <w:rsid w:val="00862282"/>
    <w:rsid w:val="008627FD"/>
    <w:rsid w:val="0086308E"/>
    <w:rsid w:val="0086390C"/>
    <w:rsid w:val="0086407B"/>
    <w:rsid w:val="0086523C"/>
    <w:rsid w:val="00867C0B"/>
    <w:rsid w:val="00871472"/>
    <w:rsid w:val="00871E33"/>
    <w:rsid w:val="008722C8"/>
    <w:rsid w:val="00873672"/>
    <w:rsid w:val="00874E47"/>
    <w:rsid w:val="00875B6D"/>
    <w:rsid w:val="00876459"/>
    <w:rsid w:val="0087684E"/>
    <w:rsid w:val="008800DE"/>
    <w:rsid w:val="00880DAB"/>
    <w:rsid w:val="00881B9F"/>
    <w:rsid w:val="0088351C"/>
    <w:rsid w:val="00883BD8"/>
    <w:rsid w:val="00885B1C"/>
    <w:rsid w:val="00886638"/>
    <w:rsid w:val="0088696D"/>
    <w:rsid w:val="00886A30"/>
    <w:rsid w:val="00887B49"/>
    <w:rsid w:val="00890284"/>
    <w:rsid w:val="0089126C"/>
    <w:rsid w:val="00892072"/>
    <w:rsid w:val="008931C4"/>
    <w:rsid w:val="00893965"/>
    <w:rsid w:val="00894947"/>
    <w:rsid w:val="008A207F"/>
    <w:rsid w:val="008A44B5"/>
    <w:rsid w:val="008A465B"/>
    <w:rsid w:val="008B04C7"/>
    <w:rsid w:val="008B05FF"/>
    <w:rsid w:val="008B0D48"/>
    <w:rsid w:val="008B2D94"/>
    <w:rsid w:val="008B3DDD"/>
    <w:rsid w:val="008B46B1"/>
    <w:rsid w:val="008B5089"/>
    <w:rsid w:val="008B5B2D"/>
    <w:rsid w:val="008B6759"/>
    <w:rsid w:val="008B7295"/>
    <w:rsid w:val="008C1C15"/>
    <w:rsid w:val="008C22C9"/>
    <w:rsid w:val="008C357B"/>
    <w:rsid w:val="008C4136"/>
    <w:rsid w:val="008C58D5"/>
    <w:rsid w:val="008C5B60"/>
    <w:rsid w:val="008D112D"/>
    <w:rsid w:val="008D1554"/>
    <w:rsid w:val="008D2BE0"/>
    <w:rsid w:val="008D2F2C"/>
    <w:rsid w:val="008D36AF"/>
    <w:rsid w:val="008D3FE2"/>
    <w:rsid w:val="008D4C16"/>
    <w:rsid w:val="008D5135"/>
    <w:rsid w:val="008D5BFC"/>
    <w:rsid w:val="008D6502"/>
    <w:rsid w:val="008E1EA2"/>
    <w:rsid w:val="008E286A"/>
    <w:rsid w:val="008E2E30"/>
    <w:rsid w:val="008E38D1"/>
    <w:rsid w:val="008E412D"/>
    <w:rsid w:val="008E5A7C"/>
    <w:rsid w:val="008E65CC"/>
    <w:rsid w:val="008E69DF"/>
    <w:rsid w:val="008E6E52"/>
    <w:rsid w:val="008E7500"/>
    <w:rsid w:val="008E7B77"/>
    <w:rsid w:val="008F29BC"/>
    <w:rsid w:val="008F3C5C"/>
    <w:rsid w:val="008F4CD6"/>
    <w:rsid w:val="008F4DF3"/>
    <w:rsid w:val="008F5E3D"/>
    <w:rsid w:val="008F6A38"/>
    <w:rsid w:val="009002CD"/>
    <w:rsid w:val="00900D38"/>
    <w:rsid w:val="00901068"/>
    <w:rsid w:val="0090161A"/>
    <w:rsid w:val="00902AB5"/>
    <w:rsid w:val="00905BE3"/>
    <w:rsid w:val="009064AD"/>
    <w:rsid w:val="0090694D"/>
    <w:rsid w:val="0091211B"/>
    <w:rsid w:val="00913551"/>
    <w:rsid w:val="009141B7"/>
    <w:rsid w:val="009145D7"/>
    <w:rsid w:val="0091507A"/>
    <w:rsid w:val="00915102"/>
    <w:rsid w:val="00915310"/>
    <w:rsid w:val="00915E95"/>
    <w:rsid w:val="009169F0"/>
    <w:rsid w:val="00920337"/>
    <w:rsid w:val="009236FA"/>
    <w:rsid w:val="009279FE"/>
    <w:rsid w:val="009327F2"/>
    <w:rsid w:val="0093398F"/>
    <w:rsid w:val="00933A0C"/>
    <w:rsid w:val="00933E35"/>
    <w:rsid w:val="009342C5"/>
    <w:rsid w:val="00934918"/>
    <w:rsid w:val="00936EE5"/>
    <w:rsid w:val="00937AED"/>
    <w:rsid w:val="00937F46"/>
    <w:rsid w:val="00940C89"/>
    <w:rsid w:val="00941C5C"/>
    <w:rsid w:val="00942B7E"/>
    <w:rsid w:val="00944C75"/>
    <w:rsid w:val="00945581"/>
    <w:rsid w:val="00945E29"/>
    <w:rsid w:val="0094704B"/>
    <w:rsid w:val="00950449"/>
    <w:rsid w:val="0095075A"/>
    <w:rsid w:val="00950865"/>
    <w:rsid w:val="00950D45"/>
    <w:rsid w:val="00952158"/>
    <w:rsid w:val="00952644"/>
    <w:rsid w:val="00952829"/>
    <w:rsid w:val="00952A8C"/>
    <w:rsid w:val="00954DC5"/>
    <w:rsid w:val="0095669F"/>
    <w:rsid w:val="00957A63"/>
    <w:rsid w:val="00957E20"/>
    <w:rsid w:val="009606DB"/>
    <w:rsid w:val="00960AE8"/>
    <w:rsid w:val="00961E00"/>
    <w:rsid w:val="009640C6"/>
    <w:rsid w:val="0096578C"/>
    <w:rsid w:val="009672E9"/>
    <w:rsid w:val="0096745E"/>
    <w:rsid w:val="00970831"/>
    <w:rsid w:val="00970B6E"/>
    <w:rsid w:val="00971CC2"/>
    <w:rsid w:val="009722D8"/>
    <w:rsid w:val="00972727"/>
    <w:rsid w:val="00972BF1"/>
    <w:rsid w:val="00973455"/>
    <w:rsid w:val="00973DEE"/>
    <w:rsid w:val="00975113"/>
    <w:rsid w:val="0097529E"/>
    <w:rsid w:val="009776EB"/>
    <w:rsid w:val="00977F35"/>
    <w:rsid w:val="00982CED"/>
    <w:rsid w:val="00983A76"/>
    <w:rsid w:val="00984342"/>
    <w:rsid w:val="00984546"/>
    <w:rsid w:val="00984E90"/>
    <w:rsid w:val="00985B55"/>
    <w:rsid w:val="009906BB"/>
    <w:rsid w:val="00990899"/>
    <w:rsid w:val="009918A2"/>
    <w:rsid w:val="00991A95"/>
    <w:rsid w:val="00992328"/>
    <w:rsid w:val="0099320A"/>
    <w:rsid w:val="009959DC"/>
    <w:rsid w:val="00996501"/>
    <w:rsid w:val="00996C71"/>
    <w:rsid w:val="00997AE4"/>
    <w:rsid w:val="009A183D"/>
    <w:rsid w:val="009A3DA7"/>
    <w:rsid w:val="009A50AD"/>
    <w:rsid w:val="009A5477"/>
    <w:rsid w:val="009A5BB2"/>
    <w:rsid w:val="009A6292"/>
    <w:rsid w:val="009B26D0"/>
    <w:rsid w:val="009B45B3"/>
    <w:rsid w:val="009B4B50"/>
    <w:rsid w:val="009B5063"/>
    <w:rsid w:val="009B5094"/>
    <w:rsid w:val="009B5794"/>
    <w:rsid w:val="009B664D"/>
    <w:rsid w:val="009C0380"/>
    <w:rsid w:val="009C1254"/>
    <w:rsid w:val="009C1700"/>
    <w:rsid w:val="009C2269"/>
    <w:rsid w:val="009C394C"/>
    <w:rsid w:val="009C3B38"/>
    <w:rsid w:val="009C3C13"/>
    <w:rsid w:val="009C4250"/>
    <w:rsid w:val="009D1832"/>
    <w:rsid w:val="009D451C"/>
    <w:rsid w:val="009D4D41"/>
    <w:rsid w:val="009D5C80"/>
    <w:rsid w:val="009D5E6C"/>
    <w:rsid w:val="009D65DD"/>
    <w:rsid w:val="009D740C"/>
    <w:rsid w:val="009E1281"/>
    <w:rsid w:val="009E2911"/>
    <w:rsid w:val="009E2BCB"/>
    <w:rsid w:val="009E33AB"/>
    <w:rsid w:val="009E44B8"/>
    <w:rsid w:val="009E4B7A"/>
    <w:rsid w:val="009E575B"/>
    <w:rsid w:val="009E612B"/>
    <w:rsid w:val="009E6B33"/>
    <w:rsid w:val="009F0B3D"/>
    <w:rsid w:val="009F0BF6"/>
    <w:rsid w:val="009F1734"/>
    <w:rsid w:val="009F288E"/>
    <w:rsid w:val="009F3492"/>
    <w:rsid w:val="009F3551"/>
    <w:rsid w:val="009F3BA4"/>
    <w:rsid w:val="009F546C"/>
    <w:rsid w:val="009F78FB"/>
    <w:rsid w:val="009F7CA4"/>
    <w:rsid w:val="00A01171"/>
    <w:rsid w:val="00A02090"/>
    <w:rsid w:val="00A02984"/>
    <w:rsid w:val="00A02BED"/>
    <w:rsid w:val="00A03737"/>
    <w:rsid w:val="00A062DC"/>
    <w:rsid w:val="00A0694B"/>
    <w:rsid w:val="00A110A2"/>
    <w:rsid w:val="00A13C6D"/>
    <w:rsid w:val="00A13E7E"/>
    <w:rsid w:val="00A1549E"/>
    <w:rsid w:val="00A16ADB"/>
    <w:rsid w:val="00A20B51"/>
    <w:rsid w:val="00A21FCC"/>
    <w:rsid w:val="00A27234"/>
    <w:rsid w:val="00A27642"/>
    <w:rsid w:val="00A27B3F"/>
    <w:rsid w:val="00A30038"/>
    <w:rsid w:val="00A31D94"/>
    <w:rsid w:val="00A33088"/>
    <w:rsid w:val="00A33416"/>
    <w:rsid w:val="00A3487F"/>
    <w:rsid w:val="00A3590D"/>
    <w:rsid w:val="00A36F53"/>
    <w:rsid w:val="00A379FE"/>
    <w:rsid w:val="00A402D5"/>
    <w:rsid w:val="00A4188E"/>
    <w:rsid w:val="00A43313"/>
    <w:rsid w:val="00A43B23"/>
    <w:rsid w:val="00A43B86"/>
    <w:rsid w:val="00A44DC6"/>
    <w:rsid w:val="00A4628D"/>
    <w:rsid w:val="00A47267"/>
    <w:rsid w:val="00A477A8"/>
    <w:rsid w:val="00A477D8"/>
    <w:rsid w:val="00A47D97"/>
    <w:rsid w:val="00A50A9F"/>
    <w:rsid w:val="00A50D21"/>
    <w:rsid w:val="00A51A9A"/>
    <w:rsid w:val="00A53DB4"/>
    <w:rsid w:val="00A565A2"/>
    <w:rsid w:val="00A5675E"/>
    <w:rsid w:val="00A57063"/>
    <w:rsid w:val="00A57267"/>
    <w:rsid w:val="00A57DDC"/>
    <w:rsid w:val="00A627B1"/>
    <w:rsid w:val="00A628D8"/>
    <w:rsid w:val="00A63F42"/>
    <w:rsid w:val="00A643A5"/>
    <w:rsid w:val="00A64D1A"/>
    <w:rsid w:val="00A662D0"/>
    <w:rsid w:val="00A66997"/>
    <w:rsid w:val="00A66E66"/>
    <w:rsid w:val="00A6759A"/>
    <w:rsid w:val="00A67E7B"/>
    <w:rsid w:val="00A70CA9"/>
    <w:rsid w:val="00A7436F"/>
    <w:rsid w:val="00A754C3"/>
    <w:rsid w:val="00A757E3"/>
    <w:rsid w:val="00A75E7E"/>
    <w:rsid w:val="00A7633E"/>
    <w:rsid w:val="00A76467"/>
    <w:rsid w:val="00A76D0C"/>
    <w:rsid w:val="00A8016A"/>
    <w:rsid w:val="00A8077C"/>
    <w:rsid w:val="00A83D31"/>
    <w:rsid w:val="00A93703"/>
    <w:rsid w:val="00A937A9"/>
    <w:rsid w:val="00A93C5F"/>
    <w:rsid w:val="00A940B8"/>
    <w:rsid w:val="00A95153"/>
    <w:rsid w:val="00A9611B"/>
    <w:rsid w:val="00A971BC"/>
    <w:rsid w:val="00A97CB3"/>
    <w:rsid w:val="00AA419E"/>
    <w:rsid w:val="00AA5F48"/>
    <w:rsid w:val="00AB2946"/>
    <w:rsid w:val="00AB3E18"/>
    <w:rsid w:val="00AB5C1C"/>
    <w:rsid w:val="00AB5F9B"/>
    <w:rsid w:val="00AB7EA5"/>
    <w:rsid w:val="00AC01A5"/>
    <w:rsid w:val="00AC130B"/>
    <w:rsid w:val="00AC25BC"/>
    <w:rsid w:val="00AC2FE5"/>
    <w:rsid w:val="00AC5AD3"/>
    <w:rsid w:val="00AC621E"/>
    <w:rsid w:val="00AC6F4E"/>
    <w:rsid w:val="00AC7185"/>
    <w:rsid w:val="00AD0167"/>
    <w:rsid w:val="00AD06B7"/>
    <w:rsid w:val="00AD1F05"/>
    <w:rsid w:val="00AD483F"/>
    <w:rsid w:val="00AD50B3"/>
    <w:rsid w:val="00AD596C"/>
    <w:rsid w:val="00AD6718"/>
    <w:rsid w:val="00AD6860"/>
    <w:rsid w:val="00AD7F7E"/>
    <w:rsid w:val="00AE011E"/>
    <w:rsid w:val="00AE0448"/>
    <w:rsid w:val="00AE15CD"/>
    <w:rsid w:val="00AE1B94"/>
    <w:rsid w:val="00AE2113"/>
    <w:rsid w:val="00AE3657"/>
    <w:rsid w:val="00AE3D73"/>
    <w:rsid w:val="00AE41DA"/>
    <w:rsid w:val="00AE4895"/>
    <w:rsid w:val="00AE5AAA"/>
    <w:rsid w:val="00AE62A5"/>
    <w:rsid w:val="00AE63D4"/>
    <w:rsid w:val="00AF0AD3"/>
    <w:rsid w:val="00AF0EC7"/>
    <w:rsid w:val="00AF2C16"/>
    <w:rsid w:val="00AF31F3"/>
    <w:rsid w:val="00AF3335"/>
    <w:rsid w:val="00AF398B"/>
    <w:rsid w:val="00AF42C2"/>
    <w:rsid w:val="00AF543C"/>
    <w:rsid w:val="00AF567A"/>
    <w:rsid w:val="00AF6958"/>
    <w:rsid w:val="00AF7281"/>
    <w:rsid w:val="00AF7E7E"/>
    <w:rsid w:val="00B01160"/>
    <w:rsid w:val="00B020AF"/>
    <w:rsid w:val="00B03542"/>
    <w:rsid w:val="00B03946"/>
    <w:rsid w:val="00B04E4F"/>
    <w:rsid w:val="00B05DB5"/>
    <w:rsid w:val="00B05FF8"/>
    <w:rsid w:val="00B0686C"/>
    <w:rsid w:val="00B06946"/>
    <w:rsid w:val="00B0705F"/>
    <w:rsid w:val="00B103A6"/>
    <w:rsid w:val="00B11225"/>
    <w:rsid w:val="00B11F32"/>
    <w:rsid w:val="00B12577"/>
    <w:rsid w:val="00B12714"/>
    <w:rsid w:val="00B132F7"/>
    <w:rsid w:val="00B13FA1"/>
    <w:rsid w:val="00B16665"/>
    <w:rsid w:val="00B167FB"/>
    <w:rsid w:val="00B16B25"/>
    <w:rsid w:val="00B172F1"/>
    <w:rsid w:val="00B2131A"/>
    <w:rsid w:val="00B2167F"/>
    <w:rsid w:val="00B216F5"/>
    <w:rsid w:val="00B24FCE"/>
    <w:rsid w:val="00B256FD"/>
    <w:rsid w:val="00B2673C"/>
    <w:rsid w:val="00B27943"/>
    <w:rsid w:val="00B30E4E"/>
    <w:rsid w:val="00B33B1C"/>
    <w:rsid w:val="00B33F6C"/>
    <w:rsid w:val="00B34816"/>
    <w:rsid w:val="00B34E05"/>
    <w:rsid w:val="00B35A1A"/>
    <w:rsid w:val="00B4177E"/>
    <w:rsid w:val="00B4675D"/>
    <w:rsid w:val="00B468DA"/>
    <w:rsid w:val="00B47390"/>
    <w:rsid w:val="00B501BB"/>
    <w:rsid w:val="00B502E9"/>
    <w:rsid w:val="00B510CB"/>
    <w:rsid w:val="00B53EEA"/>
    <w:rsid w:val="00B55422"/>
    <w:rsid w:val="00B60ACD"/>
    <w:rsid w:val="00B633A7"/>
    <w:rsid w:val="00B6611E"/>
    <w:rsid w:val="00B67093"/>
    <w:rsid w:val="00B672DD"/>
    <w:rsid w:val="00B67697"/>
    <w:rsid w:val="00B67B80"/>
    <w:rsid w:val="00B71682"/>
    <w:rsid w:val="00B71E0F"/>
    <w:rsid w:val="00B74C31"/>
    <w:rsid w:val="00B76B84"/>
    <w:rsid w:val="00B77B11"/>
    <w:rsid w:val="00B80120"/>
    <w:rsid w:val="00B80154"/>
    <w:rsid w:val="00B80B13"/>
    <w:rsid w:val="00B81E8F"/>
    <w:rsid w:val="00B821F5"/>
    <w:rsid w:val="00B839BE"/>
    <w:rsid w:val="00B839D8"/>
    <w:rsid w:val="00B85A79"/>
    <w:rsid w:val="00B86156"/>
    <w:rsid w:val="00B875F7"/>
    <w:rsid w:val="00B90752"/>
    <w:rsid w:val="00B90A7B"/>
    <w:rsid w:val="00B91024"/>
    <w:rsid w:val="00B913A2"/>
    <w:rsid w:val="00B91769"/>
    <w:rsid w:val="00B91816"/>
    <w:rsid w:val="00B94F84"/>
    <w:rsid w:val="00B9561F"/>
    <w:rsid w:val="00B963DC"/>
    <w:rsid w:val="00B96F24"/>
    <w:rsid w:val="00BA0476"/>
    <w:rsid w:val="00BA1F42"/>
    <w:rsid w:val="00BA5AC8"/>
    <w:rsid w:val="00BA5F6E"/>
    <w:rsid w:val="00BA6305"/>
    <w:rsid w:val="00BB133C"/>
    <w:rsid w:val="00BB1C36"/>
    <w:rsid w:val="00BB2030"/>
    <w:rsid w:val="00BB30AE"/>
    <w:rsid w:val="00BB4BEB"/>
    <w:rsid w:val="00BB4DE0"/>
    <w:rsid w:val="00BB5158"/>
    <w:rsid w:val="00BB5272"/>
    <w:rsid w:val="00BB6685"/>
    <w:rsid w:val="00BC00F8"/>
    <w:rsid w:val="00BC19D6"/>
    <w:rsid w:val="00BC3435"/>
    <w:rsid w:val="00BC3689"/>
    <w:rsid w:val="00BC40DE"/>
    <w:rsid w:val="00BC41A2"/>
    <w:rsid w:val="00BC470C"/>
    <w:rsid w:val="00BC54F8"/>
    <w:rsid w:val="00BC7E69"/>
    <w:rsid w:val="00BD0819"/>
    <w:rsid w:val="00BD0D7C"/>
    <w:rsid w:val="00BD1DDD"/>
    <w:rsid w:val="00BD3ED0"/>
    <w:rsid w:val="00BD4544"/>
    <w:rsid w:val="00BD6B58"/>
    <w:rsid w:val="00BE011E"/>
    <w:rsid w:val="00BE0CC3"/>
    <w:rsid w:val="00BE4FB4"/>
    <w:rsid w:val="00BE639B"/>
    <w:rsid w:val="00BE78F9"/>
    <w:rsid w:val="00BF09AB"/>
    <w:rsid w:val="00BF21D0"/>
    <w:rsid w:val="00BF316C"/>
    <w:rsid w:val="00BF4C9C"/>
    <w:rsid w:val="00BF5135"/>
    <w:rsid w:val="00BF5334"/>
    <w:rsid w:val="00BF7A0B"/>
    <w:rsid w:val="00C0179F"/>
    <w:rsid w:val="00C02BA0"/>
    <w:rsid w:val="00C03217"/>
    <w:rsid w:val="00C11F79"/>
    <w:rsid w:val="00C126D1"/>
    <w:rsid w:val="00C13347"/>
    <w:rsid w:val="00C13D4D"/>
    <w:rsid w:val="00C14917"/>
    <w:rsid w:val="00C165F9"/>
    <w:rsid w:val="00C179AF"/>
    <w:rsid w:val="00C20160"/>
    <w:rsid w:val="00C20829"/>
    <w:rsid w:val="00C22268"/>
    <w:rsid w:val="00C24639"/>
    <w:rsid w:val="00C24EF0"/>
    <w:rsid w:val="00C2599E"/>
    <w:rsid w:val="00C26773"/>
    <w:rsid w:val="00C3034E"/>
    <w:rsid w:val="00C30E90"/>
    <w:rsid w:val="00C32284"/>
    <w:rsid w:val="00C32FC7"/>
    <w:rsid w:val="00C3360A"/>
    <w:rsid w:val="00C34506"/>
    <w:rsid w:val="00C351AE"/>
    <w:rsid w:val="00C352A5"/>
    <w:rsid w:val="00C3583E"/>
    <w:rsid w:val="00C35BFB"/>
    <w:rsid w:val="00C36C7D"/>
    <w:rsid w:val="00C409D2"/>
    <w:rsid w:val="00C41240"/>
    <w:rsid w:val="00C41C1A"/>
    <w:rsid w:val="00C42B3A"/>
    <w:rsid w:val="00C46953"/>
    <w:rsid w:val="00C5018E"/>
    <w:rsid w:val="00C50C26"/>
    <w:rsid w:val="00C522BB"/>
    <w:rsid w:val="00C52619"/>
    <w:rsid w:val="00C531FF"/>
    <w:rsid w:val="00C53A96"/>
    <w:rsid w:val="00C54793"/>
    <w:rsid w:val="00C54F65"/>
    <w:rsid w:val="00C5623E"/>
    <w:rsid w:val="00C569BF"/>
    <w:rsid w:val="00C56C13"/>
    <w:rsid w:val="00C574D6"/>
    <w:rsid w:val="00C576AF"/>
    <w:rsid w:val="00C616F3"/>
    <w:rsid w:val="00C6238C"/>
    <w:rsid w:val="00C63B69"/>
    <w:rsid w:val="00C63E45"/>
    <w:rsid w:val="00C63E69"/>
    <w:rsid w:val="00C64828"/>
    <w:rsid w:val="00C66614"/>
    <w:rsid w:val="00C67D26"/>
    <w:rsid w:val="00C709E5"/>
    <w:rsid w:val="00C72578"/>
    <w:rsid w:val="00C72B6A"/>
    <w:rsid w:val="00C73267"/>
    <w:rsid w:val="00C74122"/>
    <w:rsid w:val="00C80934"/>
    <w:rsid w:val="00C8131E"/>
    <w:rsid w:val="00C82952"/>
    <w:rsid w:val="00C83099"/>
    <w:rsid w:val="00C84F26"/>
    <w:rsid w:val="00C868F0"/>
    <w:rsid w:val="00C86C7E"/>
    <w:rsid w:val="00C876AE"/>
    <w:rsid w:val="00C87EE3"/>
    <w:rsid w:val="00C903D7"/>
    <w:rsid w:val="00C90C26"/>
    <w:rsid w:val="00C90D85"/>
    <w:rsid w:val="00C916DD"/>
    <w:rsid w:val="00C926C5"/>
    <w:rsid w:val="00C9403A"/>
    <w:rsid w:val="00C941D8"/>
    <w:rsid w:val="00C9459D"/>
    <w:rsid w:val="00C9575C"/>
    <w:rsid w:val="00C959C7"/>
    <w:rsid w:val="00C95FE7"/>
    <w:rsid w:val="00C964DC"/>
    <w:rsid w:val="00C970B4"/>
    <w:rsid w:val="00C9766C"/>
    <w:rsid w:val="00CA07D5"/>
    <w:rsid w:val="00CA0BB1"/>
    <w:rsid w:val="00CA2709"/>
    <w:rsid w:val="00CA2B93"/>
    <w:rsid w:val="00CA2EE9"/>
    <w:rsid w:val="00CA2F5F"/>
    <w:rsid w:val="00CA30AE"/>
    <w:rsid w:val="00CA3528"/>
    <w:rsid w:val="00CA4565"/>
    <w:rsid w:val="00CA5466"/>
    <w:rsid w:val="00CA5574"/>
    <w:rsid w:val="00CA5618"/>
    <w:rsid w:val="00CA623F"/>
    <w:rsid w:val="00CA6C28"/>
    <w:rsid w:val="00CA76F8"/>
    <w:rsid w:val="00CA798E"/>
    <w:rsid w:val="00CB1451"/>
    <w:rsid w:val="00CB17F1"/>
    <w:rsid w:val="00CB295E"/>
    <w:rsid w:val="00CB31C3"/>
    <w:rsid w:val="00CB47BA"/>
    <w:rsid w:val="00CB605D"/>
    <w:rsid w:val="00CB6418"/>
    <w:rsid w:val="00CB66CB"/>
    <w:rsid w:val="00CB7AF6"/>
    <w:rsid w:val="00CB7C9F"/>
    <w:rsid w:val="00CB7FD7"/>
    <w:rsid w:val="00CC0E07"/>
    <w:rsid w:val="00CC49D2"/>
    <w:rsid w:val="00CC614E"/>
    <w:rsid w:val="00CC67F0"/>
    <w:rsid w:val="00CD02C1"/>
    <w:rsid w:val="00CD14FD"/>
    <w:rsid w:val="00CD150E"/>
    <w:rsid w:val="00CD1F11"/>
    <w:rsid w:val="00CD2E9B"/>
    <w:rsid w:val="00CD5FD5"/>
    <w:rsid w:val="00CD6ADF"/>
    <w:rsid w:val="00CE0DEE"/>
    <w:rsid w:val="00CE0F91"/>
    <w:rsid w:val="00CE1922"/>
    <w:rsid w:val="00CE2F7A"/>
    <w:rsid w:val="00CE4229"/>
    <w:rsid w:val="00CE59A9"/>
    <w:rsid w:val="00CE6D75"/>
    <w:rsid w:val="00CE7894"/>
    <w:rsid w:val="00CF2792"/>
    <w:rsid w:val="00CF438B"/>
    <w:rsid w:val="00CF4AB7"/>
    <w:rsid w:val="00CF548C"/>
    <w:rsid w:val="00CF7663"/>
    <w:rsid w:val="00D002A2"/>
    <w:rsid w:val="00D00501"/>
    <w:rsid w:val="00D048B0"/>
    <w:rsid w:val="00D076DA"/>
    <w:rsid w:val="00D12A8E"/>
    <w:rsid w:val="00D12C19"/>
    <w:rsid w:val="00D12EF2"/>
    <w:rsid w:val="00D130AF"/>
    <w:rsid w:val="00D134DC"/>
    <w:rsid w:val="00D14FCB"/>
    <w:rsid w:val="00D16831"/>
    <w:rsid w:val="00D16D6D"/>
    <w:rsid w:val="00D1745B"/>
    <w:rsid w:val="00D17895"/>
    <w:rsid w:val="00D17B13"/>
    <w:rsid w:val="00D205C5"/>
    <w:rsid w:val="00D237BF"/>
    <w:rsid w:val="00D277E1"/>
    <w:rsid w:val="00D30125"/>
    <w:rsid w:val="00D30224"/>
    <w:rsid w:val="00D306BD"/>
    <w:rsid w:val="00D319A5"/>
    <w:rsid w:val="00D3204A"/>
    <w:rsid w:val="00D339C8"/>
    <w:rsid w:val="00D34F4D"/>
    <w:rsid w:val="00D3569B"/>
    <w:rsid w:val="00D37443"/>
    <w:rsid w:val="00D40812"/>
    <w:rsid w:val="00D40904"/>
    <w:rsid w:val="00D40AB8"/>
    <w:rsid w:val="00D411DB"/>
    <w:rsid w:val="00D41B45"/>
    <w:rsid w:val="00D44F9F"/>
    <w:rsid w:val="00D45469"/>
    <w:rsid w:val="00D45491"/>
    <w:rsid w:val="00D46C4D"/>
    <w:rsid w:val="00D47CDD"/>
    <w:rsid w:val="00D5046C"/>
    <w:rsid w:val="00D50525"/>
    <w:rsid w:val="00D517AD"/>
    <w:rsid w:val="00D51BA3"/>
    <w:rsid w:val="00D51D40"/>
    <w:rsid w:val="00D52B8D"/>
    <w:rsid w:val="00D53EAD"/>
    <w:rsid w:val="00D542B5"/>
    <w:rsid w:val="00D56340"/>
    <w:rsid w:val="00D5659A"/>
    <w:rsid w:val="00D57BC6"/>
    <w:rsid w:val="00D61D2F"/>
    <w:rsid w:val="00D62C52"/>
    <w:rsid w:val="00D6530F"/>
    <w:rsid w:val="00D67FB7"/>
    <w:rsid w:val="00D7006C"/>
    <w:rsid w:val="00D7051B"/>
    <w:rsid w:val="00D7158F"/>
    <w:rsid w:val="00D72FAE"/>
    <w:rsid w:val="00D73137"/>
    <w:rsid w:val="00D77B6D"/>
    <w:rsid w:val="00D83317"/>
    <w:rsid w:val="00D848BE"/>
    <w:rsid w:val="00D901B2"/>
    <w:rsid w:val="00D90AEA"/>
    <w:rsid w:val="00D90B55"/>
    <w:rsid w:val="00DA484D"/>
    <w:rsid w:val="00DA628E"/>
    <w:rsid w:val="00DA6348"/>
    <w:rsid w:val="00DA72B8"/>
    <w:rsid w:val="00DB01F1"/>
    <w:rsid w:val="00DB187E"/>
    <w:rsid w:val="00DB1A70"/>
    <w:rsid w:val="00DB26D3"/>
    <w:rsid w:val="00DB40BB"/>
    <w:rsid w:val="00DB4EEB"/>
    <w:rsid w:val="00DB5484"/>
    <w:rsid w:val="00DB55A2"/>
    <w:rsid w:val="00DB5659"/>
    <w:rsid w:val="00DB78F6"/>
    <w:rsid w:val="00DC0301"/>
    <w:rsid w:val="00DC5F17"/>
    <w:rsid w:val="00DC6715"/>
    <w:rsid w:val="00DC7A40"/>
    <w:rsid w:val="00DC7ACC"/>
    <w:rsid w:val="00DD0297"/>
    <w:rsid w:val="00DD33AE"/>
    <w:rsid w:val="00DD3E9B"/>
    <w:rsid w:val="00DD4244"/>
    <w:rsid w:val="00DD476C"/>
    <w:rsid w:val="00DD53B3"/>
    <w:rsid w:val="00DD63AE"/>
    <w:rsid w:val="00DD6880"/>
    <w:rsid w:val="00DD7764"/>
    <w:rsid w:val="00DE221D"/>
    <w:rsid w:val="00DE31AC"/>
    <w:rsid w:val="00DE4A1D"/>
    <w:rsid w:val="00DE69B3"/>
    <w:rsid w:val="00DE6A59"/>
    <w:rsid w:val="00DF1988"/>
    <w:rsid w:val="00DF1BE3"/>
    <w:rsid w:val="00DF2610"/>
    <w:rsid w:val="00DF36D9"/>
    <w:rsid w:val="00DF3DBB"/>
    <w:rsid w:val="00DF4A3D"/>
    <w:rsid w:val="00DF611A"/>
    <w:rsid w:val="00E0089E"/>
    <w:rsid w:val="00E026F4"/>
    <w:rsid w:val="00E038F7"/>
    <w:rsid w:val="00E049B4"/>
    <w:rsid w:val="00E050DC"/>
    <w:rsid w:val="00E0646E"/>
    <w:rsid w:val="00E06853"/>
    <w:rsid w:val="00E07B32"/>
    <w:rsid w:val="00E07C2D"/>
    <w:rsid w:val="00E07E22"/>
    <w:rsid w:val="00E10B33"/>
    <w:rsid w:val="00E1176B"/>
    <w:rsid w:val="00E13275"/>
    <w:rsid w:val="00E133B9"/>
    <w:rsid w:val="00E13E3F"/>
    <w:rsid w:val="00E142D1"/>
    <w:rsid w:val="00E1467C"/>
    <w:rsid w:val="00E15810"/>
    <w:rsid w:val="00E16255"/>
    <w:rsid w:val="00E16C73"/>
    <w:rsid w:val="00E17BA1"/>
    <w:rsid w:val="00E213B7"/>
    <w:rsid w:val="00E22EB4"/>
    <w:rsid w:val="00E23B25"/>
    <w:rsid w:val="00E24B09"/>
    <w:rsid w:val="00E25FA1"/>
    <w:rsid w:val="00E267EE"/>
    <w:rsid w:val="00E26A31"/>
    <w:rsid w:val="00E26D8B"/>
    <w:rsid w:val="00E277A7"/>
    <w:rsid w:val="00E31295"/>
    <w:rsid w:val="00E32FC9"/>
    <w:rsid w:val="00E33903"/>
    <w:rsid w:val="00E33B8A"/>
    <w:rsid w:val="00E348CA"/>
    <w:rsid w:val="00E34BE5"/>
    <w:rsid w:val="00E3778A"/>
    <w:rsid w:val="00E40CED"/>
    <w:rsid w:val="00E426C6"/>
    <w:rsid w:val="00E43AD7"/>
    <w:rsid w:val="00E44CEF"/>
    <w:rsid w:val="00E44D3E"/>
    <w:rsid w:val="00E46195"/>
    <w:rsid w:val="00E47A2B"/>
    <w:rsid w:val="00E50219"/>
    <w:rsid w:val="00E51296"/>
    <w:rsid w:val="00E52D80"/>
    <w:rsid w:val="00E5340C"/>
    <w:rsid w:val="00E54478"/>
    <w:rsid w:val="00E54805"/>
    <w:rsid w:val="00E60045"/>
    <w:rsid w:val="00E60213"/>
    <w:rsid w:val="00E60805"/>
    <w:rsid w:val="00E62240"/>
    <w:rsid w:val="00E626F8"/>
    <w:rsid w:val="00E645D2"/>
    <w:rsid w:val="00E64D9F"/>
    <w:rsid w:val="00E65C5B"/>
    <w:rsid w:val="00E6613A"/>
    <w:rsid w:val="00E66144"/>
    <w:rsid w:val="00E661F3"/>
    <w:rsid w:val="00E66A03"/>
    <w:rsid w:val="00E67465"/>
    <w:rsid w:val="00E67C85"/>
    <w:rsid w:val="00E707FC"/>
    <w:rsid w:val="00E70D51"/>
    <w:rsid w:val="00E7186E"/>
    <w:rsid w:val="00E71DA2"/>
    <w:rsid w:val="00E74F24"/>
    <w:rsid w:val="00E75194"/>
    <w:rsid w:val="00E75C6B"/>
    <w:rsid w:val="00E75DA5"/>
    <w:rsid w:val="00E777E2"/>
    <w:rsid w:val="00E77C10"/>
    <w:rsid w:val="00E80DFF"/>
    <w:rsid w:val="00E81188"/>
    <w:rsid w:val="00E81D54"/>
    <w:rsid w:val="00E82E98"/>
    <w:rsid w:val="00E87288"/>
    <w:rsid w:val="00E878C5"/>
    <w:rsid w:val="00E901F3"/>
    <w:rsid w:val="00E91783"/>
    <w:rsid w:val="00E920FF"/>
    <w:rsid w:val="00E93639"/>
    <w:rsid w:val="00E93C1F"/>
    <w:rsid w:val="00E942F3"/>
    <w:rsid w:val="00E96DC5"/>
    <w:rsid w:val="00E973C9"/>
    <w:rsid w:val="00E97BF6"/>
    <w:rsid w:val="00EA1C91"/>
    <w:rsid w:val="00EA2FA7"/>
    <w:rsid w:val="00EA5173"/>
    <w:rsid w:val="00EA6B7C"/>
    <w:rsid w:val="00EA76E2"/>
    <w:rsid w:val="00EB26DC"/>
    <w:rsid w:val="00EB3D58"/>
    <w:rsid w:val="00EB3EDC"/>
    <w:rsid w:val="00EB5BAC"/>
    <w:rsid w:val="00EB6B96"/>
    <w:rsid w:val="00EB6ED8"/>
    <w:rsid w:val="00EB72C6"/>
    <w:rsid w:val="00EC0E2A"/>
    <w:rsid w:val="00EC18B5"/>
    <w:rsid w:val="00EC1AAE"/>
    <w:rsid w:val="00EC1FA8"/>
    <w:rsid w:val="00EC27B7"/>
    <w:rsid w:val="00EC3D33"/>
    <w:rsid w:val="00EC4248"/>
    <w:rsid w:val="00EC4597"/>
    <w:rsid w:val="00ED0BF3"/>
    <w:rsid w:val="00ED13ED"/>
    <w:rsid w:val="00ED19E4"/>
    <w:rsid w:val="00ED247E"/>
    <w:rsid w:val="00ED24BA"/>
    <w:rsid w:val="00ED3F91"/>
    <w:rsid w:val="00ED5340"/>
    <w:rsid w:val="00ED585A"/>
    <w:rsid w:val="00ED5F05"/>
    <w:rsid w:val="00ED7589"/>
    <w:rsid w:val="00ED7B47"/>
    <w:rsid w:val="00EE0FF6"/>
    <w:rsid w:val="00EE1134"/>
    <w:rsid w:val="00EE185D"/>
    <w:rsid w:val="00EE2C1B"/>
    <w:rsid w:val="00EE2DBA"/>
    <w:rsid w:val="00EE3040"/>
    <w:rsid w:val="00EE6977"/>
    <w:rsid w:val="00EE7AFC"/>
    <w:rsid w:val="00EF13AB"/>
    <w:rsid w:val="00EF15B0"/>
    <w:rsid w:val="00EF46CE"/>
    <w:rsid w:val="00EF60B6"/>
    <w:rsid w:val="00EF610A"/>
    <w:rsid w:val="00EF61DE"/>
    <w:rsid w:val="00EF6FD0"/>
    <w:rsid w:val="00EF7222"/>
    <w:rsid w:val="00F001B2"/>
    <w:rsid w:val="00F008FB"/>
    <w:rsid w:val="00F00A2C"/>
    <w:rsid w:val="00F0116F"/>
    <w:rsid w:val="00F0122A"/>
    <w:rsid w:val="00F0159D"/>
    <w:rsid w:val="00F017A8"/>
    <w:rsid w:val="00F02595"/>
    <w:rsid w:val="00F03D7E"/>
    <w:rsid w:val="00F04568"/>
    <w:rsid w:val="00F049D3"/>
    <w:rsid w:val="00F04AFF"/>
    <w:rsid w:val="00F05D08"/>
    <w:rsid w:val="00F0666D"/>
    <w:rsid w:val="00F066DB"/>
    <w:rsid w:val="00F0671F"/>
    <w:rsid w:val="00F0767D"/>
    <w:rsid w:val="00F07A95"/>
    <w:rsid w:val="00F07CAE"/>
    <w:rsid w:val="00F101D1"/>
    <w:rsid w:val="00F10285"/>
    <w:rsid w:val="00F112D8"/>
    <w:rsid w:val="00F115FA"/>
    <w:rsid w:val="00F148FA"/>
    <w:rsid w:val="00F154C0"/>
    <w:rsid w:val="00F17B7E"/>
    <w:rsid w:val="00F20493"/>
    <w:rsid w:val="00F206D6"/>
    <w:rsid w:val="00F2097A"/>
    <w:rsid w:val="00F218B4"/>
    <w:rsid w:val="00F225E5"/>
    <w:rsid w:val="00F22678"/>
    <w:rsid w:val="00F23006"/>
    <w:rsid w:val="00F24392"/>
    <w:rsid w:val="00F25157"/>
    <w:rsid w:val="00F256D3"/>
    <w:rsid w:val="00F25A33"/>
    <w:rsid w:val="00F273FD"/>
    <w:rsid w:val="00F30376"/>
    <w:rsid w:val="00F309C6"/>
    <w:rsid w:val="00F30A72"/>
    <w:rsid w:val="00F30C08"/>
    <w:rsid w:val="00F3116B"/>
    <w:rsid w:val="00F327EC"/>
    <w:rsid w:val="00F32AD1"/>
    <w:rsid w:val="00F337BF"/>
    <w:rsid w:val="00F35362"/>
    <w:rsid w:val="00F35C00"/>
    <w:rsid w:val="00F374D5"/>
    <w:rsid w:val="00F37999"/>
    <w:rsid w:val="00F40B9B"/>
    <w:rsid w:val="00F40F48"/>
    <w:rsid w:val="00F44B91"/>
    <w:rsid w:val="00F461DC"/>
    <w:rsid w:val="00F46F4D"/>
    <w:rsid w:val="00F4727C"/>
    <w:rsid w:val="00F53CF8"/>
    <w:rsid w:val="00F54446"/>
    <w:rsid w:val="00F562E7"/>
    <w:rsid w:val="00F56E98"/>
    <w:rsid w:val="00F571AB"/>
    <w:rsid w:val="00F60D4B"/>
    <w:rsid w:val="00F61760"/>
    <w:rsid w:val="00F62625"/>
    <w:rsid w:val="00F63CD9"/>
    <w:rsid w:val="00F64C84"/>
    <w:rsid w:val="00F653C5"/>
    <w:rsid w:val="00F674A4"/>
    <w:rsid w:val="00F71105"/>
    <w:rsid w:val="00F71FF3"/>
    <w:rsid w:val="00F7368D"/>
    <w:rsid w:val="00F7395C"/>
    <w:rsid w:val="00F74178"/>
    <w:rsid w:val="00F74852"/>
    <w:rsid w:val="00F76A2D"/>
    <w:rsid w:val="00F77244"/>
    <w:rsid w:val="00F77EFE"/>
    <w:rsid w:val="00F80505"/>
    <w:rsid w:val="00F81358"/>
    <w:rsid w:val="00F813C2"/>
    <w:rsid w:val="00F8211E"/>
    <w:rsid w:val="00F8567E"/>
    <w:rsid w:val="00F86C81"/>
    <w:rsid w:val="00F86FCF"/>
    <w:rsid w:val="00F87542"/>
    <w:rsid w:val="00F90217"/>
    <w:rsid w:val="00F907C0"/>
    <w:rsid w:val="00F92CBE"/>
    <w:rsid w:val="00F934FC"/>
    <w:rsid w:val="00F94405"/>
    <w:rsid w:val="00F94412"/>
    <w:rsid w:val="00F94669"/>
    <w:rsid w:val="00F96487"/>
    <w:rsid w:val="00F977D0"/>
    <w:rsid w:val="00F97E23"/>
    <w:rsid w:val="00FA0A71"/>
    <w:rsid w:val="00FA1BB2"/>
    <w:rsid w:val="00FA408D"/>
    <w:rsid w:val="00FA4183"/>
    <w:rsid w:val="00FA54B3"/>
    <w:rsid w:val="00FB04BB"/>
    <w:rsid w:val="00FB2310"/>
    <w:rsid w:val="00FB2F3E"/>
    <w:rsid w:val="00FB3A10"/>
    <w:rsid w:val="00FB4532"/>
    <w:rsid w:val="00FB55DD"/>
    <w:rsid w:val="00FC1A05"/>
    <w:rsid w:val="00FC2C15"/>
    <w:rsid w:val="00FC4788"/>
    <w:rsid w:val="00FC4FBC"/>
    <w:rsid w:val="00FC5164"/>
    <w:rsid w:val="00FC6444"/>
    <w:rsid w:val="00FC6E22"/>
    <w:rsid w:val="00FC6FDB"/>
    <w:rsid w:val="00FC792A"/>
    <w:rsid w:val="00FD1017"/>
    <w:rsid w:val="00FD3E61"/>
    <w:rsid w:val="00FD409F"/>
    <w:rsid w:val="00FD54F1"/>
    <w:rsid w:val="00FD65E1"/>
    <w:rsid w:val="00FD7251"/>
    <w:rsid w:val="00FD7D55"/>
    <w:rsid w:val="00FE0D9B"/>
    <w:rsid w:val="00FE18F0"/>
    <w:rsid w:val="00FE52B8"/>
    <w:rsid w:val="00FE74DE"/>
    <w:rsid w:val="00FE78D5"/>
    <w:rsid w:val="00FF0E8D"/>
    <w:rsid w:val="00FF1B9F"/>
    <w:rsid w:val="00FF2633"/>
    <w:rsid w:val="00FF3B8F"/>
    <w:rsid w:val="00FF49A2"/>
    <w:rsid w:val="00FF4D8F"/>
    <w:rsid w:val="00FF558E"/>
    <w:rsid w:val="00FF6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BD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31E"/>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91D06"/>
    <w:pPr>
      <w:ind w:left="720"/>
      <w:contextualSpacing/>
    </w:pPr>
  </w:style>
  <w:style w:type="paragraph" w:styleId="a4">
    <w:name w:val="header"/>
    <w:basedOn w:val="a"/>
    <w:link w:val="a5"/>
    <w:uiPriority w:val="99"/>
    <w:unhideWhenUsed/>
    <w:rsid w:val="0065674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674C"/>
    <w:rPr>
      <w:rFonts w:ascii="Times New Roman" w:hAnsi="Times New Roman"/>
      <w:sz w:val="28"/>
    </w:rPr>
  </w:style>
  <w:style w:type="paragraph" w:styleId="a6">
    <w:name w:val="footer"/>
    <w:basedOn w:val="a"/>
    <w:link w:val="a7"/>
    <w:uiPriority w:val="99"/>
    <w:unhideWhenUsed/>
    <w:rsid w:val="0065674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674C"/>
    <w:rPr>
      <w:rFonts w:ascii="Times New Roman" w:hAnsi="Times New Roman"/>
      <w:sz w:val="28"/>
    </w:rPr>
  </w:style>
  <w:style w:type="character" w:styleId="a8">
    <w:name w:val="Hyperlink"/>
    <w:basedOn w:val="a0"/>
    <w:uiPriority w:val="99"/>
    <w:unhideWhenUsed/>
    <w:rsid w:val="000A5179"/>
    <w:rPr>
      <w:color w:val="0000FF" w:themeColor="hyperlink"/>
      <w:u w:val="single"/>
    </w:rPr>
  </w:style>
  <w:style w:type="paragraph" w:styleId="a9">
    <w:name w:val="Balloon Text"/>
    <w:basedOn w:val="a"/>
    <w:link w:val="aa"/>
    <w:uiPriority w:val="99"/>
    <w:semiHidden/>
    <w:unhideWhenUsed/>
    <w:rsid w:val="009566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669F"/>
    <w:rPr>
      <w:rFonts w:ascii="Tahoma" w:hAnsi="Tahoma" w:cs="Tahoma"/>
      <w:sz w:val="16"/>
      <w:szCs w:val="16"/>
    </w:rPr>
  </w:style>
  <w:style w:type="paragraph" w:styleId="ab">
    <w:name w:val="Bibliography"/>
    <w:basedOn w:val="a"/>
    <w:next w:val="a"/>
    <w:uiPriority w:val="37"/>
    <w:unhideWhenUsed/>
    <w:rsid w:val="00837BCF"/>
  </w:style>
  <w:style w:type="table" w:styleId="ac">
    <w:name w:val="Table Grid"/>
    <w:basedOn w:val="a1"/>
    <w:uiPriority w:val="59"/>
    <w:rsid w:val="008E2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List 2 Accent 4"/>
    <w:basedOn w:val="a1"/>
    <w:uiPriority w:val="66"/>
    <w:rsid w:val="00DC7A4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List 1 Accent 4"/>
    <w:basedOn w:val="a1"/>
    <w:uiPriority w:val="65"/>
    <w:rsid w:val="00B53EEA"/>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
    <w:name w:val="Light Shading Accent 1"/>
    <w:basedOn w:val="a1"/>
    <w:uiPriority w:val="60"/>
    <w:rsid w:val="00143D0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List 2 Accent 3"/>
    <w:basedOn w:val="a1"/>
    <w:uiPriority w:val="66"/>
    <w:rsid w:val="00143D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4047A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1"/>
    <w:uiPriority w:val="67"/>
    <w:rsid w:val="004047A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0">
    <w:name w:val="Light List Accent 1"/>
    <w:basedOn w:val="a1"/>
    <w:uiPriority w:val="61"/>
    <w:rsid w:val="004047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d">
    <w:name w:val="Light List"/>
    <w:basedOn w:val="a1"/>
    <w:uiPriority w:val="61"/>
    <w:rsid w:val="004047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1">
    <w:name w:val="Light Grid Accent 1"/>
    <w:basedOn w:val="a1"/>
    <w:uiPriority w:val="62"/>
    <w:rsid w:val="00E277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List Accent 5"/>
    <w:basedOn w:val="a1"/>
    <w:uiPriority w:val="61"/>
    <w:rsid w:val="00A570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e">
    <w:name w:val="No Spacing"/>
    <w:link w:val="af"/>
    <w:uiPriority w:val="1"/>
    <w:qFormat/>
    <w:rsid w:val="008C4136"/>
    <w:pPr>
      <w:spacing w:after="0" w:line="240" w:lineRule="auto"/>
    </w:pPr>
  </w:style>
  <w:style w:type="character" w:customStyle="1" w:styleId="fontstyle01">
    <w:name w:val="fontstyle01"/>
    <w:basedOn w:val="a0"/>
    <w:rsid w:val="008C4136"/>
    <w:rPr>
      <w:rFonts w:ascii="Times New Roman" w:hAnsi="Times New Roman" w:cs="Times New Roman" w:hint="default"/>
      <w:b w:val="0"/>
      <w:bCs w:val="0"/>
      <w:i w:val="0"/>
      <w:iCs w:val="0"/>
      <w:color w:val="000000"/>
      <w:sz w:val="28"/>
      <w:szCs w:val="28"/>
    </w:rPr>
  </w:style>
  <w:style w:type="character" w:customStyle="1" w:styleId="af">
    <w:name w:val="Без интервала Знак"/>
    <w:basedOn w:val="a0"/>
    <w:link w:val="ae"/>
    <w:uiPriority w:val="1"/>
    <w:locked/>
    <w:rsid w:val="008C4136"/>
  </w:style>
  <w:style w:type="paragraph" w:styleId="af0">
    <w:name w:val="Body Text"/>
    <w:basedOn w:val="a"/>
    <w:link w:val="af1"/>
    <w:uiPriority w:val="99"/>
    <w:semiHidden/>
    <w:unhideWhenUsed/>
    <w:qFormat/>
    <w:rsid w:val="007C5CEA"/>
    <w:pPr>
      <w:shd w:val="clear" w:color="auto" w:fill="FFFFFF"/>
      <w:spacing w:after="0" w:line="322" w:lineRule="exact"/>
      <w:ind w:hanging="640"/>
    </w:pPr>
    <w:rPr>
      <w:rFonts w:cs="Times New Roman"/>
      <w:sz w:val="27"/>
      <w:szCs w:val="27"/>
    </w:rPr>
  </w:style>
  <w:style w:type="character" w:customStyle="1" w:styleId="af1">
    <w:name w:val="Основной текст Знак"/>
    <w:basedOn w:val="a0"/>
    <w:link w:val="af0"/>
    <w:uiPriority w:val="99"/>
    <w:semiHidden/>
    <w:rsid w:val="007C5CEA"/>
    <w:rPr>
      <w:rFonts w:ascii="Times New Roman" w:hAnsi="Times New Roman" w:cs="Times New Roman"/>
      <w:sz w:val="27"/>
      <w:szCs w:val="27"/>
      <w:shd w:val="clear" w:color="auto" w:fill="FFFFFF"/>
    </w:rPr>
  </w:style>
  <w:style w:type="character" w:styleId="af2">
    <w:name w:val="annotation reference"/>
    <w:basedOn w:val="a0"/>
    <w:uiPriority w:val="99"/>
    <w:semiHidden/>
    <w:unhideWhenUsed/>
    <w:rsid w:val="0087684E"/>
    <w:rPr>
      <w:sz w:val="16"/>
      <w:szCs w:val="16"/>
    </w:rPr>
  </w:style>
  <w:style w:type="paragraph" w:styleId="af3">
    <w:name w:val="annotation text"/>
    <w:basedOn w:val="a"/>
    <w:link w:val="af4"/>
    <w:uiPriority w:val="99"/>
    <w:semiHidden/>
    <w:unhideWhenUsed/>
    <w:rsid w:val="0087684E"/>
    <w:pPr>
      <w:spacing w:line="240" w:lineRule="auto"/>
    </w:pPr>
    <w:rPr>
      <w:sz w:val="20"/>
      <w:szCs w:val="20"/>
    </w:rPr>
  </w:style>
  <w:style w:type="character" w:customStyle="1" w:styleId="af4">
    <w:name w:val="Текст примечания Знак"/>
    <w:basedOn w:val="a0"/>
    <w:link w:val="af3"/>
    <w:uiPriority w:val="99"/>
    <w:semiHidden/>
    <w:rsid w:val="0087684E"/>
    <w:rPr>
      <w:rFonts w:ascii="Times New Roman" w:hAnsi="Times New Roman"/>
      <w:sz w:val="20"/>
      <w:szCs w:val="20"/>
    </w:rPr>
  </w:style>
  <w:style w:type="paragraph" w:styleId="af5">
    <w:name w:val="annotation subject"/>
    <w:basedOn w:val="af3"/>
    <w:next w:val="af3"/>
    <w:link w:val="af6"/>
    <w:uiPriority w:val="99"/>
    <w:semiHidden/>
    <w:unhideWhenUsed/>
    <w:rsid w:val="0087684E"/>
    <w:rPr>
      <w:b/>
      <w:bCs/>
    </w:rPr>
  </w:style>
  <w:style w:type="character" w:customStyle="1" w:styleId="af6">
    <w:name w:val="Тема примечания Знак"/>
    <w:basedOn w:val="af4"/>
    <w:link w:val="af5"/>
    <w:uiPriority w:val="99"/>
    <w:semiHidden/>
    <w:rsid w:val="0087684E"/>
    <w:rPr>
      <w:rFonts w:ascii="Times New Roman" w:hAnsi="Times New Roman"/>
      <w:b/>
      <w:bCs/>
      <w:sz w:val="20"/>
      <w:szCs w:val="20"/>
    </w:rPr>
  </w:style>
  <w:style w:type="table" w:customStyle="1" w:styleId="1">
    <w:name w:val="Сетка таблицы1"/>
    <w:basedOn w:val="a1"/>
    <w:next w:val="ac"/>
    <w:uiPriority w:val="59"/>
    <w:rsid w:val="005A2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 светлая1"/>
    <w:basedOn w:val="a1"/>
    <w:uiPriority w:val="40"/>
    <w:rsid w:val="005A27E9"/>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7">
    <w:name w:val="FollowedHyperlink"/>
    <w:basedOn w:val="a0"/>
    <w:uiPriority w:val="99"/>
    <w:semiHidden/>
    <w:unhideWhenUsed/>
    <w:rsid w:val="000402A6"/>
    <w:rPr>
      <w:color w:val="800080" w:themeColor="followedHyperlink"/>
      <w:u w:val="single"/>
    </w:rPr>
  </w:style>
  <w:style w:type="paragraph" w:customStyle="1" w:styleId="F9E977197262459AB16AE09F8A4F0155">
    <w:name w:val="F9E977197262459AB16AE09F8A4F0155"/>
    <w:rsid w:val="00145654"/>
    <w:rPr>
      <w:rFonts w:eastAsiaTheme="minorEastAsia"/>
      <w:lang w:eastAsia="ru-RU"/>
    </w:rPr>
  </w:style>
  <w:style w:type="table" w:customStyle="1" w:styleId="11">
    <w:name w:val="Сетка таблицы11"/>
    <w:basedOn w:val="a1"/>
    <w:next w:val="ac"/>
    <w:uiPriority w:val="59"/>
    <w:rsid w:val="00B12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 светлая11"/>
    <w:basedOn w:val="a1"/>
    <w:uiPriority w:val="40"/>
    <w:rsid w:val="00960AE8"/>
    <w:pPr>
      <w:spacing w:after="0" w:line="240" w:lineRule="auto"/>
    </w:pPr>
    <w:rPr>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f8">
    <w:name w:val="Strong"/>
    <w:basedOn w:val="a0"/>
    <w:uiPriority w:val="22"/>
    <w:qFormat/>
    <w:rsid w:val="008F29BC"/>
    <w:rPr>
      <w:b/>
      <w:bCs/>
    </w:rPr>
  </w:style>
  <w:style w:type="paragraph" w:styleId="af9">
    <w:name w:val="Normal (Web)"/>
    <w:basedOn w:val="a"/>
    <w:uiPriority w:val="99"/>
    <w:unhideWhenUsed/>
    <w:rsid w:val="0064057A"/>
    <w:pPr>
      <w:spacing w:before="100" w:beforeAutospacing="1" w:after="100" w:afterAutospacing="1" w:line="240" w:lineRule="auto"/>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31E"/>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91D06"/>
    <w:pPr>
      <w:ind w:left="720"/>
      <w:contextualSpacing/>
    </w:pPr>
  </w:style>
  <w:style w:type="paragraph" w:styleId="a4">
    <w:name w:val="header"/>
    <w:basedOn w:val="a"/>
    <w:link w:val="a5"/>
    <w:uiPriority w:val="99"/>
    <w:unhideWhenUsed/>
    <w:rsid w:val="0065674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674C"/>
    <w:rPr>
      <w:rFonts w:ascii="Times New Roman" w:hAnsi="Times New Roman"/>
      <w:sz w:val="28"/>
    </w:rPr>
  </w:style>
  <w:style w:type="paragraph" w:styleId="a6">
    <w:name w:val="footer"/>
    <w:basedOn w:val="a"/>
    <w:link w:val="a7"/>
    <w:uiPriority w:val="99"/>
    <w:unhideWhenUsed/>
    <w:rsid w:val="0065674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674C"/>
    <w:rPr>
      <w:rFonts w:ascii="Times New Roman" w:hAnsi="Times New Roman"/>
      <w:sz w:val="28"/>
    </w:rPr>
  </w:style>
  <w:style w:type="character" w:styleId="a8">
    <w:name w:val="Hyperlink"/>
    <w:basedOn w:val="a0"/>
    <w:uiPriority w:val="99"/>
    <w:unhideWhenUsed/>
    <w:rsid w:val="000A5179"/>
    <w:rPr>
      <w:color w:val="0000FF" w:themeColor="hyperlink"/>
      <w:u w:val="single"/>
    </w:rPr>
  </w:style>
  <w:style w:type="paragraph" w:styleId="a9">
    <w:name w:val="Balloon Text"/>
    <w:basedOn w:val="a"/>
    <w:link w:val="aa"/>
    <w:uiPriority w:val="99"/>
    <w:semiHidden/>
    <w:unhideWhenUsed/>
    <w:rsid w:val="009566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669F"/>
    <w:rPr>
      <w:rFonts w:ascii="Tahoma" w:hAnsi="Tahoma" w:cs="Tahoma"/>
      <w:sz w:val="16"/>
      <w:szCs w:val="16"/>
    </w:rPr>
  </w:style>
  <w:style w:type="paragraph" w:styleId="ab">
    <w:name w:val="Bibliography"/>
    <w:basedOn w:val="a"/>
    <w:next w:val="a"/>
    <w:uiPriority w:val="37"/>
    <w:unhideWhenUsed/>
    <w:rsid w:val="00837BCF"/>
  </w:style>
  <w:style w:type="table" w:styleId="ac">
    <w:name w:val="Table Grid"/>
    <w:basedOn w:val="a1"/>
    <w:uiPriority w:val="59"/>
    <w:rsid w:val="008E2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List 2 Accent 4"/>
    <w:basedOn w:val="a1"/>
    <w:uiPriority w:val="66"/>
    <w:rsid w:val="00DC7A4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List 1 Accent 4"/>
    <w:basedOn w:val="a1"/>
    <w:uiPriority w:val="65"/>
    <w:rsid w:val="00B53EEA"/>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
    <w:name w:val="Light Shading Accent 1"/>
    <w:basedOn w:val="a1"/>
    <w:uiPriority w:val="60"/>
    <w:rsid w:val="00143D0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List 2 Accent 3"/>
    <w:basedOn w:val="a1"/>
    <w:uiPriority w:val="66"/>
    <w:rsid w:val="00143D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4047A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1"/>
    <w:uiPriority w:val="67"/>
    <w:rsid w:val="004047A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0">
    <w:name w:val="Light List Accent 1"/>
    <w:basedOn w:val="a1"/>
    <w:uiPriority w:val="61"/>
    <w:rsid w:val="004047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d">
    <w:name w:val="Light List"/>
    <w:basedOn w:val="a1"/>
    <w:uiPriority w:val="61"/>
    <w:rsid w:val="004047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1">
    <w:name w:val="Light Grid Accent 1"/>
    <w:basedOn w:val="a1"/>
    <w:uiPriority w:val="62"/>
    <w:rsid w:val="00E277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List Accent 5"/>
    <w:basedOn w:val="a1"/>
    <w:uiPriority w:val="61"/>
    <w:rsid w:val="00A570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e">
    <w:name w:val="No Spacing"/>
    <w:link w:val="af"/>
    <w:uiPriority w:val="1"/>
    <w:qFormat/>
    <w:rsid w:val="008C4136"/>
    <w:pPr>
      <w:spacing w:after="0" w:line="240" w:lineRule="auto"/>
    </w:pPr>
  </w:style>
  <w:style w:type="character" w:customStyle="1" w:styleId="fontstyle01">
    <w:name w:val="fontstyle01"/>
    <w:basedOn w:val="a0"/>
    <w:rsid w:val="008C4136"/>
    <w:rPr>
      <w:rFonts w:ascii="Times New Roman" w:hAnsi="Times New Roman" w:cs="Times New Roman" w:hint="default"/>
      <w:b w:val="0"/>
      <w:bCs w:val="0"/>
      <w:i w:val="0"/>
      <w:iCs w:val="0"/>
      <w:color w:val="000000"/>
      <w:sz w:val="28"/>
      <w:szCs w:val="28"/>
    </w:rPr>
  </w:style>
  <w:style w:type="character" w:customStyle="1" w:styleId="af">
    <w:name w:val="Без интервала Знак"/>
    <w:basedOn w:val="a0"/>
    <w:link w:val="ae"/>
    <w:uiPriority w:val="1"/>
    <w:locked/>
    <w:rsid w:val="008C4136"/>
  </w:style>
  <w:style w:type="paragraph" w:styleId="af0">
    <w:name w:val="Body Text"/>
    <w:basedOn w:val="a"/>
    <w:link w:val="af1"/>
    <w:uiPriority w:val="99"/>
    <w:semiHidden/>
    <w:unhideWhenUsed/>
    <w:qFormat/>
    <w:rsid w:val="007C5CEA"/>
    <w:pPr>
      <w:shd w:val="clear" w:color="auto" w:fill="FFFFFF"/>
      <w:spacing w:after="0" w:line="322" w:lineRule="exact"/>
      <w:ind w:hanging="640"/>
    </w:pPr>
    <w:rPr>
      <w:rFonts w:cs="Times New Roman"/>
      <w:sz w:val="27"/>
      <w:szCs w:val="27"/>
    </w:rPr>
  </w:style>
  <w:style w:type="character" w:customStyle="1" w:styleId="af1">
    <w:name w:val="Основной текст Знак"/>
    <w:basedOn w:val="a0"/>
    <w:link w:val="af0"/>
    <w:uiPriority w:val="99"/>
    <w:semiHidden/>
    <w:rsid w:val="007C5CEA"/>
    <w:rPr>
      <w:rFonts w:ascii="Times New Roman" w:hAnsi="Times New Roman" w:cs="Times New Roman"/>
      <w:sz w:val="27"/>
      <w:szCs w:val="27"/>
      <w:shd w:val="clear" w:color="auto" w:fill="FFFFFF"/>
    </w:rPr>
  </w:style>
  <w:style w:type="character" w:styleId="af2">
    <w:name w:val="annotation reference"/>
    <w:basedOn w:val="a0"/>
    <w:uiPriority w:val="99"/>
    <w:semiHidden/>
    <w:unhideWhenUsed/>
    <w:rsid w:val="0087684E"/>
    <w:rPr>
      <w:sz w:val="16"/>
      <w:szCs w:val="16"/>
    </w:rPr>
  </w:style>
  <w:style w:type="paragraph" w:styleId="af3">
    <w:name w:val="annotation text"/>
    <w:basedOn w:val="a"/>
    <w:link w:val="af4"/>
    <w:uiPriority w:val="99"/>
    <w:semiHidden/>
    <w:unhideWhenUsed/>
    <w:rsid w:val="0087684E"/>
    <w:pPr>
      <w:spacing w:line="240" w:lineRule="auto"/>
    </w:pPr>
    <w:rPr>
      <w:sz w:val="20"/>
      <w:szCs w:val="20"/>
    </w:rPr>
  </w:style>
  <w:style w:type="character" w:customStyle="1" w:styleId="af4">
    <w:name w:val="Текст примечания Знак"/>
    <w:basedOn w:val="a0"/>
    <w:link w:val="af3"/>
    <w:uiPriority w:val="99"/>
    <w:semiHidden/>
    <w:rsid w:val="0087684E"/>
    <w:rPr>
      <w:rFonts w:ascii="Times New Roman" w:hAnsi="Times New Roman"/>
      <w:sz w:val="20"/>
      <w:szCs w:val="20"/>
    </w:rPr>
  </w:style>
  <w:style w:type="paragraph" w:styleId="af5">
    <w:name w:val="annotation subject"/>
    <w:basedOn w:val="af3"/>
    <w:next w:val="af3"/>
    <w:link w:val="af6"/>
    <w:uiPriority w:val="99"/>
    <w:semiHidden/>
    <w:unhideWhenUsed/>
    <w:rsid w:val="0087684E"/>
    <w:rPr>
      <w:b/>
      <w:bCs/>
    </w:rPr>
  </w:style>
  <w:style w:type="character" w:customStyle="1" w:styleId="af6">
    <w:name w:val="Тема примечания Знак"/>
    <w:basedOn w:val="af4"/>
    <w:link w:val="af5"/>
    <w:uiPriority w:val="99"/>
    <w:semiHidden/>
    <w:rsid w:val="0087684E"/>
    <w:rPr>
      <w:rFonts w:ascii="Times New Roman" w:hAnsi="Times New Roman"/>
      <w:b/>
      <w:bCs/>
      <w:sz w:val="20"/>
      <w:szCs w:val="20"/>
    </w:rPr>
  </w:style>
  <w:style w:type="table" w:customStyle="1" w:styleId="1">
    <w:name w:val="Сетка таблицы1"/>
    <w:basedOn w:val="a1"/>
    <w:next w:val="ac"/>
    <w:uiPriority w:val="59"/>
    <w:rsid w:val="005A2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 светлая1"/>
    <w:basedOn w:val="a1"/>
    <w:uiPriority w:val="40"/>
    <w:rsid w:val="005A27E9"/>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7">
    <w:name w:val="FollowedHyperlink"/>
    <w:basedOn w:val="a0"/>
    <w:uiPriority w:val="99"/>
    <w:semiHidden/>
    <w:unhideWhenUsed/>
    <w:rsid w:val="000402A6"/>
    <w:rPr>
      <w:color w:val="800080" w:themeColor="followedHyperlink"/>
      <w:u w:val="single"/>
    </w:rPr>
  </w:style>
  <w:style w:type="paragraph" w:customStyle="1" w:styleId="F9E977197262459AB16AE09F8A4F0155">
    <w:name w:val="F9E977197262459AB16AE09F8A4F0155"/>
    <w:rsid w:val="00145654"/>
    <w:rPr>
      <w:rFonts w:eastAsiaTheme="minorEastAsia"/>
      <w:lang w:eastAsia="ru-RU"/>
    </w:rPr>
  </w:style>
  <w:style w:type="table" w:customStyle="1" w:styleId="11">
    <w:name w:val="Сетка таблицы11"/>
    <w:basedOn w:val="a1"/>
    <w:next w:val="ac"/>
    <w:uiPriority w:val="59"/>
    <w:rsid w:val="00B12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 светлая11"/>
    <w:basedOn w:val="a1"/>
    <w:uiPriority w:val="40"/>
    <w:rsid w:val="00960AE8"/>
    <w:pPr>
      <w:spacing w:after="0" w:line="240" w:lineRule="auto"/>
    </w:pPr>
    <w:rPr>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f8">
    <w:name w:val="Strong"/>
    <w:basedOn w:val="a0"/>
    <w:uiPriority w:val="22"/>
    <w:qFormat/>
    <w:rsid w:val="008F29BC"/>
    <w:rPr>
      <w:b/>
      <w:bCs/>
    </w:rPr>
  </w:style>
  <w:style w:type="paragraph" w:styleId="af9">
    <w:name w:val="Normal (Web)"/>
    <w:basedOn w:val="a"/>
    <w:uiPriority w:val="99"/>
    <w:unhideWhenUsed/>
    <w:rsid w:val="0064057A"/>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866">
      <w:bodyDiv w:val="1"/>
      <w:marLeft w:val="0"/>
      <w:marRight w:val="0"/>
      <w:marTop w:val="0"/>
      <w:marBottom w:val="0"/>
      <w:divBdr>
        <w:top w:val="none" w:sz="0" w:space="0" w:color="auto"/>
        <w:left w:val="none" w:sz="0" w:space="0" w:color="auto"/>
        <w:bottom w:val="none" w:sz="0" w:space="0" w:color="auto"/>
        <w:right w:val="none" w:sz="0" w:space="0" w:color="auto"/>
      </w:divBdr>
    </w:div>
    <w:div w:id="78411873">
      <w:bodyDiv w:val="1"/>
      <w:marLeft w:val="0"/>
      <w:marRight w:val="0"/>
      <w:marTop w:val="0"/>
      <w:marBottom w:val="0"/>
      <w:divBdr>
        <w:top w:val="none" w:sz="0" w:space="0" w:color="auto"/>
        <w:left w:val="none" w:sz="0" w:space="0" w:color="auto"/>
        <w:bottom w:val="none" w:sz="0" w:space="0" w:color="auto"/>
        <w:right w:val="none" w:sz="0" w:space="0" w:color="auto"/>
      </w:divBdr>
    </w:div>
    <w:div w:id="84301799">
      <w:bodyDiv w:val="1"/>
      <w:marLeft w:val="0"/>
      <w:marRight w:val="0"/>
      <w:marTop w:val="0"/>
      <w:marBottom w:val="0"/>
      <w:divBdr>
        <w:top w:val="none" w:sz="0" w:space="0" w:color="auto"/>
        <w:left w:val="none" w:sz="0" w:space="0" w:color="auto"/>
        <w:bottom w:val="none" w:sz="0" w:space="0" w:color="auto"/>
        <w:right w:val="none" w:sz="0" w:space="0" w:color="auto"/>
      </w:divBdr>
    </w:div>
    <w:div w:id="98718075">
      <w:bodyDiv w:val="1"/>
      <w:marLeft w:val="0"/>
      <w:marRight w:val="0"/>
      <w:marTop w:val="0"/>
      <w:marBottom w:val="0"/>
      <w:divBdr>
        <w:top w:val="none" w:sz="0" w:space="0" w:color="auto"/>
        <w:left w:val="none" w:sz="0" w:space="0" w:color="auto"/>
        <w:bottom w:val="none" w:sz="0" w:space="0" w:color="auto"/>
        <w:right w:val="none" w:sz="0" w:space="0" w:color="auto"/>
      </w:divBdr>
    </w:div>
    <w:div w:id="172962673">
      <w:bodyDiv w:val="1"/>
      <w:marLeft w:val="0"/>
      <w:marRight w:val="0"/>
      <w:marTop w:val="0"/>
      <w:marBottom w:val="0"/>
      <w:divBdr>
        <w:top w:val="none" w:sz="0" w:space="0" w:color="auto"/>
        <w:left w:val="none" w:sz="0" w:space="0" w:color="auto"/>
        <w:bottom w:val="none" w:sz="0" w:space="0" w:color="auto"/>
        <w:right w:val="none" w:sz="0" w:space="0" w:color="auto"/>
      </w:divBdr>
    </w:div>
    <w:div w:id="176623739">
      <w:bodyDiv w:val="1"/>
      <w:marLeft w:val="0"/>
      <w:marRight w:val="0"/>
      <w:marTop w:val="0"/>
      <w:marBottom w:val="0"/>
      <w:divBdr>
        <w:top w:val="none" w:sz="0" w:space="0" w:color="auto"/>
        <w:left w:val="none" w:sz="0" w:space="0" w:color="auto"/>
        <w:bottom w:val="none" w:sz="0" w:space="0" w:color="auto"/>
        <w:right w:val="none" w:sz="0" w:space="0" w:color="auto"/>
      </w:divBdr>
    </w:div>
    <w:div w:id="203829243">
      <w:bodyDiv w:val="1"/>
      <w:marLeft w:val="0"/>
      <w:marRight w:val="0"/>
      <w:marTop w:val="0"/>
      <w:marBottom w:val="0"/>
      <w:divBdr>
        <w:top w:val="none" w:sz="0" w:space="0" w:color="auto"/>
        <w:left w:val="none" w:sz="0" w:space="0" w:color="auto"/>
        <w:bottom w:val="none" w:sz="0" w:space="0" w:color="auto"/>
        <w:right w:val="none" w:sz="0" w:space="0" w:color="auto"/>
      </w:divBdr>
    </w:div>
    <w:div w:id="204757542">
      <w:bodyDiv w:val="1"/>
      <w:marLeft w:val="0"/>
      <w:marRight w:val="0"/>
      <w:marTop w:val="0"/>
      <w:marBottom w:val="0"/>
      <w:divBdr>
        <w:top w:val="none" w:sz="0" w:space="0" w:color="auto"/>
        <w:left w:val="none" w:sz="0" w:space="0" w:color="auto"/>
        <w:bottom w:val="none" w:sz="0" w:space="0" w:color="auto"/>
        <w:right w:val="none" w:sz="0" w:space="0" w:color="auto"/>
      </w:divBdr>
    </w:div>
    <w:div w:id="222177804">
      <w:bodyDiv w:val="1"/>
      <w:marLeft w:val="0"/>
      <w:marRight w:val="0"/>
      <w:marTop w:val="0"/>
      <w:marBottom w:val="0"/>
      <w:divBdr>
        <w:top w:val="none" w:sz="0" w:space="0" w:color="auto"/>
        <w:left w:val="none" w:sz="0" w:space="0" w:color="auto"/>
        <w:bottom w:val="none" w:sz="0" w:space="0" w:color="auto"/>
        <w:right w:val="none" w:sz="0" w:space="0" w:color="auto"/>
      </w:divBdr>
    </w:div>
    <w:div w:id="228687411">
      <w:bodyDiv w:val="1"/>
      <w:marLeft w:val="0"/>
      <w:marRight w:val="0"/>
      <w:marTop w:val="0"/>
      <w:marBottom w:val="0"/>
      <w:divBdr>
        <w:top w:val="none" w:sz="0" w:space="0" w:color="auto"/>
        <w:left w:val="none" w:sz="0" w:space="0" w:color="auto"/>
        <w:bottom w:val="none" w:sz="0" w:space="0" w:color="auto"/>
        <w:right w:val="none" w:sz="0" w:space="0" w:color="auto"/>
      </w:divBdr>
    </w:div>
    <w:div w:id="270286872">
      <w:bodyDiv w:val="1"/>
      <w:marLeft w:val="0"/>
      <w:marRight w:val="0"/>
      <w:marTop w:val="0"/>
      <w:marBottom w:val="0"/>
      <w:divBdr>
        <w:top w:val="none" w:sz="0" w:space="0" w:color="auto"/>
        <w:left w:val="none" w:sz="0" w:space="0" w:color="auto"/>
        <w:bottom w:val="none" w:sz="0" w:space="0" w:color="auto"/>
        <w:right w:val="none" w:sz="0" w:space="0" w:color="auto"/>
      </w:divBdr>
    </w:div>
    <w:div w:id="278074690">
      <w:bodyDiv w:val="1"/>
      <w:marLeft w:val="0"/>
      <w:marRight w:val="0"/>
      <w:marTop w:val="0"/>
      <w:marBottom w:val="0"/>
      <w:divBdr>
        <w:top w:val="none" w:sz="0" w:space="0" w:color="auto"/>
        <w:left w:val="none" w:sz="0" w:space="0" w:color="auto"/>
        <w:bottom w:val="none" w:sz="0" w:space="0" w:color="auto"/>
        <w:right w:val="none" w:sz="0" w:space="0" w:color="auto"/>
      </w:divBdr>
    </w:div>
    <w:div w:id="300233516">
      <w:bodyDiv w:val="1"/>
      <w:marLeft w:val="0"/>
      <w:marRight w:val="0"/>
      <w:marTop w:val="0"/>
      <w:marBottom w:val="0"/>
      <w:divBdr>
        <w:top w:val="none" w:sz="0" w:space="0" w:color="auto"/>
        <w:left w:val="none" w:sz="0" w:space="0" w:color="auto"/>
        <w:bottom w:val="none" w:sz="0" w:space="0" w:color="auto"/>
        <w:right w:val="none" w:sz="0" w:space="0" w:color="auto"/>
      </w:divBdr>
    </w:div>
    <w:div w:id="361176760">
      <w:bodyDiv w:val="1"/>
      <w:marLeft w:val="0"/>
      <w:marRight w:val="0"/>
      <w:marTop w:val="0"/>
      <w:marBottom w:val="0"/>
      <w:divBdr>
        <w:top w:val="none" w:sz="0" w:space="0" w:color="auto"/>
        <w:left w:val="none" w:sz="0" w:space="0" w:color="auto"/>
        <w:bottom w:val="none" w:sz="0" w:space="0" w:color="auto"/>
        <w:right w:val="none" w:sz="0" w:space="0" w:color="auto"/>
      </w:divBdr>
    </w:div>
    <w:div w:id="390809292">
      <w:bodyDiv w:val="1"/>
      <w:marLeft w:val="0"/>
      <w:marRight w:val="0"/>
      <w:marTop w:val="0"/>
      <w:marBottom w:val="0"/>
      <w:divBdr>
        <w:top w:val="none" w:sz="0" w:space="0" w:color="auto"/>
        <w:left w:val="none" w:sz="0" w:space="0" w:color="auto"/>
        <w:bottom w:val="none" w:sz="0" w:space="0" w:color="auto"/>
        <w:right w:val="none" w:sz="0" w:space="0" w:color="auto"/>
      </w:divBdr>
    </w:div>
    <w:div w:id="446318927">
      <w:bodyDiv w:val="1"/>
      <w:marLeft w:val="0"/>
      <w:marRight w:val="0"/>
      <w:marTop w:val="0"/>
      <w:marBottom w:val="0"/>
      <w:divBdr>
        <w:top w:val="none" w:sz="0" w:space="0" w:color="auto"/>
        <w:left w:val="none" w:sz="0" w:space="0" w:color="auto"/>
        <w:bottom w:val="none" w:sz="0" w:space="0" w:color="auto"/>
        <w:right w:val="none" w:sz="0" w:space="0" w:color="auto"/>
      </w:divBdr>
    </w:div>
    <w:div w:id="456335475">
      <w:bodyDiv w:val="1"/>
      <w:marLeft w:val="0"/>
      <w:marRight w:val="0"/>
      <w:marTop w:val="0"/>
      <w:marBottom w:val="0"/>
      <w:divBdr>
        <w:top w:val="none" w:sz="0" w:space="0" w:color="auto"/>
        <w:left w:val="none" w:sz="0" w:space="0" w:color="auto"/>
        <w:bottom w:val="none" w:sz="0" w:space="0" w:color="auto"/>
        <w:right w:val="none" w:sz="0" w:space="0" w:color="auto"/>
      </w:divBdr>
    </w:div>
    <w:div w:id="461728248">
      <w:bodyDiv w:val="1"/>
      <w:marLeft w:val="0"/>
      <w:marRight w:val="0"/>
      <w:marTop w:val="0"/>
      <w:marBottom w:val="0"/>
      <w:divBdr>
        <w:top w:val="none" w:sz="0" w:space="0" w:color="auto"/>
        <w:left w:val="none" w:sz="0" w:space="0" w:color="auto"/>
        <w:bottom w:val="none" w:sz="0" w:space="0" w:color="auto"/>
        <w:right w:val="none" w:sz="0" w:space="0" w:color="auto"/>
      </w:divBdr>
      <w:divsChild>
        <w:div w:id="733044413">
          <w:marLeft w:val="0"/>
          <w:marRight w:val="0"/>
          <w:marTop w:val="400"/>
          <w:marBottom w:val="400"/>
          <w:divBdr>
            <w:top w:val="none" w:sz="0" w:space="0" w:color="auto"/>
            <w:left w:val="none" w:sz="0" w:space="0" w:color="auto"/>
            <w:bottom w:val="none" w:sz="0" w:space="0" w:color="auto"/>
            <w:right w:val="none" w:sz="0" w:space="0" w:color="auto"/>
          </w:divBdr>
        </w:div>
        <w:div w:id="1988624822">
          <w:marLeft w:val="0"/>
          <w:marRight w:val="0"/>
          <w:marTop w:val="400"/>
          <w:marBottom w:val="400"/>
          <w:divBdr>
            <w:top w:val="none" w:sz="0" w:space="0" w:color="auto"/>
            <w:left w:val="none" w:sz="0" w:space="0" w:color="auto"/>
            <w:bottom w:val="none" w:sz="0" w:space="0" w:color="auto"/>
            <w:right w:val="none" w:sz="0" w:space="0" w:color="auto"/>
          </w:divBdr>
          <w:divsChild>
            <w:div w:id="348217517">
              <w:marLeft w:val="0"/>
              <w:marRight w:val="0"/>
              <w:marTop w:val="400"/>
              <w:marBottom w:val="400"/>
              <w:divBdr>
                <w:top w:val="none" w:sz="0" w:space="0" w:color="auto"/>
                <w:left w:val="none" w:sz="0" w:space="0" w:color="auto"/>
                <w:bottom w:val="none" w:sz="0" w:space="0" w:color="auto"/>
                <w:right w:val="none" w:sz="0" w:space="0" w:color="auto"/>
              </w:divBdr>
            </w:div>
            <w:div w:id="1096752237">
              <w:marLeft w:val="0"/>
              <w:marRight w:val="0"/>
              <w:marTop w:val="400"/>
              <w:marBottom w:val="400"/>
              <w:divBdr>
                <w:top w:val="none" w:sz="0" w:space="0" w:color="auto"/>
                <w:left w:val="none" w:sz="0" w:space="0" w:color="auto"/>
                <w:bottom w:val="none" w:sz="0" w:space="0" w:color="auto"/>
                <w:right w:val="none" w:sz="0" w:space="0" w:color="auto"/>
              </w:divBdr>
            </w:div>
            <w:div w:id="1516655336">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495649386">
      <w:bodyDiv w:val="1"/>
      <w:marLeft w:val="0"/>
      <w:marRight w:val="0"/>
      <w:marTop w:val="0"/>
      <w:marBottom w:val="0"/>
      <w:divBdr>
        <w:top w:val="none" w:sz="0" w:space="0" w:color="auto"/>
        <w:left w:val="none" w:sz="0" w:space="0" w:color="auto"/>
        <w:bottom w:val="none" w:sz="0" w:space="0" w:color="auto"/>
        <w:right w:val="none" w:sz="0" w:space="0" w:color="auto"/>
      </w:divBdr>
    </w:div>
    <w:div w:id="524632016">
      <w:bodyDiv w:val="1"/>
      <w:marLeft w:val="0"/>
      <w:marRight w:val="0"/>
      <w:marTop w:val="0"/>
      <w:marBottom w:val="0"/>
      <w:divBdr>
        <w:top w:val="none" w:sz="0" w:space="0" w:color="auto"/>
        <w:left w:val="none" w:sz="0" w:space="0" w:color="auto"/>
        <w:bottom w:val="none" w:sz="0" w:space="0" w:color="auto"/>
        <w:right w:val="none" w:sz="0" w:space="0" w:color="auto"/>
      </w:divBdr>
    </w:div>
    <w:div w:id="614023644">
      <w:bodyDiv w:val="1"/>
      <w:marLeft w:val="0"/>
      <w:marRight w:val="0"/>
      <w:marTop w:val="0"/>
      <w:marBottom w:val="0"/>
      <w:divBdr>
        <w:top w:val="none" w:sz="0" w:space="0" w:color="auto"/>
        <w:left w:val="none" w:sz="0" w:space="0" w:color="auto"/>
        <w:bottom w:val="none" w:sz="0" w:space="0" w:color="auto"/>
        <w:right w:val="none" w:sz="0" w:space="0" w:color="auto"/>
      </w:divBdr>
    </w:div>
    <w:div w:id="647591135">
      <w:bodyDiv w:val="1"/>
      <w:marLeft w:val="0"/>
      <w:marRight w:val="0"/>
      <w:marTop w:val="0"/>
      <w:marBottom w:val="0"/>
      <w:divBdr>
        <w:top w:val="none" w:sz="0" w:space="0" w:color="auto"/>
        <w:left w:val="none" w:sz="0" w:space="0" w:color="auto"/>
        <w:bottom w:val="none" w:sz="0" w:space="0" w:color="auto"/>
        <w:right w:val="none" w:sz="0" w:space="0" w:color="auto"/>
      </w:divBdr>
    </w:div>
    <w:div w:id="649792014">
      <w:bodyDiv w:val="1"/>
      <w:marLeft w:val="0"/>
      <w:marRight w:val="0"/>
      <w:marTop w:val="0"/>
      <w:marBottom w:val="0"/>
      <w:divBdr>
        <w:top w:val="none" w:sz="0" w:space="0" w:color="auto"/>
        <w:left w:val="none" w:sz="0" w:space="0" w:color="auto"/>
        <w:bottom w:val="none" w:sz="0" w:space="0" w:color="auto"/>
        <w:right w:val="none" w:sz="0" w:space="0" w:color="auto"/>
      </w:divBdr>
    </w:div>
    <w:div w:id="682437680">
      <w:bodyDiv w:val="1"/>
      <w:marLeft w:val="0"/>
      <w:marRight w:val="0"/>
      <w:marTop w:val="0"/>
      <w:marBottom w:val="0"/>
      <w:divBdr>
        <w:top w:val="none" w:sz="0" w:space="0" w:color="auto"/>
        <w:left w:val="none" w:sz="0" w:space="0" w:color="auto"/>
        <w:bottom w:val="none" w:sz="0" w:space="0" w:color="auto"/>
        <w:right w:val="none" w:sz="0" w:space="0" w:color="auto"/>
      </w:divBdr>
    </w:div>
    <w:div w:id="710111511">
      <w:bodyDiv w:val="1"/>
      <w:marLeft w:val="0"/>
      <w:marRight w:val="0"/>
      <w:marTop w:val="0"/>
      <w:marBottom w:val="0"/>
      <w:divBdr>
        <w:top w:val="none" w:sz="0" w:space="0" w:color="auto"/>
        <w:left w:val="none" w:sz="0" w:space="0" w:color="auto"/>
        <w:bottom w:val="none" w:sz="0" w:space="0" w:color="auto"/>
        <w:right w:val="none" w:sz="0" w:space="0" w:color="auto"/>
      </w:divBdr>
    </w:div>
    <w:div w:id="718213271">
      <w:bodyDiv w:val="1"/>
      <w:marLeft w:val="0"/>
      <w:marRight w:val="0"/>
      <w:marTop w:val="0"/>
      <w:marBottom w:val="0"/>
      <w:divBdr>
        <w:top w:val="none" w:sz="0" w:space="0" w:color="auto"/>
        <w:left w:val="none" w:sz="0" w:space="0" w:color="auto"/>
        <w:bottom w:val="none" w:sz="0" w:space="0" w:color="auto"/>
        <w:right w:val="none" w:sz="0" w:space="0" w:color="auto"/>
      </w:divBdr>
    </w:div>
    <w:div w:id="728503884">
      <w:bodyDiv w:val="1"/>
      <w:marLeft w:val="0"/>
      <w:marRight w:val="0"/>
      <w:marTop w:val="0"/>
      <w:marBottom w:val="0"/>
      <w:divBdr>
        <w:top w:val="none" w:sz="0" w:space="0" w:color="auto"/>
        <w:left w:val="none" w:sz="0" w:space="0" w:color="auto"/>
        <w:bottom w:val="none" w:sz="0" w:space="0" w:color="auto"/>
        <w:right w:val="none" w:sz="0" w:space="0" w:color="auto"/>
      </w:divBdr>
    </w:div>
    <w:div w:id="742795013">
      <w:bodyDiv w:val="1"/>
      <w:marLeft w:val="0"/>
      <w:marRight w:val="0"/>
      <w:marTop w:val="0"/>
      <w:marBottom w:val="0"/>
      <w:divBdr>
        <w:top w:val="none" w:sz="0" w:space="0" w:color="auto"/>
        <w:left w:val="none" w:sz="0" w:space="0" w:color="auto"/>
        <w:bottom w:val="none" w:sz="0" w:space="0" w:color="auto"/>
        <w:right w:val="none" w:sz="0" w:space="0" w:color="auto"/>
      </w:divBdr>
    </w:div>
    <w:div w:id="765273293">
      <w:bodyDiv w:val="1"/>
      <w:marLeft w:val="0"/>
      <w:marRight w:val="0"/>
      <w:marTop w:val="0"/>
      <w:marBottom w:val="0"/>
      <w:divBdr>
        <w:top w:val="none" w:sz="0" w:space="0" w:color="auto"/>
        <w:left w:val="none" w:sz="0" w:space="0" w:color="auto"/>
        <w:bottom w:val="none" w:sz="0" w:space="0" w:color="auto"/>
        <w:right w:val="none" w:sz="0" w:space="0" w:color="auto"/>
      </w:divBdr>
    </w:div>
    <w:div w:id="769082787">
      <w:bodyDiv w:val="1"/>
      <w:marLeft w:val="0"/>
      <w:marRight w:val="0"/>
      <w:marTop w:val="0"/>
      <w:marBottom w:val="0"/>
      <w:divBdr>
        <w:top w:val="none" w:sz="0" w:space="0" w:color="auto"/>
        <w:left w:val="none" w:sz="0" w:space="0" w:color="auto"/>
        <w:bottom w:val="none" w:sz="0" w:space="0" w:color="auto"/>
        <w:right w:val="none" w:sz="0" w:space="0" w:color="auto"/>
      </w:divBdr>
    </w:div>
    <w:div w:id="794328872">
      <w:bodyDiv w:val="1"/>
      <w:marLeft w:val="0"/>
      <w:marRight w:val="0"/>
      <w:marTop w:val="0"/>
      <w:marBottom w:val="0"/>
      <w:divBdr>
        <w:top w:val="none" w:sz="0" w:space="0" w:color="auto"/>
        <w:left w:val="none" w:sz="0" w:space="0" w:color="auto"/>
        <w:bottom w:val="none" w:sz="0" w:space="0" w:color="auto"/>
        <w:right w:val="none" w:sz="0" w:space="0" w:color="auto"/>
      </w:divBdr>
    </w:div>
    <w:div w:id="855390307">
      <w:bodyDiv w:val="1"/>
      <w:marLeft w:val="0"/>
      <w:marRight w:val="0"/>
      <w:marTop w:val="0"/>
      <w:marBottom w:val="0"/>
      <w:divBdr>
        <w:top w:val="none" w:sz="0" w:space="0" w:color="auto"/>
        <w:left w:val="none" w:sz="0" w:space="0" w:color="auto"/>
        <w:bottom w:val="none" w:sz="0" w:space="0" w:color="auto"/>
        <w:right w:val="none" w:sz="0" w:space="0" w:color="auto"/>
      </w:divBdr>
    </w:div>
    <w:div w:id="889264406">
      <w:bodyDiv w:val="1"/>
      <w:marLeft w:val="0"/>
      <w:marRight w:val="0"/>
      <w:marTop w:val="0"/>
      <w:marBottom w:val="0"/>
      <w:divBdr>
        <w:top w:val="none" w:sz="0" w:space="0" w:color="auto"/>
        <w:left w:val="none" w:sz="0" w:space="0" w:color="auto"/>
        <w:bottom w:val="none" w:sz="0" w:space="0" w:color="auto"/>
        <w:right w:val="none" w:sz="0" w:space="0" w:color="auto"/>
      </w:divBdr>
    </w:div>
    <w:div w:id="910309791">
      <w:bodyDiv w:val="1"/>
      <w:marLeft w:val="0"/>
      <w:marRight w:val="0"/>
      <w:marTop w:val="0"/>
      <w:marBottom w:val="0"/>
      <w:divBdr>
        <w:top w:val="none" w:sz="0" w:space="0" w:color="auto"/>
        <w:left w:val="none" w:sz="0" w:space="0" w:color="auto"/>
        <w:bottom w:val="none" w:sz="0" w:space="0" w:color="auto"/>
        <w:right w:val="none" w:sz="0" w:space="0" w:color="auto"/>
      </w:divBdr>
    </w:div>
    <w:div w:id="960651428">
      <w:bodyDiv w:val="1"/>
      <w:marLeft w:val="0"/>
      <w:marRight w:val="0"/>
      <w:marTop w:val="0"/>
      <w:marBottom w:val="0"/>
      <w:divBdr>
        <w:top w:val="none" w:sz="0" w:space="0" w:color="auto"/>
        <w:left w:val="none" w:sz="0" w:space="0" w:color="auto"/>
        <w:bottom w:val="none" w:sz="0" w:space="0" w:color="auto"/>
        <w:right w:val="none" w:sz="0" w:space="0" w:color="auto"/>
      </w:divBdr>
    </w:div>
    <w:div w:id="1025250884">
      <w:bodyDiv w:val="1"/>
      <w:marLeft w:val="0"/>
      <w:marRight w:val="0"/>
      <w:marTop w:val="0"/>
      <w:marBottom w:val="0"/>
      <w:divBdr>
        <w:top w:val="none" w:sz="0" w:space="0" w:color="auto"/>
        <w:left w:val="none" w:sz="0" w:space="0" w:color="auto"/>
        <w:bottom w:val="none" w:sz="0" w:space="0" w:color="auto"/>
        <w:right w:val="none" w:sz="0" w:space="0" w:color="auto"/>
      </w:divBdr>
    </w:div>
    <w:div w:id="1026441353">
      <w:bodyDiv w:val="1"/>
      <w:marLeft w:val="0"/>
      <w:marRight w:val="0"/>
      <w:marTop w:val="0"/>
      <w:marBottom w:val="0"/>
      <w:divBdr>
        <w:top w:val="none" w:sz="0" w:space="0" w:color="auto"/>
        <w:left w:val="none" w:sz="0" w:space="0" w:color="auto"/>
        <w:bottom w:val="none" w:sz="0" w:space="0" w:color="auto"/>
        <w:right w:val="none" w:sz="0" w:space="0" w:color="auto"/>
      </w:divBdr>
    </w:div>
    <w:div w:id="1033924458">
      <w:bodyDiv w:val="1"/>
      <w:marLeft w:val="0"/>
      <w:marRight w:val="0"/>
      <w:marTop w:val="0"/>
      <w:marBottom w:val="0"/>
      <w:divBdr>
        <w:top w:val="none" w:sz="0" w:space="0" w:color="auto"/>
        <w:left w:val="none" w:sz="0" w:space="0" w:color="auto"/>
        <w:bottom w:val="none" w:sz="0" w:space="0" w:color="auto"/>
        <w:right w:val="none" w:sz="0" w:space="0" w:color="auto"/>
      </w:divBdr>
    </w:div>
    <w:div w:id="1034884836">
      <w:bodyDiv w:val="1"/>
      <w:marLeft w:val="0"/>
      <w:marRight w:val="0"/>
      <w:marTop w:val="0"/>
      <w:marBottom w:val="0"/>
      <w:divBdr>
        <w:top w:val="none" w:sz="0" w:space="0" w:color="auto"/>
        <w:left w:val="none" w:sz="0" w:space="0" w:color="auto"/>
        <w:bottom w:val="none" w:sz="0" w:space="0" w:color="auto"/>
        <w:right w:val="none" w:sz="0" w:space="0" w:color="auto"/>
      </w:divBdr>
    </w:div>
    <w:div w:id="1071076752">
      <w:bodyDiv w:val="1"/>
      <w:marLeft w:val="0"/>
      <w:marRight w:val="0"/>
      <w:marTop w:val="0"/>
      <w:marBottom w:val="0"/>
      <w:divBdr>
        <w:top w:val="none" w:sz="0" w:space="0" w:color="auto"/>
        <w:left w:val="none" w:sz="0" w:space="0" w:color="auto"/>
        <w:bottom w:val="none" w:sz="0" w:space="0" w:color="auto"/>
        <w:right w:val="none" w:sz="0" w:space="0" w:color="auto"/>
      </w:divBdr>
    </w:div>
    <w:div w:id="1079794508">
      <w:bodyDiv w:val="1"/>
      <w:marLeft w:val="0"/>
      <w:marRight w:val="0"/>
      <w:marTop w:val="0"/>
      <w:marBottom w:val="0"/>
      <w:divBdr>
        <w:top w:val="none" w:sz="0" w:space="0" w:color="auto"/>
        <w:left w:val="none" w:sz="0" w:space="0" w:color="auto"/>
        <w:bottom w:val="none" w:sz="0" w:space="0" w:color="auto"/>
        <w:right w:val="none" w:sz="0" w:space="0" w:color="auto"/>
      </w:divBdr>
    </w:div>
    <w:div w:id="1085490418">
      <w:bodyDiv w:val="1"/>
      <w:marLeft w:val="0"/>
      <w:marRight w:val="0"/>
      <w:marTop w:val="0"/>
      <w:marBottom w:val="0"/>
      <w:divBdr>
        <w:top w:val="none" w:sz="0" w:space="0" w:color="auto"/>
        <w:left w:val="none" w:sz="0" w:space="0" w:color="auto"/>
        <w:bottom w:val="none" w:sz="0" w:space="0" w:color="auto"/>
        <w:right w:val="none" w:sz="0" w:space="0" w:color="auto"/>
      </w:divBdr>
    </w:div>
    <w:div w:id="1088388258">
      <w:bodyDiv w:val="1"/>
      <w:marLeft w:val="0"/>
      <w:marRight w:val="0"/>
      <w:marTop w:val="0"/>
      <w:marBottom w:val="0"/>
      <w:divBdr>
        <w:top w:val="none" w:sz="0" w:space="0" w:color="auto"/>
        <w:left w:val="none" w:sz="0" w:space="0" w:color="auto"/>
        <w:bottom w:val="none" w:sz="0" w:space="0" w:color="auto"/>
        <w:right w:val="none" w:sz="0" w:space="0" w:color="auto"/>
      </w:divBdr>
    </w:div>
    <w:div w:id="1112093548">
      <w:bodyDiv w:val="1"/>
      <w:marLeft w:val="0"/>
      <w:marRight w:val="0"/>
      <w:marTop w:val="0"/>
      <w:marBottom w:val="0"/>
      <w:divBdr>
        <w:top w:val="none" w:sz="0" w:space="0" w:color="auto"/>
        <w:left w:val="none" w:sz="0" w:space="0" w:color="auto"/>
        <w:bottom w:val="none" w:sz="0" w:space="0" w:color="auto"/>
        <w:right w:val="none" w:sz="0" w:space="0" w:color="auto"/>
      </w:divBdr>
    </w:div>
    <w:div w:id="1149664736">
      <w:bodyDiv w:val="1"/>
      <w:marLeft w:val="0"/>
      <w:marRight w:val="0"/>
      <w:marTop w:val="0"/>
      <w:marBottom w:val="0"/>
      <w:divBdr>
        <w:top w:val="none" w:sz="0" w:space="0" w:color="auto"/>
        <w:left w:val="none" w:sz="0" w:space="0" w:color="auto"/>
        <w:bottom w:val="none" w:sz="0" w:space="0" w:color="auto"/>
        <w:right w:val="none" w:sz="0" w:space="0" w:color="auto"/>
      </w:divBdr>
    </w:div>
    <w:div w:id="1160997430">
      <w:bodyDiv w:val="1"/>
      <w:marLeft w:val="0"/>
      <w:marRight w:val="0"/>
      <w:marTop w:val="0"/>
      <w:marBottom w:val="0"/>
      <w:divBdr>
        <w:top w:val="none" w:sz="0" w:space="0" w:color="auto"/>
        <w:left w:val="none" w:sz="0" w:space="0" w:color="auto"/>
        <w:bottom w:val="none" w:sz="0" w:space="0" w:color="auto"/>
        <w:right w:val="none" w:sz="0" w:space="0" w:color="auto"/>
      </w:divBdr>
    </w:div>
    <w:div w:id="1162159712">
      <w:bodyDiv w:val="1"/>
      <w:marLeft w:val="0"/>
      <w:marRight w:val="0"/>
      <w:marTop w:val="0"/>
      <w:marBottom w:val="0"/>
      <w:divBdr>
        <w:top w:val="none" w:sz="0" w:space="0" w:color="auto"/>
        <w:left w:val="none" w:sz="0" w:space="0" w:color="auto"/>
        <w:bottom w:val="none" w:sz="0" w:space="0" w:color="auto"/>
        <w:right w:val="none" w:sz="0" w:space="0" w:color="auto"/>
      </w:divBdr>
    </w:div>
    <w:div w:id="1193685285">
      <w:bodyDiv w:val="1"/>
      <w:marLeft w:val="0"/>
      <w:marRight w:val="0"/>
      <w:marTop w:val="0"/>
      <w:marBottom w:val="0"/>
      <w:divBdr>
        <w:top w:val="none" w:sz="0" w:space="0" w:color="auto"/>
        <w:left w:val="none" w:sz="0" w:space="0" w:color="auto"/>
        <w:bottom w:val="none" w:sz="0" w:space="0" w:color="auto"/>
        <w:right w:val="none" w:sz="0" w:space="0" w:color="auto"/>
      </w:divBdr>
    </w:div>
    <w:div w:id="1206257269">
      <w:bodyDiv w:val="1"/>
      <w:marLeft w:val="0"/>
      <w:marRight w:val="0"/>
      <w:marTop w:val="0"/>
      <w:marBottom w:val="0"/>
      <w:divBdr>
        <w:top w:val="none" w:sz="0" w:space="0" w:color="auto"/>
        <w:left w:val="none" w:sz="0" w:space="0" w:color="auto"/>
        <w:bottom w:val="none" w:sz="0" w:space="0" w:color="auto"/>
        <w:right w:val="none" w:sz="0" w:space="0" w:color="auto"/>
      </w:divBdr>
    </w:div>
    <w:div w:id="1224632672">
      <w:bodyDiv w:val="1"/>
      <w:marLeft w:val="0"/>
      <w:marRight w:val="0"/>
      <w:marTop w:val="0"/>
      <w:marBottom w:val="0"/>
      <w:divBdr>
        <w:top w:val="none" w:sz="0" w:space="0" w:color="auto"/>
        <w:left w:val="none" w:sz="0" w:space="0" w:color="auto"/>
        <w:bottom w:val="none" w:sz="0" w:space="0" w:color="auto"/>
        <w:right w:val="none" w:sz="0" w:space="0" w:color="auto"/>
      </w:divBdr>
    </w:div>
    <w:div w:id="1294483319">
      <w:bodyDiv w:val="1"/>
      <w:marLeft w:val="0"/>
      <w:marRight w:val="0"/>
      <w:marTop w:val="0"/>
      <w:marBottom w:val="0"/>
      <w:divBdr>
        <w:top w:val="none" w:sz="0" w:space="0" w:color="auto"/>
        <w:left w:val="none" w:sz="0" w:space="0" w:color="auto"/>
        <w:bottom w:val="none" w:sz="0" w:space="0" w:color="auto"/>
        <w:right w:val="none" w:sz="0" w:space="0" w:color="auto"/>
      </w:divBdr>
    </w:div>
    <w:div w:id="1299650579">
      <w:bodyDiv w:val="1"/>
      <w:marLeft w:val="0"/>
      <w:marRight w:val="0"/>
      <w:marTop w:val="0"/>
      <w:marBottom w:val="0"/>
      <w:divBdr>
        <w:top w:val="none" w:sz="0" w:space="0" w:color="auto"/>
        <w:left w:val="none" w:sz="0" w:space="0" w:color="auto"/>
        <w:bottom w:val="none" w:sz="0" w:space="0" w:color="auto"/>
        <w:right w:val="none" w:sz="0" w:space="0" w:color="auto"/>
      </w:divBdr>
    </w:div>
    <w:div w:id="1316104233">
      <w:bodyDiv w:val="1"/>
      <w:marLeft w:val="0"/>
      <w:marRight w:val="0"/>
      <w:marTop w:val="0"/>
      <w:marBottom w:val="0"/>
      <w:divBdr>
        <w:top w:val="none" w:sz="0" w:space="0" w:color="auto"/>
        <w:left w:val="none" w:sz="0" w:space="0" w:color="auto"/>
        <w:bottom w:val="none" w:sz="0" w:space="0" w:color="auto"/>
        <w:right w:val="none" w:sz="0" w:space="0" w:color="auto"/>
      </w:divBdr>
    </w:div>
    <w:div w:id="1353923151">
      <w:bodyDiv w:val="1"/>
      <w:marLeft w:val="0"/>
      <w:marRight w:val="0"/>
      <w:marTop w:val="0"/>
      <w:marBottom w:val="0"/>
      <w:divBdr>
        <w:top w:val="none" w:sz="0" w:space="0" w:color="auto"/>
        <w:left w:val="none" w:sz="0" w:space="0" w:color="auto"/>
        <w:bottom w:val="none" w:sz="0" w:space="0" w:color="auto"/>
        <w:right w:val="none" w:sz="0" w:space="0" w:color="auto"/>
      </w:divBdr>
    </w:div>
    <w:div w:id="1386291080">
      <w:bodyDiv w:val="1"/>
      <w:marLeft w:val="0"/>
      <w:marRight w:val="0"/>
      <w:marTop w:val="0"/>
      <w:marBottom w:val="0"/>
      <w:divBdr>
        <w:top w:val="none" w:sz="0" w:space="0" w:color="auto"/>
        <w:left w:val="none" w:sz="0" w:space="0" w:color="auto"/>
        <w:bottom w:val="none" w:sz="0" w:space="0" w:color="auto"/>
        <w:right w:val="none" w:sz="0" w:space="0" w:color="auto"/>
      </w:divBdr>
    </w:div>
    <w:div w:id="1388259344">
      <w:bodyDiv w:val="1"/>
      <w:marLeft w:val="0"/>
      <w:marRight w:val="0"/>
      <w:marTop w:val="0"/>
      <w:marBottom w:val="0"/>
      <w:divBdr>
        <w:top w:val="none" w:sz="0" w:space="0" w:color="auto"/>
        <w:left w:val="none" w:sz="0" w:space="0" w:color="auto"/>
        <w:bottom w:val="none" w:sz="0" w:space="0" w:color="auto"/>
        <w:right w:val="none" w:sz="0" w:space="0" w:color="auto"/>
      </w:divBdr>
    </w:div>
    <w:div w:id="1408261724">
      <w:bodyDiv w:val="1"/>
      <w:marLeft w:val="0"/>
      <w:marRight w:val="0"/>
      <w:marTop w:val="0"/>
      <w:marBottom w:val="0"/>
      <w:divBdr>
        <w:top w:val="none" w:sz="0" w:space="0" w:color="auto"/>
        <w:left w:val="none" w:sz="0" w:space="0" w:color="auto"/>
        <w:bottom w:val="none" w:sz="0" w:space="0" w:color="auto"/>
        <w:right w:val="none" w:sz="0" w:space="0" w:color="auto"/>
      </w:divBdr>
    </w:div>
    <w:div w:id="1432819230">
      <w:bodyDiv w:val="1"/>
      <w:marLeft w:val="0"/>
      <w:marRight w:val="0"/>
      <w:marTop w:val="0"/>
      <w:marBottom w:val="0"/>
      <w:divBdr>
        <w:top w:val="none" w:sz="0" w:space="0" w:color="auto"/>
        <w:left w:val="none" w:sz="0" w:space="0" w:color="auto"/>
        <w:bottom w:val="none" w:sz="0" w:space="0" w:color="auto"/>
        <w:right w:val="none" w:sz="0" w:space="0" w:color="auto"/>
      </w:divBdr>
    </w:div>
    <w:div w:id="1494763864">
      <w:bodyDiv w:val="1"/>
      <w:marLeft w:val="0"/>
      <w:marRight w:val="0"/>
      <w:marTop w:val="0"/>
      <w:marBottom w:val="0"/>
      <w:divBdr>
        <w:top w:val="none" w:sz="0" w:space="0" w:color="auto"/>
        <w:left w:val="none" w:sz="0" w:space="0" w:color="auto"/>
        <w:bottom w:val="none" w:sz="0" w:space="0" w:color="auto"/>
        <w:right w:val="none" w:sz="0" w:space="0" w:color="auto"/>
      </w:divBdr>
    </w:div>
    <w:div w:id="1542472252">
      <w:bodyDiv w:val="1"/>
      <w:marLeft w:val="0"/>
      <w:marRight w:val="0"/>
      <w:marTop w:val="0"/>
      <w:marBottom w:val="0"/>
      <w:divBdr>
        <w:top w:val="none" w:sz="0" w:space="0" w:color="auto"/>
        <w:left w:val="none" w:sz="0" w:space="0" w:color="auto"/>
        <w:bottom w:val="none" w:sz="0" w:space="0" w:color="auto"/>
        <w:right w:val="none" w:sz="0" w:space="0" w:color="auto"/>
      </w:divBdr>
    </w:div>
    <w:div w:id="1544634578">
      <w:bodyDiv w:val="1"/>
      <w:marLeft w:val="0"/>
      <w:marRight w:val="0"/>
      <w:marTop w:val="0"/>
      <w:marBottom w:val="0"/>
      <w:divBdr>
        <w:top w:val="none" w:sz="0" w:space="0" w:color="auto"/>
        <w:left w:val="none" w:sz="0" w:space="0" w:color="auto"/>
        <w:bottom w:val="none" w:sz="0" w:space="0" w:color="auto"/>
        <w:right w:val="none" w:sz="0" w:space="0" w:color="auto"/>
      </w:divBdr>
    </w:div>
    <w:div w:id="1545868956">
      <w:bodyDiv w:val="1"/>
      <w:marLeft w:val="0"/>
      <w:marRight w:val="0"/>
      <w:marTop w:val="0"/>
      <w:marBottom w:val="0"/>
      <w:divBdr>
        <w:top w:val="none" w:sz="0" w:space="0" w:color="auto"/>
        <w:left w:val="none" w:sz="0" w:space="0" w:color="auto"/>
        <w:bottom w:val="none" w:sz="0" w:space="0" w:color="auto"/>
        <w:right w:val="none" w:sz="0" w:space="0" w:color="auto"/>
      </w:divBdr>
    </w:div>
    <w:div w:id="1554460408">
      <w:bodyDiv w:val="1"/>
      <w:marLeft w:val="0"/>
      <w:marRight w:val="0"/>
      <w:marTop w:val="0"/>
      <w:marBottom w:val="0"/>
      <w:divBdr>
        <w:top w:val="none" w:sz="0" w:space="0" w:color="auto"/>
        <w:left w:val="none" w:sz="0" w:space="0" w:color="auto"/>
        <w:bottom w:val="none" w:sz="0" w:space="0" w:color="auto"/>
        <w:right w:val="none" w:sz="0" w:space="0" w:color="auto"/>
      </w:divBdr>
    </w:div>
    <w:div w:id="1614052485">
      <w:bodyDiv w:val="1"/>
      <w:marLeft w:val="0"/>
      <w:marRight w:val="0"/>
      <w:marTop w:val="0"/>
      <w:marBottom w:val="0"/>
      <w:divBdr>
        <w:top w:val="none" w:sz="0" w:space="0" w:color="auto"/>
        <w:left w:val="none" w:sz="0" w:space="0" w:color="auto"/>
        <w:bottom w:val="none" w:sz="0" w:space="0" w:color="auto"/>
        <w:right w:val="none" w:sz="0" w:space="0" w:color="auto"/>
      </w:divBdr>
    </w:div>
    <w:div w:id="1614632210">
      <w:bodyDiv w:val="1"/>
      <w:marLeft w:val="0"/>
      <w:marRight w:val="0"/>
      <w:marTop w:val="0"/>
      <w:marBottom w:val="0"/>
      <w:divBdr>
        <w:top w:val="none" w:sz="0" w:space="0" w:color="auto"/>
        <w:left w:val="none" w:sz="0" w:space="0" w:color="auto"/>
        <w:bottom w:val="none" w:sz="0" w:space="0" w:color="auto"/>
        <w:right w:val="none" w:sz="0" w:space="0" w:color="auto"/>
      </w:divBdr>
    </w:div>
    <w:div w:id="1622878218">
      <w:bodyDiv w:val="1"/>
      <w:marLeft w:val="0"/>
      <w:marRight w:val="0"/>
      <w:marTop w:val="0"/>
      <w:marBottom w:val="0"/>
      <w:divBdr>
        <w:top w:val="none" w:sz="0" w:space="0" w:color="auto"/>
        <w:left w:val="none" w:sz="0" w:space="0" w:color="auto"/>
        <w:bottom w:val="none" w:sz="0" w:space="0" w:color="auto"/>
        <w:right w:val="none" w:sz="0" w:space="0" w:color="auto"/>
      </w:divBdr>
    </w:div>
    <w:div w:id="1675454674">
      <w:bodyDiv w:val="1"/>
      <w:marLeft w:val="0"/>
      <w:marRight w:val="0"/>
      <w:marTop w:val="0"/>
      <w:marBottom w:val="0"/>
      <w:divBdr>
        <w:top w:val="none" w:sz="0" w:space="0" w:color="auto"/>
        <w:left w:val="none" w:sz="0" w:space="0" w:color="auto"/>
        <w:bottom w:val="none" w:sz="0" w:space="0" w:color="auto"/>
        <w:right w:val="none" w:sz="0" w:space="0" w:color="auto"/>
      </w:divBdr>
    </w:div>
    <w:div w:id="1697609884">
      <w:bodyDiv w:val="1"/>
      <w:marLeft w:val="0"/>
      <w:marRight w:val="0"/>
      <w:marTop w:val="0"/>
      <w:marBottom w:val="0"/>
      <w:divBdr>
        <w:top w:val="none" w:sz="0" w:space="0" w:color="auto"/>
        <w:left w:val="none" w:sz="0" w:space="0" w:color="auto"/>
        <w:bottom w:val="none" w:sz="0" w:space="0" w:color="auto"/>
        <w:right w:val="none" w:sz="0" w:space="0" w:color="auto"/>
      </w:divBdr>
    </w:div>
    <w:div w:id="1703556459">
      <w:bodyDiv w:val="1"/>
      <w:marLeft w:val="0"/>
      <w:marRight w:val="0"/>
      <w:marTop w:val="0"/>
      <w:marBottom w:val="0"/>
      <w:divBdr>
        <w:top w:val="none" w:sz="0" w:space="0" w:color="auto"/>
        <w:left w:val="none" w:sz="0" w:space="0" w:color="auto"/>
        <w:bottom w:val="none" w:sz="0" w:space="0" w:color="auto"/>
        <w:right w:val="none" w:sz="0" w:space="0" w:color="auto"/>
      </w:divBdr>
    </w:div>
    <w:div w:id="1706564452">
      <w:bodyDiv w:val="1"/>
      <w:marLeft w:val="0"/>
      <w:marRight w:val="0"/>
      <w:marTop w:val="0"/>
      <w:marBottom w:val="0"/>
      <w:divBdr>
        <w:top w:val="none" w:sz="0" w:space="0" w:color="auto"/>
        <w:left w:val="none" w:sz="0" w:space="0" w:color="auto"/>
        <w:bottom w:val="none" w:sz="0" w:space="0" w:color="auto"/>
        <w:right w:val="none" w:sz="0" w:space="0" w:color="auto"/>
      </w:divBdr>
    </w:div>
    <w:div w:id="1832334356">
      <w:bodyDiv w:val="1"/>
      <w:marLeft w:val="0"/>
      <w:marRight w:val="0"/>
      <w:marTop w:val="0"/>
      <w:marBottom w:val="0"/>
      <w:divBdr>
        <w:top w:val="none" w:sz="0" w:space="0" w:color="auto"/>
        <w:left w:val="none" w:sz="0" w:space="0" w:color="auto"/>
        <w:bottom w:val="none" w:sz="0" w:space="0" w:color="auto"/>
        <w:right w:val="none" w:sz="0" w:space="0" w:color="auto"/>
      </w:divBdr>
    </w:div>
    <w:div w:id="1835562560">
      <w:bodyDiv w:val="1"/>
      <w:marLeft w:val="0"/>
      <w:marRight w:val="0"/>
      <w:marTop w:val="0"/>
      <w:marBottom w:val="0"/>
      <w:divBdr>
        <w:top w:val="none" w:sz="0" w:space="0" w:color="auto"/>
        <w:left w:val="none" w:sz="0" w:space="0" w:color="auto"/>
        <w:bottom w:val="none" w:sz="0" w:space="0" w:color="auto"/>
        <w:right w:val="none" w:sz="0" w:space="0" w:color="auto"/>
      </w:divBdr>
    </w:div>
    <w:div w:id="1849709762">
      <w:bodyDiv w:val="1"/>
      <w:marLeft w:val="0"/>
      <w:marRight w:val="0"/>
      <w:marTop w:val="0"/>
      <w:marBottom w:val="0"/>
      <w:divBdr>
        <w:top w:val="none" w:sz="0" w:space="0" w:color="auto"/>
        <w:left w:val="none" w:sz="0" w:space="0" w:color="auto"/>
        <w:bottom w:val="none" w:sz="0" w:space="0" w:color="auto"/>
        <w:right w:val="none" w:sz="0" w:space="0" w:color="auto"/>
      </w:divBdr>
    </w:div>
    <w:div w:id="1855610374">
      <w:bodyDiv w:val="1"/>
      <w:marLeft w:val="0"/>
      <w:marRight w:val="0"/>
      <w:marTop w:val="0"/>
      <w:marBottom w:val="0"/>
      <w:divBdr>
        <w:top w:val="none" w:sz="0" w:space="0" w:color="auto"/>
        <w:left w:val="none" w:sz="0" w:space="0" w:color="auto"/>
        <w:bottom w:val="none" w:sz="0" w:space="0" w:color="auto"/>
        <w:right w:val="none" w:sz="0" w:space="0" w:color="auto"/>
      </w:divBdr>
    </w:div>
    <w:div w:id="1873572381">
      <w:bodyDiv w:val="1"/>
      <w:marLeft w:val="0"/>
      <w:marRight w:val="0"/>
      <w:marTop w:val="0"/>
      <w:marBottom w:val="0"/>
      <w:divBdr>
        <w:top w:val="none" w:sz="0" w:space="0" w:color="auto"/>
        <w:left w:val="none" w:sz="0" w:space="0" w:color="auto"/>
        <w:bottom w:val="none" w:sz="0" w:space="0" w:color="auto"/>
        <w:right w:val="none" w:sz="0" w:space="0" w:color="auto"/>
      </w:divBdr>
    </w:div>
    <w:div w:id="1890221212">
      <w:bodyDiv w:val="1"/>
      <w:marLeft w:val="0"/>
      <w:marRight w:val="0"/>
      <w:marTop w:val="0"/>
      <w:marBottom w:val="0"/>
      <w:divBdr>
        <w:top w:val="none" w:sz="0" w:space="0" w:color="auto"/>
        <w:left w:val="none" w:sz="0" w:space="0" w:color="auto"/>
        <w:bottom w:val="none" w:sz="0" w:space="0" w:color="auto"/>
        <w:right w:val="none" w:sz="0" w:space="0" w:color="auto"/>
      </w:divBdr>
    </w:div>
    <w:div w:id="1900938024">
      <w:bodyDiv w:val="1"/>
      <w:marLeft w:val="0"/>
      <w:marRight w:val="0"/>
      <w:marTop w:val="0"/>
      <w:marBottom w:val="0"/>
      <w:divBdr>
        <w:top w:val="none" w:sz="0" w:space="0" w:color="auto"/>
        <w:left w:val="none" w:sz="0" w:space="0" w:color="auto"/>
        <w:bottom w:val="none" w:sz="0" w:space="0" w:color="auto"/>
        <w:right w:val="none" w:sz="0" w:space="0" w:color="auto"/>
      </w:divBdr>
    </w:div>
    <w:div w:id="1905094458">
      <w:bodyDiv w:val="1"/>
      <w:marLeft w:val="0"/>
      <w:marRight w:val="0"/>
      <w:marTop w:val="0"/>
      <w:marBottom w:val="0"/>
      <w:divBdr>
        <w:top w:val="none" w:sz="0" w:space="0" w:color="auto"/>
        <w:left w:val="none" w:sz="0" w:space="0" w:color="auto"/>
        <w:bottom w:val="none" w:sz="0" w:space="0" w:color="auto"/>
        <w:right w:val="none" w:sz="0" w:space="0" w:color="auto"/>
      </w:divBdr>
    </w:div>
    <w:div w:id="1918396844">
      <w:bodyDiv w:val="1"/>
      <w:marLeft w:val="0"/>
      <w:marRight w:val="0"/>
      <w:marTop w:val="0"/>
      <w:marBottom w:val="0"/>
      <w:divBdr>
        <w:top w:val="none" w:sz="0" w:space="0" w:color="auto"/>
        <w:left w:val="none" w:sz="0" w:space="0" w:color="auto"/>
        <w:bottom w:val="none" w:sz="0" w:space="0" w:color="auto"/>
        <w:right w:val="none" w:sz="0" w:space="0" w:color="auto"/>
      </w:divBdr>
    </w:div>
    <w:div w:id="1943994628">
      <w:bodyDiv w:val="1"/>
      <w:marLeft w:val="0"/>
      <w:marRight w:val="0"/>
      <w:marTop w:val="0"/>
      <w:marBottom w:val="0"/>
      <w:divBdr>
        <w:top w:val="none" w:sz="0" w:space="0" w:color="auto"/>
        <w:left w:val="none" w:sz="0" w:space="0" w:color="auto"/>
        <w:bottom w:val="none" w:sz="0" w:space="0" w:color="auto"/>
        <w:right w:val="none" w:sz="0" w:space="0" w:color="auto"/>
      </w:divBdr>
    </w:div>
    <w:div w:id="2011789839">
      <w:bodyDiv w:val="1"/>
      <w:marLeft w:val="0"/>
      <w:marRight w:val="0"/>
      <w:marTop w:val="0"/>
      <w:marBottom w:val="0"/>
      <w:divBdr>
        <w:top w:val="none" w:sz="0" w:space="0" w:color="auto"/>
        <w:left w:val="none" w:sz="0" w:space="0" w:color="auto"/>
        <w:bottom w:val="none" w:sz="0" w:space="0" w:color="auto"/>
        <w:right w:val="none" w:sz="0" w:space="0" w:color="auto"/>
      </w:divBdr>
    </w:div>
    <w:div w:id="2050563467">
      <w:bodyDiv w:val="1"/>
      <w:marLeft w:val="0"/>
      <w:marRight w:val="0"/>
      <w:marTop w:val="0"/>
      <w:marBottom w:val="0"/>
      <w:divBdr>
        <w:top w:val="none" w:sz="0" w:space="0" w:color="auto"/>
        <w:left w:val="none" w:sz="0" w:space="0" w:color="auto"/>
        <w:bottom w:val="none" w:sz="0" w:space="0" w:color="auto"/>
        <w:right w:val="none" w:sz="0" w:space="0" w:color="auto"/>
      </w:divBdr>
    </w:div>
    <w:div w:id="2070415705">
      <w:bodyDiv w:val="1"/>
      <w:marLeft w:val="0"/>
      <w:marRight w:val="0"/>
      <w:marTop w:val="0"/>
      <w:marBottom w:val="0"/>
      <w:divBdr>
        <w:top w:val="none" w:sz="0" w:space="0" w:color="auto"/>
        <w:left w:val="none" w:sz="0" w:space="0" w:color="auto"/>
        <w:bottom w:val="none" w:sz="0" w:space="0" w:color="auto"/>
        <w:right w:val="none" w:sz="0" w:space="0" w:color="auto"/>
      </w:divBdr>
    </w:div>
    <w:div w:id="2076201550">
      <w:bodyDiv w:val="1"/>
      <w:marLeft w:val="0"/>
      <w:marRight w:val="0"/>
      <w:marTop w:val="0"/>
      <w:marBottom w:val="0"/>
      <w:divBdr>
        <w:top w:val="none" w:sz="0" w:space="0" w:color="auto"/>
        <w:left w:val="none" w:sz="0" w:space="0" w:color="auto"/>
        <w:bottom w:val="none" w:sz="0" w:space="0" w:color="auto"/>
        <w:right w:val="none" w:sz="0" w:space="0" w:color="auto"/>
      </w:divBdr>
    </w:div>
    <w:div w:id="20896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microsoft.com/office/2007/relationships/diagramDrawing" Target="diagrams/drawing2.xml"/><Relationship Id="rId39" Type="http://schemas.openxmlformats.org/officeDocument/2006/relationships/chart" Target="charts/chart3.xml"/><Relationship Id="rId21" Type="http://schemas.openxmlformats.org/officeDocument/2006/relationships/chart" Target="charts/chart1.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diagramLayout" Target="diagrams/layout3.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diagramColors" Target="diagrams/colors3.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diagramQuickStyle" Target="diagrams/quickStyle3.xm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image" Target="media/image9.jpeg"/><Relationship Id="rId38" Type="http://schemas.openxmlformats.org/officeDocument/2006/relationships/chart" Target="charts/chart2.xml"/><Relationship Id="rId46" Type="http://schemas.openxmlformats.org/officeDocument/2006/relationships/image" Target="media/image20.png"/><Relationship Id="rId59"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188374890638671"/>
          <c:y val="0.21736126734158231"/>
          <c:w val="0.42876148293963257"/>
          <c:h val="0.7350196850393701"/>
        </c:manualLayout>
      </c:layout>
      <c:pieChart>
        <c:varyColors val="1"/>
        <c:ser>
          <c:idx val="0"/>
          <c:order val="0"/>
          <c:tx>
            <c:strRef>
              <c:f>Лист1!$B$1</c:f>
              <c:strCache>
                <c:ptCount val="1"/>
                <c:pt idx="0">
                  <c:v>Продажи</c:v>
                </c:pt>
              </c:strCache>
            </c:strRef>
          </c:tx>
          <c:spPr>
            <a:solidFill>
              <a:schemeClr val="accent2"/>
            </a:solidFill>
            <a:ln>
              <a:solidFill>
                <a:schemeClr val="accent1"/>
              </a:solidFill>
            </a:ln>
          </c:spPr>
          <c:explosion val="25"/>
          <c:dPt>
            <c:idx val="0"/>
            <c:bubble3D val="0"/>
            <c:explosion val="0"/>
            <c:spPr>
              <a:solidFill>
                <a:srgbClr val="FF0000"/>
              </a:solidFill>
              <a:ln>
                <a:solidFill>
                  <a:schemeClr val="accent1"/>
                </a:solidFill>
              </a:ln>
            </c:spPr>
            <c:extLst xmlns:c16r2="http://schemas.microsoft.com/office/drawing/2015/06/chart">
              <c:ext xmlns:c16="http://schemas.microsoft.com/office/drawing/2014/chart" uri="{C3380CC4-5D6E-409C-BE32-E72D297353CC}">
                <c16:uniqueId val="{00000001-3758-43B9-BA89-88493CBC8FF6}"/>
              </c:ext>
            </c:extLst>
          </c:dPt>
          <c:dPt>
            <c:idx val="1"/>
            <c:bubble3D val="0"/>
            <c:explosion val="26"/>
            <c:spPr>
              <a:solidFill>
                <a:schemeClr val="tx2">
                  <a:lumMod val="60000"/>
                  <a:lumOff val="40000"/>
                </a:schemeClr>
              </a:solidFill>
              <a:ln>
                <a:solidFill>
                  <a:schemeClr val="accent1"/>
                </a:solidFill>
              </a:ln>
            </c:spPr>
            <c:extLst xmlns:c16r2="http://schemas.microsoft.com/office/drawing/2015/06/chart">
              <c:ext xmlns:c16="http://schemas.microsoft.com/office/drawing/2014/chart" uri="{C3380CC4-5D6E-409C-BE32-E72D297353CC}">
                <c16:uniqueId val="{00000003-3758-43B9-BA89-88493CBC8FF6}"/>
              </c:ext>
            </c:extLst>
          </c:dPt>
          <c:dLbls>
            <c:dLbl>
              <c:idx val="0"/>
              <c:spPr>
                <a:solidFill>
                  <a:srgbClr val="FFC000"/>
                </a:solidFill>
                <a:ln w="25400">
                  <a:solidFill>
                    <a:schemeClr val="bg1"/>
                  </a:solidFill>
                </a:ln>
                <a:effectLst>
                  <a:glow rad="139700">
                    <a:schemeClr val="bg1">
                      <a:alpha val="40000"/>
                    </a:schemeClr>
                  </a:glow>
                </a:effectLst>
              </c:spPr>
              <c:txPr>
                <a:bodyPr/>
                <a:lstStyle/>
                <a:p>
                  <a:pPr>
                    <a:defRPr b="1" i="0">
                      <a:latin typeface="Times New Roman" pitchFamily="18" charset="0"/>
                      <a:cs typeface="Times New Roman" pitchFamily="18" charset="0"/>
                    </a:defRPr>
                  </a:pPr>
                  <a:endParaRPr lang="ru-RU"/>
                </a:p>
              </c:txPr>
              <c:dLblPos val="ctr"/>
              <c:showLegendKey val="0"/>
              <c:showVal val="1"/>
              <c:showCatName val="0"/>
              <c:showSerName val="0"/>
              <c:showPercent val="0"/>
              <c:showBubbleSize val="0"/>
            </c:dLbl>
            <c:dLbl>
              <c:idx val="1"/>
              <c:spPr>
                <a:solidFill>
                  <a:schemeClr val="tx2">
                    <a:lumMod val="20000"/>
                    <a:lumOff val="80000"/>
                  </a:schemeClr>
                </a:solidFill>
                <a:ln w="25400">
                  <a:solidFill>
                    <a:schemeClr val="tx1"/>
                  </a:solidFill>
                </a:ln>
                <a:effectLst>
                  <a:glow rad="101600">
                    <a:schemeClr val="bg1">
                      <a:alpha val="40000"/>
                    </a:schemeClr>
                  </a:glow>
                  <a:softEdge rad="31750"/>
                </a:effectLst>
              </c:spPr>
              <c:txPr>
                <a:bodyPr/>
                <a:lstStyle/>
                <a:p>
                  <a:pPr>
                    <a:defRPr b="1">
                      <a:latin typeface="Times New Roman" pitchFamily="18" charset="0"/>
                      <a:cs typeface="Times New Roman" pitchFamily="18" charset="0"/>
                    </a:defRPr>
                  </a:pPr>
                  <a:endParaRPr lang="ru-RU"/>
                </a:p>
              </c:txPr>
              <c:dLblPos val="ctr"/>
              <c:showLegendKey val="0"/>
              <c:showVal val="1"/>
              <c:showCatName val="0"/>
              <c:showSerName val="0"/>
              <c:showPercent val="0"/>
              <c:showBubbleSize val="0"/>
            </c:dLbl>
            <c:spPr>
              <a:solidFill>
                <a:srgbClr val="FFC000"/>
              </a:solidFill>
              <a:ln>
                <a:noFill/>
              </a:ln>
              <a:effectLst>
                <a:glow rad="139700">
                  <a:schemeClr val="accent5">
                    <a:satMod val="175000"/>
                    <a:alpha val="40000"/>
                  </a:schemeClr>
                </a:glow>
                <a:softEdge rad="31750"/>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Женщины, средний возраст - 40.2 ± 4.12 лет</c:v>
                </c:pt>
                <c:pt idx="1">
                  <c:v>Мужчины средний возраст - 42.7 ± 6.11 лет</c:v>
                </c:pt>
              </c:strCache>
            </c:strRef>
          </c:cat>
          <c:val>
            <c:numRef>
              <c:f>Лист1!$B$2:$B$3</c:f>
              <c:numCache>
                <c:formatCode>0%</c:formatCode>
                <c:ptCount val="2"/>
                <c:pt idx="0">
                  <c:v>0.7</c:v>
                </c:pt>
                <c:pt idx="1">
                  <c:v>0.3</c:v>
                </c:pt>
              </c:numCache>
            </c:numRef>
          </c:val>
          <c:extLst xmlns:c16r2="http://schemas.microsoft.com/office/drawing/2015/06/chart">
            <c:ext xmlns:c16="http://schemas.microsoft.com/office/drawing/2014/chart" uri="{C3380CC4-5D6E-409C-BE32-E72D297353CC}">
              <c16:uniqueId val="{00000004-3758-43B9-BA89-88493CBC8FF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715405365995917"/>
          <c:y val="0.2826074865641795"/>
          <c:w val="0.41457057451151941"/>
          <c:h val="0.5641501062367204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2 в Microsoft Word]Лист1'!$B$14</c:f>
              <c:strCache>
                <c:ptCount val="1"/>
                <c:pt idx="0">
                  <c:v>Нет гормональных  нарушений  ЩЖ</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 2 в Microsoft Word]Лист1'!$C$12:$L$13</c:f>
              <c:multiLvlStrCache>
                <c:ptCount val="10"/>
                <c:lvl>
                  <c:pt idx="0">
                    <c:v>Мужчины</c:v>
                  </c:pt>
                  <c:pt idx="1">
                    <c:v>Женщины </c:v>
                  </c:pt>
                  <c:pt idx="2">
                    <c:v>Мужчины</c:v>
                  </c:pt>
                  <c:pt idx="3">
                    <c:v>Женщины </c:v>
                  </c:pt>
                  <c:pt idx="4">
                    <c:v>Мужчины</c:v>
                  </c:pt>
                  <c:pt idx="5">
                    <c:v>Женщины </c:v>
                  </c:pt>
                  <c:pt idx="6">
                    <c:v>Мужчины</c:v>
                  </c:pt>
                  <c:pt idx="7">
                    <c:v>Женщины </c:v>
                  </c:pt>
                  <c:pt idx="8">
                    <c:v>Мужчины</c:v>
                  </c:pt>
                  <c:pt idx="9">
                    <c:v>Женщины </c:v>
                  </c:pt>
                </c:lvl>
                <c:lvl>
                  <c:pt idx="0">
                    <c:v>14-24</c:v>
                  </c:pt>
                  <c:pt idx="2">
                    <c:v>25-35</c:v>
                  </c:pt>
                  <c:pt idx="4">
                    <c:v>36-46</c:v>
                  </c:pt>
                  <c:pt idx="6">
                    <c:v>47-57</c:v>
                  </c:pt>
                  <c:pt idx="8">
                    <c:v>58-73</c:v>
                  </c:pt>
                </c:lvl>
              </c:multiLvlStrCache>
            </c:multiLvlStrRef>
          </c:cat>
          <c:val>
            <c:numRef>
              <c:f>'[Диаграмма 2 в Microsoft Word]Лист1'!$C$14:$L$14</c:f>
              <c:numCache>
                <c:formatCode>General</c:formatCode>
                <c:ptCount val="10"/>
                <c:pt idx="0">
                  <c:v>0</c:v>
                </c:pt>
                <c:pt idx="1">
                  <c:v>1</c:v>
                </c:pt>
                <c:pt idx="2">
                  <c:v>2</c:v>
                </c:pt>
                <c:pt idx="3">
                  <c:v>2</c:v>
                </c:pt>
                <c:pt idx="4">
                  <c:v>4</c:v>
                </c:pt>
                <c:pt idx="5">
                  <c:v>4</c:v>
                </c:pt>
                <c:pt idx="6">
                  <c:v>1</c:v>
                </c:pt>
                <c:pt idx="7">
                  <c:v>7</c:v>
                </c:pt>
                <c:pt idx="8">
                  <c:v>6</c:v>
                </c:pt>
                <c:pt idx="9">
                  <c:v>3</c:v>
                </c:pt>
              </c:numCache>
            </c:numRef>
          </c:val>
          <c:smooth val="0"/>
          <c:extLst xmlns:c16r2="http://schemas.microsoft.com/office/drawing/2015/06/chart">
            <c:ext xmlns:c16="http://schemas.microsoft.com/office/drawing/2014/chart" uri="{C3380CC4-5D6E-409C-BE32-E72D297353CC}">
              <c16:uniqueId val="{00000000-F272-4E16-A8AC-B572A9A09F18}"/>
            </c:ext>
          </c:extLst>
        </c:ser>
        <c:ser>
          <c:idx val="1"/>
          <c:order val="1"/>
          <c:tx>
            <c:strRef>
              <c:f>'[Диаграмма 2 в Microsoft Word]Лист1'!$B$15</c:f>
              <c:strCache>
                <c:ptCount val="1"/>
                <c:pt idx="0">
                  <c:v>Гиперфункция</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 2 в Microsoft Word]Лист1'!$C$12:$L$13</c:f>
              <c:multiLvlStrCache>
                <c:ptCount val="10"/>
                <c:lvl>
                  <c:pt idx="0">
                    <c:v>Мужчины</c:v>
                  </c:pt>
                  <c:pt idx="1">
                    <c:v>Женщины </c:v>
                  </c:pt>
                  <c:pt idx="2">
                    <c:v>Мужчины</c:v>
                  </c:pt>
                  <c:pt idx="3">
                    <c:v>Женщины </c:v>
                  </c:pt>
                  <c:pt idx="4">
                    <c:v>Мужчины</c:v>
                  </c:pt>
                  <c:pt idx="5">
                    <c:v>Женщины </c:v>
                  </c:pt>
                  <c:pt idx="6">
                    <c:v>Мужчины</c:v>
                  </c:pt>
                  <c:pt idx="7">
                    <c:v>Женщины </c:v>
                  </c:pt>
                  <c:pt idx="8">
                    <c:v>Мужчины</c:v>
                  </c:pt>
                  <c:pt idx="9">
                    <c:v>Женщины </c:v>
                  </c:pt>
                </c:lvl>
                <c:lvl>
                  <c:pt idx="0">
                    <c:v>14-24</c:v>
                  </c:pt>
                  <c:pt idx="2">
                    <c:v>25-35</c:v>
                  </c:pt>
                  <c:pt idx="4">
                    <c:v>36-46</c:v>
                  </c:pt>
                  <c:pt idx="6">
                    <c:v>47-57</c:v>
                  </c:pt>
                  <c:pt idx="8">
                    <c:v>58-73</c:v>
                  </c:pt>
                </c:lvl>
              </c:multiLvlStrCache>
            </c:multiLvlStrRef>
          </c:cat>
          <c:val>
            <c:numRef>
              <c:f>'[Диаграмма 2 в Microsoft Word]Лист1'!$C$15:$L$15</c:f>
              <c:numCache>
                <c:formatCode>General</c:formatCode>
                <c:ptCount val="10"/>
                <c:pt idx="0">
                  <c:v>2</c:v>
                </c:pt>
                <c:pt idx="1">
                  <c:v>7</c:v>
                </c:pt>
                <c:pt idx="2">
                  <c:v>9</c:v>
                </c:pt>
                <c:pt idx="3">
                  <c:v>30</c:v>
                </c:pt>
                <c:pt idx="4">
                  <c:v>10</c:v>
                </c:pt>
                <c:pt idx="5">
                  <c:v>25</c:v>
                </c:pt>
                <c:pt idx="6">
                  <c:v>14</c:v>
                </c:pt>
                <c:pt idx="7">
                  <c:v>27</c:v>
                </c:pt>
                <c:pt idx="8">
                  <c:v>9</c:v>
                </c:pt>
                <c:pt idx="9">
                  <c:v>19</c:v>
                </c:pt>
              </c:numCache>
            </c:numRef>
          </c:val>
          <c:smooth val="0"/>
          <c:extLst xmlns:c16r2="http://schemas.microsoft.com/office/drawing/2015/06/chart">
            <c:ext xmlns:c16="http://schemas.microsoft.com/office/drawing/2014/chart" uri="{C3380CC4-5D6E-409C-BE32-E72D297353CC}">
              <c16:uniqueId val="{00000001-F272-4E16-A8AC-B572A9A09F18}"/>
            </c:ext>
          </c:extLst>
        </c:ser>
        <c:ser>
          <c:idx val="2"/>
          <c:order val="2"/>
          <c:tx>
            <c:strRef>
              <c:f>'[Диаграмма 2 в Microsoft Word]Лист1'!$B$16</c:f>
              <c:strCache>
                <c:ptCount val="1"/>
                <c:pt idx="0">
                  <c:v>Гипофункция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 2 в Microsoft Word]Лист1'!$C$12:$L$13</c:f>
              <c:multiLvlStrCache>
                <c:ptCount val="10"/>
                <c:lvl>
                  <c:pt idx="0">
                    <c:v>Мужчины</c:v>
                  </c:pt>
                  <c:pt idx="1">
                    <c:v>Женщины </c:v>
                  </c:pt>
                  <c:pt idx="2">
                    <c:v>Мужчины</c:v>
                  </c:pt>
                  <c:pt idx="3">
                    <c:v>Женщины </c:v>
                  </c:pt>
                  <c:pt idx="4">
                    <c:v>Мужчины</c:v>
                  </c:pt>
                  <c:pt idx="5">
                    <c:v>Женщины </c:v>
                  </c:pt>
                  <c:pt idx="6">
                    <c:v>Мужчины</c:v>
                  </c:pt>
                  <c:pt idx="7">
                    <c:v>Женщины </c:v>
                  </c:pt>
                  <c:pt idx="8">
                    <c:v>Мужчины</c:v>
                  </c:pt>
                  <c:pt idx="9">
                    <c:v>Женщины </c:v>
                  </c:pt>
                </c:lvl>
                <c:lvl>
                  <c:pt idx="0">
                    <c:v>14-24</c:v>
                  </c:pt>
                  <c:pt idx="2">
                    <c:v>25-35</c:v>
                  </c:pt>
                  <c:pt idx="4">
                    <c:v>36-46</c:v>
                  </c:pt>
                  <c:pt idx="6">
                    <c:v>47-57</c:v>
                  </c:pt>
                  <c:pt idx="8">
                    <c:v>58-73</c:v>
                  </c:pt>
                </c:lvl>
              </c:multiLvlStrCache>
            </c:multiLvlStrRef>
          </c:cat>
          <c:val>
            <c:numRef>
              <c:f>'[Диаграмма 2 в Microsoft Word]Лист1'!$C$16:$L$16</c:f>
              <c:numCache>
                <c:formatCode>General</c:formatCode>
                <c:ptCount val="10"/>
                <c:pt idx="0">
                  <c:v>0</c:v>
                </c:pt>
                <c:pt idx="1">
                  <c:v>2</c:v>
                </c:pt>
                <c:pt idx="2">
                  <c:v>0</c:v>
                </c:pt>
                <c:pt idx="3">
                  <c:v>3</c:v>
                </c:pt>
                <c:pt idx="4">
                  <c:v>1</c:v>
                </c:pt>
                <c:pt idx="5">
                  <c:v>4</c:v>
                </c:pt>
                <c:pt idx="6">
                  <c:v>0</c:v>
                </c:pt>
                <c:pt idx="7">
                  <c:v>1</c:v>
                </c:pt>
                <c:pt idx="8">
                  <c:v>0</c:v>
                </c:pt>
                <c:pt idx="9">
                  <c:v>0</c:v>
                </c:pt>
              </c:numCache>
            </c:numRef>
          </c:val>
          <c:smooth val="0"/>
          <c:extLst xmlns:c16r2="http://schemas.microsoft.com/office/drawing/2015/06/chart">
            <c:ext xmlns:c16="http://schemas.microsoft.com/office/drawing/2014/chart" uri="{C3380CC4-5D6E-409C-BE32-E72D297353CC}">
              <c16:uniqueId val="{00000002-F272-4E16-A8AC-B572A9A09F18}"/>
            </c:ext>
          </c:extLst>
        </c:ser>
        <c:dLbls>
          <c:showLegendKey val="0"/>
          <c:showVal val="0"/>
          <c:showCatName val="0"/>
          <c:showSerName val="0"/>
          <c:showPercent val="0"/>
          <c:showBubbleSize val="0"/>
        </c:dLbls>
        <c:marker val="1"/>
        <c:smooth val="0"/>
        <c:axId val="190225408"/>
        <c:axId val="190227200"/>
      </c:lineChart>
      <c:catAx>
        <c:axId val="190225408"/>
        <c:scaling>
          <c:orientation val="minMax"/>
        </c:scaling>
        <c:delete val="0"/>
        <c:axPos val="b"/>
        <c:numFmt formatCode="General" sourceLinked="0"/>
        <c:majorTickMark val="out"/>
        <c:minorTickMark val="none"/>
        <c:tickLblPos val="nextTo"/>
        <c:crossAx val="190227200"/>
        <c:crosses val="autoZero"/>
        <c:auto val="1"/>
        <c:lblAlgn val="ctr"/>
        <c:lblOffset val="100"/>
        <c:noMultiLvlLbl val="0"/>
      </c:catAx>
      <c:valAx>
        <c:axId val="190227200"/>
        <c:scaling>
          <c:orientation val="minMax"/>
        </c:scaling>
        <c:delete val="0"/>
        <c:axPos val="l"/>
        <c:majorGridlines/>
        <c:title>
          <c:tx>
            <c:rich>
              <a:bodyPr rot="-5400000" vert="horz"/>
              <a:lstStyle/>
              <a:p>
                <a:pPr>
                  <a:defRPr/>
                </a:pPr>
                <a:r>
                  <a:rPr lang="ru-RU" sz="1200" b="1" i="0" baseline="0">
                    <a:effectLst/>
                    <a:latin typeface="Times New Roman" pitchFamily="18" charset="0"/>
                    <a:cs typeface="Times New Roman" pitchFamily="18" charset="0"/>
                  </a:rPr>
                  <a:t>Количество </a:t>
                </a:r>
                <a:r>
                  <a:rPr lang="ru-RU" sz="1200" b="1" i="0" u="none" strike="noStrike" kern="1200" baseline="0">
                    <a:solidFill>
                      <a:sysClr val="windowText" lastClr="000000"/>
                    </a:solidFill>
                    <a:effectLst/>
                    <a:latin typeface="Times New Roman" pitchFamily="18" charset="0"/>
                    <a:ea typeface="+mn-ea"/>
                    <a:cs typeface="Times New Roman" pitchFamily="18" charset="0"/>
                  </a:rPr>
                  <a:t>пациентов</a:t>
                </a:r>
                <a:endParaRPr lang="ru-RU" sz="1200">
                  <a:effectLst/>
                  <a:latin typeface="Times New Roman" pitchFamily="18" charset="0"/>
                  <a:cs typeface="Times New Roman" pitchFamily="18" charset="0"/>
                </a:endParaRPr>
              </a:p>
            </c:rich>
          </c:tx>
          <c:overlay val="0"/>
        </c:title>
        <c:numFmt formatCode="General" sourceLinked="1"/>
        <c:majorTickMark val="out"/>
        <c:minorTickMark val="none"/>
        <c:tickLblPos val="nextTo"/>
        <c:crossAx val="190225408"/>
        <c:crosses val="autoZero"/>
        <c:crossBetween val="between"/>
      </c:valAx>
    </c:plotArea>
    <c:legend>
      <c:legendPos val="r"/>
      <c:layout>
        <c:manualLayout>
          <c:xMode val="edge"/>
          <c:yMode val="edge"/>
          <c:x val="0.71369222403480148"/>
          <c:y val="0.21441895438745834"/>
          <c:w val="0.28413268080478515"/>
          <c:h val="0.3117026317656239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Лист7!$G$169</c:f>
              <c:strCache>
                <c:ptCount val="1"/>
                <c:pt idx="0">
                  <c:v>% пациентов</c:v>
                </c:pt>
              </c:strCache>
            </c:strRef>
          </c:tx>
          <c:invertIfNegative val="0"/>
          <c:dLbls>
            <c:spPr>
              <a:noFill/>
              <a:ln>
                <a:noFill/>
              </a:ln>
              <a:effectLst/>
            </c:spPr>
            <c:txPr>
              <a:bodyPr/>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Лист7!$F$170:$F$175</c:f>
              <c:strCache>
                <c:ptCount val="6"/>
                <c:pt idx="0">
                  <c:v>(-10-6]</c:v>
                </c:pt>
                <c:pt idx="1">
                  <c:v>(-6-0)</c:v>
                </c:pt>
                <c:pt idx="2">
                  <c:v>0</c:v>
                </c:pt>
                <c:pt idx="3">
                  <c:v>(0-5]</c:v>
                </c:pt>
                <c:pt idx="4">
                  <c:v>(5-10]</c:v>
                </c:pt>
                <c:pt idx="5">
                  <c:v>(10-15]</c:v>
                </c:pt>
              </c:strCache>
            </c:strRef>
          </c:cat>
          <c:val>
            <c:numRef>
              <c:f>Лист7!$G$170:$G$175</c:f>
              <c:numCache>
                <c:formatCode>0.00</c:formatCode>
                <c:ptCount val="6"/>
                <c:pt idx="0">
                  <c:v>12.3</c:v>
                </c:pt>
                <c:pt idx="1">
                  <c:v>28.5</c:v>
                </c:pt>
                <c:pt idx="2">
                  <c:v>31.6</c:v>
                </c:pt>
                <c:pt idx="3">
                  <c:v>25</c:v>
                </c:pt>
                <c:pt idx="4">
                  <c:v>1.6</c:v>
                </c:pt>
                <c:pt idx="5">
                  <c:v>1.03</c:v>
                </c:pt>
              </c:numCache>
            </c:numRef>
          </c:val>
          <c:extLst xmlns:c16r2="http://schemas.microsoft.com/office/drawing/2015/06/chart">
            <c:ext xmlns:c16="http://schemas.microsoft.com/office/drawing/2014/chart" uri="{C3380CC4-5D6E-409C-BE32-E72D297353CC}">
              <c16:uniqueId val="{00000000-D804-4F26-A3FC-C02677548525}"/>
            </c:ext>
          </c:extLst>
        </c:ser>
        <c:dLbls>
          <c:showLegendKey val="0"/>
          <c:showVal val="0"/>
          <c:showCatName val="0"/>
          <c:showSerName val="0"/>
          <c:showPercent val="0"/>
          <c:showBubbleSize val="0"/>
        </c:dLbls>
        <c:gapWidth val="150"/>
        <c:axId val="190240256"/>
        <c:axId val="190242176"/>
      </c:barChart>
      <c:catAx>
        <c:axId val="190240256"/>
        <c:scaling>
          <c:orientation val="minMax"/>
        </c:scaling>
        <c:delete val="0"/>
        <c:axPos val="b"/>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Месяцы</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0242176"/>
        <c:crosses val="autoZero"/>
        <c:auto val="1"/>
        <c:lblAlgn val="ctr"/>
        <c:lblOffset val="100"/>
        <c:noMultiLvlLbl val="0"/>
      </c:catAx>
      <c:valAx>
        <c:axId val="190242176"/>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t>
                </a:r>
                <a:r>
                  <a:rPr lang="ru-RU" sz="1200">
                    <a:latin typeface="Times New Roman" pitchFamily="18" charset="0"/>
                    <a:cs typeface="Times New Roman" pitchFamily="18" charset="0"/>
                  </a:rPr>
                  <a:t> пациентов  с ЭОП</a:t>
                </a:r>
                <a:endParaRPr lang="en-US" sz="1200">
                  <a:latin typeface="Times New Roman" pitchFamily="18" charset="0"/>
                  <a:cs typeface="Times New Roman" pitchFamily="18" charset="0"/>
                </a:endParaRPr>
              </a:p>
            </c:rich>
          </c:tx>
          <c:overlay val="0"/>
          <c:spPr>
            <a:ln>
              <a:solidFill>
                <a:schemeClr val="tx2">
                  <a:lumMod val="60000"/>
                  <a:lumOff val="40000"/>
                </a:schemeClr>
              </a:solidFill>
            </a:ln>
          </c:spPr>
        </c:title>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0240256"/>
        <c:crosses val="autoZero"/>
        <c:crossBetween val="between"/>
      </c:valAx>
      <c:spPr>
        <a:solidFill>
          <a:schemeClr val="accent1">
            <a:lumMod val="20000"/>
            <a:lumOff val="80000"/>
          </a:schemeClr>
        </a:solidFill>
      </c:spPr>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6799D-4010-483D-89BC-EC0618FC4E03}" type="doc">
      <dgm:prSet loTypeId="urn:microsoft.com/office/officeart/2005/8/layout/radial1" loCatId="relationship" qsTypeId="urn:microsoft.com/office/officeart/2005/8/quickstyle/simple3" qsCatId="simple" csTypeId="urn:microsoft.com/office/officeart/2005/8/colors/accent4_4" csCatId="accent4" phldr="1"/>
      <dgm:spPr/>
      <dgm:t>
        <a:bodyPr/>
        <a:lstStyle/>
        <a:p>
          <a:endParaRPr lang="ru-RU"/>
        </a:p>
      </dgm:t>
    </dgm:pt>
    <dgm:pt modelId="{DAA0484E-F974-4364-A83D-055D517E2AA2}">
      <dgm:prSet phldrT="[Текст]" custT="1"/>
      <dgm:spPr/>
      <dgm:t>
        <a:bodyPr/>
        <a:lstStyle/>
        <a:p>
          <a:pPr algn="ctr"/>
          <a:r>
            <a:rPr lang="en-US" sz="1400">
              <a:latin typeface="Times New Roman" pitchFamily="18" charset="0"/>
              <a:cs typeface="Times New Roman" pitchFamily="18" charset="0"/>
            </a:rPr>
            <a:t>IL-38/IL-36R</a:t>
          </a:r>
          <a:endParaRPr lang="ru-RU" sz="1400">
            <a:latin typeface="Times New Roman" pitchFamily="18" charset="0"/>
            <a:cs typeface="Times New Roman" pitchFamily="18" charset="0"/>
          </a:endParaRPr>
        </a:p>
      </dgm:t>
    </dgm:pt>
    <dgm:pt modelId="{0F6A60B7-CB8F-4949-895E-07C6BC49C8ED}" type="parTrans" cxnId="{4C8506AD-2C9A-478A-BE0C-7843A8723C85}">
      <dgm:prSet custT="1"/>
      <dgm:spPr/>
      <dgm:t>
        <a:bodyPr/>
        <a:lstStyle/>
        <a:p>
          <a:pPr algn="ctr"/>
          <a:endParaRPr lang="ru-RU" sz="1100">
            <a:latin typeface="Times New Roman" pitchFamily="18" charset="0"/>
            <a:cs typeface="Times New Roman" pitchFamily="18" charset="0"/>
          </a:endParaRPr>
        </a:p>
      </dgm:t>
    </dgm:pt>
    <dgm:pt modelId="{B12EFADD-BC5B-440D-869E-337DE9FE52F9}" type="sibTrans" cxnId="{4C8506AD-2C9A-478A-BE0C-7843A8723C85}">
      <dgm:prSet/>
      <dgm:spPr/>
      <dgm:t>
        <a:bodyPr/>
        <a:lstStyle/>
        <a:p>
          <a:pPr algn="ctr"/>
          <a:endParaRPr lang="ru-RU" sz="3600">
            <a:latin typeface="Times New Roman" pitchFamily="18" charset="0"/>
            <a:cs typeface="Times New Roman" pitchFamily="18" charset="0"/>
          </a:endParaRPr>
        </a:p>
      </dgm:t>
    </dgm:pt>
    <dgm:pt modelId="{282D4AA4-AD98-435F-BEDF-08216299F04E}">
      <dgm:prSet phldrT="[Текст]" custT="1"/>
      <dgm:spPr/>
      <dgm:t>
        <a:bodyPr/>
        <a:lstStyle/>
        <a:p>
          <a:pPr algn="ctr"/>
          <a:r>
            <a:rPr lang="en-US" sz="1400">
              <a:latin typeface="Times New Roman" pitchFamily="18" charset="0"/>
              <a:cs typeface="Times New Roman" pitchFamily="18" charset="0"/>
            </a:rPr>
            <a:t>IL-38/IL1RAPL1</a:t>
          </a:r>
          <a:endParaRPr lang="ru-RU" sz="1400">
            <a:latin typeface="Times New Roman" pitchFamily="18" charset="0"/>
            <a:cs typeface="Times New Roman" pitchFamily="18" charset="0"/>
          </a:endParaRPr>
        </a:p>
      </dgm:t>
    </dgm:pt>
    <dgm:pt modelId="{FDCF8DEF-0DD1-4DB0-8845-D16769EA0B00}" type="parTrans" cxnId="{CEC8AFEC-B542-4C5E-A4ED-A86551A983DB}">
      <dgm:prSet custT="1"/>
      <dgm:spPr/>
      <dgm:t>
        <a:bodyPr/>
        <a:lstStyle/>
        <a:p>
          <a:pPr algn="ctr"/>
          <a:endParaRPr lang="ru-RU" sz="1100">
            <a:latin typeface="Times New Roman" pitchFamily="18" charset="0"/>
            <a:cs typeface="Times New Roman" pitchFamily="18" charset="0"/>
          </a:endParaRPr>
        </a:p>
      </dgm:t>
    </dgm:pt>
    <dgm:pt modelId="{B1599597-E2F6-41D7-BC7E-1EE169515ADC}" type="sibTrans" cxnId="{CEC8AFEC-B542-4C5E-A4ED-A86551A983DB}">
      <dgm:prSet/>
      <dgm:spPr/>
      <dgm:t>
        <a:bodyPr/>
        <a:lstStyle/>
        <a:p>
          <a:pPr algn="ctr"/>
          <a:endParaRPr lang="ru-RU" sz="3600">
            <a:latin typeface="Times New Roman" pitchFamily="18" charset="0"/>
            <a:cs typeface="Times New Roman" pitchFamily="18" charset="0"/>
          </a:endParaRPr>
        </a:p>
      </dgm:t>
    </dgm:pt>
    <dgm:pt modelId="{963F47CD-CB21-4693-A032-8EB99CDB0E3C}">
      <dgm:prSet phldrT="[Текст]" custT="1"/>
      <dgm:spPr/>
      <dgm:t>
        <a:bodyPr/>
        <a:lstStyle/>
        <a:p>
          <a:pPr algn="ctr"/>
          <a:r>
            <a:rPr lang="en-US" sz="1400">
              <a:latin typeface="Times New Roman" pitchFamily="18" charset="0"/>
              <a:cs typeface="Times New Roman" pitchFamily="18" charset="0"/>
            </a:rPr>
            <a:t>IL-38/IL1R1</a:t>
          </a:r>
          <a:endParaRPr lang="ru-RU" sz="1400">
            <a:latin typeface="Times New Roman" pitchFamily="18" charset="0"/>
            <a:cs typeface="Times New Roman" pitchFamily="18" charset="0"/>
          </a:endParaRPr>
        </a:p>
      </dgm:t>
    </dgm:pt>
    <dgm:pt modelId="{941247F9-A354-497F-9C87-0550E207831A}" type="parTrans" cxnId="{7D97084F-7E5E-4042-A77A-4B4BF8D14AF2}">
      <dgm:prSet custT="1"/>
      <dgm:spPr/>
      <dgm:t>
        <a:bodyPr/>
        <a:lstStyle/>
        <a:p>
          <a:pPr algn="ctr"/>
          <a:endParaRPr lang="ru-RU" sz="1100">
            <a:latin typeface="Times New Roman" pitchFamily="18" charset="0"/>
            <a:cs typeface="Times New Roman" pitchFamily="18" charset="0"/>
          </a:endParaRPr>
        </a:p>
      </dgm:t>
    </dgm:pt>
    <dgm:pt modelId="{0F32CEE1-E5CF-4444-9754-5172FBC94AE0}" type="sibTrans" cxnId="{7D97084F-7E5E-4042-A77A-4B4BF8D14AF2}">
      <dgm:prSet/>
      <dgm:spPr/>
      <dgm:t>
        <a:bodyPr/>
        <a:lstStyle/>
        <a:p>
          <a:pPr algn="ctr"/>
          <a:endParaRPr lang="ru-RU" sz="3600">
            <a:latin typeface="Times New Roman" pitchFamily="18" charset="0"/>
            <a:cs typeface="Times New Roman" pitchFamily="18" charset="0"/>
          </a:endParaRPr>
        </a:p>
      </dgm:t>
    </dgm:pt>
    <dgm:pt modelId="{400BF06D-00D3-4878-B3AE-3604A775C6EA}">
      <dgm:prSet phldrT="[Текст]" custT="1"/>
      <dgm:spPr>
        <a:gradFill rotWithShape="0">
          <a:gsLst>
            <a:gs pos="0">
              <a:schemeClr val="accent6">
                <a:lumMod val="60000"/>
                <a:lumOff val="40000"/>
              </a:schemeClr>
            </a:gs>
            <a:gs pos="49000">
              <a:schemeClr val="accent4">
                <a:shade val="60000"/>
                <a:hueOff val="0"/>
                <a:satOff val="0"/>
                <a:lumOff val="0"/>
                <a:alphaOff val="0"/>
                <a:tint val="37000"/>
                <a:satMod val="300000"/>
              </a:schemeClr>
            </a:gs>
            <a:gs pos="100000">
              <a:schemeClr val="accent4">
                <a:lumMod val="75000"/>
              </a:schemeClr>
            </a:gs>
          </a:gsLst>
        </a:gradFill>
      </dgm:spPr>
      <dgm:t>
        <a:bodyPr/>
        <a:lstStyle/>
        <a:p>
          <a:pPr algn="ctr"/>
          <a:r>
            <a:rPr lang="ru-RU" sz="1200">
              <a:latin typeface="Times New Roman" pitchFamily="18" charset="0"/>
              <a:cs typeface="Times New Roman" pitchFamily="18" charset="0"/>
            </a:rPr>
            <a:t>Сигнальные пути </a:t>
          </a:r>
          <a:r>
            <a:rPr lang="en-US" sz="1200">
              <a:latin typeface="Times New Roman" pitchFamily="18" charset="0"/>
              <a:cs typeface="Times New Roman" pitchFamily="18" charset="0"/>
            </a:rPr>
            <a:t>IL</a:t>
          </a:r>
          <a:r>
            <a:rPr lang="ru-RU" sz="1200">
              <a:latin typeface="Times New Roman" pitchFamily="18" charset="0"/>
              <a:cs typeface="Times New Roman" pitchFamily="18" charset="0"/>
            </a:rPr>
            <a:t>38</a:t>
          </a:r>
        </a:p>
      </dgm:t>
    </dgm:pt>
    <dgm:pt modelId="{4C546EA6-CBCA-481A-91F2-639B226038C7}" type="sibTrans" cxnId="{B78ED01A-D0C2-4566-AE03-F6C706FDE991}">
      <dgm:prSet/>
      <dgm:spPr/>
      <dgm:t>
        <a:bodyPr/>
        <a:lstStyle/>
        <a:p>
          <a:pPr algn="ctr"/>
          <a:endParaRPr lang="ru-RU" sz="3600">
            <a:latin typeface="Times New Roman" pitchFamily="18" charset="0"/>
            <a:cs typeface="Times New Roman" pitchFamily="18" charset="0"/>
          </a:endParaRPr>
        </a:p>
      </dgm:t>
    </dgm:pt>
    <dgm:pt modelId="{24101211-C788-4D1B-8617-195FF476FD57}" type="parTrans" cxnId="{B78ED01A-D0C2-4566-AE03-F6C706FDE991}">
      <dgm:prSet/>
      <dgm:spPr/>
      <dgm:t>
        <a:bodyPr/>
        <a:lstStyle/>
        <a:p>
          <a:pPr algn="ctr"/>
          <a:endParaRPr lang="ru-RU" sz="3600">
            <a:latin typeface="Times New Roman" pitchFamily="18" charset="0"/>
            <a:cs typeface="Times New Roman" pitchFamily="18" charset="0"/>
          </a:endParaRPr>
        </a:p>
      </dgm:t>
    </dgm:pt>
    <dgm:pt modelId="{948A4DB4-BCAA-424C-AE76-EBAA1E2D814A}" type="pres">
      <dgm:prSet presAssocID="{56F6799D-4010-483D-89BC-EC0618FC4E03}" presName="cycle" presStyleCnt="0">
        <dgm:presLayoutVars>
          <dgm:chMax val="1"/>
          <dgm:dir/>
          <dgm:animLvl val="ctr"/>
          <dgm:resizeHandles val="exact"/>
        </dgm:presLayoutVars>
      </dgm:prSet>
      <dgm:spPr/>
      <dgm:t>
        <a:bodyPr/>
        <a:lstStyle/>
        <a:p>
          <a:endParaRPr lang="ru-RU"/>
        </a:p>
      </dgm:t>
    </dgm:pt>
    <dgm:pt modelId="{6DD56ED4-1A8A-4FAF-9CA8-CBCD5FDE72A6}" type="pres">
      <dgm:prSet presAssocID="{400BF06D-00D3-4878-B3AE-3604A775C6EA}" presName="centerShape" presStyleLbl="node0" presStyleIdx="0" presStyleCnt="1" custScaleX="129345" custScaleY="107615"/>
      <dgm:spPr/>
      <dgm:t>
        <a:bodyPr/>
        <a:lstStyle/>
        <a:p>
          <a:endParaRPr lang="ru-RU"/>
        </a:p>
      </dgm:t>
    </dgm:pt>
    <dgm:pt modelId="{02DE1811-86C5-44DB-BFCD-DEE83684BCDB}" type="pres">
      <dgm:prSet presAssocID="{0F6A60B7-CB8F-4949-895E-07C6BC49C8ED}" presName="Name9" presStyleLbl="parChTrans1D2" presStyleIdx="0" presStyleCnt="3"/>
      <dgm:spPr/>
      <dgm:t>
        <a:bodyPr/>
        <a:lstStyle/>
        <a:p>
          <a:endParaRPr lang="ru-RU"/>
        </a:p>
      </dgm:t>
    </dgm:pt>
    <dgm:pt modelId="{D77C62C3-CAE2-4910-8534-BD0709C65F04}" type="pres">
      <dgm:prSet presAssocID="{0F6A60B7-CB8F-4949-895E-07C6BC49C8ED}" presName="connTx" presStyleLbl="parChTrans1D2" presStyleIdx="0" presStyleCnt="3"/>
      <dgm:spPr/>
      <dgm:t>
        <a:bodyPr/>
        <a:lstStyle/>
        <a:p>
          <a:endParaRPr lang="ru-RU"/>
        </a:p>
      </dgm:t>
    </dgm:pt>
    <dgm:pt modelId="{56689686-1A12-4C1D-9128-746EE6126F52}" type="pres">
      <dgm:prSet presAssocID="{DAA0484E-F974-4364-A83D-055D517E2AA2}" presName="node" presStyleLbl="node1" presStyleIdx="0" presStyleCnt="3">
        <dgm:presLayoutVars>
          <dgm:bulletEnabled val="1"/>
        </dgm:presLayoutVars>
      </dgm:prSet>
      <dgm:spPr/>
      <dgm:t>
        <a:bodyPr/>
        <a:lstStyle/>
        <a:p>
          <a:endParaRPr lang="ru-RU"/>
        </a:p>
      </dgm:t>
    </dgm:pt>
    <dgm:pt modelId="{C2CDBEDB-AE9C-4461-89E4-442F90D431E0}" type="pres">
      <dgm:prSet presAssocID="{FDCF8DEF-0DD1-4DB0-8845-D16769EA0B00}" presName="Name9" presStyleLbl="parChTrans1D2" presStyleIdx="1" presStyleCnt="3"/>
      <dgm:spPr/>
      <dgm:t>
        <a:bodyPr/>
        <a:lstStyle/>
        <a:p>
          <a:endParaRPr lang="ru-RU"/>
        </a:p>
      </dgm:t>
    </dgm:pt>
    <dgm:pt modelId="{B0D5D075-A01C-4552-BEB0-717BFA5E8316}" type="pres">
      <dgm:prSet presAssocID="{FDCF8DEF-0DD1-4DB0-8845-D16769EA0B00}" presName="connTx" presStyleLbl="parChTrans1D2" presStyleIdx="1" presStyleCnt="3"/>
      <dgm:spPr/>
      <dgm:t>
        <a:bodyPr/>
        <a:lstStyle/>
        <a:p>
          <a:endParaRPr lang="ru-RU"/>
        </a:p>
      </dgm:t>
    </dgm:pt>
    <dgm:pt modelId="{CDA81056-007C-4CB8-A915-A1EB7BD6ECCB}" type="pres">
      <dgm:prSet presAssocID="{282D4AA4-AD98-435F-BEDF-08216299F04E}" presName="node" presStyleLbl="node1" presStyleIdx="1" presStyleCnt="3">
        <dgm:presLayoutVars>
          <dgm:bulletEnabled val="1"/>
        </dgm:presLayoutVars>
      </dgm:prSet>
      <dgm:spPr/>
      <dgm:t>
        <a:bodyPr/>
        <a:lstStyle/>
        <a:p>
          <a:endParaRPr lang="ru-RU"/>
        </a:p>
      </dgm:t>
    </dgm:pt>
    <dgm:pt modelId="{A95DC6E6-C2FC-46ED-8A59-DB3EC82C00F7}" type="pres">
      <dgm:prSet presAssocID="{941247F9-A354-497F-9C87-0550E207831A}" presName="Name9" presStyleLbl="parChTrans1D2" presStyleIdx="2" presStyleCnt="3"/>
      <dgm:spPr/>
      <dgm:t>
        <a:bodyPr/>
        <a:lstStyle/>
        <a:p>
          <a:endParaRPr lang="ru-RU"/>
        </a:p>
      </dgm:t>
    </dgm:pt>
    <dgm:pt modelId="{A39D1EF3-6B50-458C-A989-1DD54500D05D}" type="pres">
      <dgm:prSet presAssocID="{941247F9-A354-497F-9C87-0550E207831A}" presName="connTx" presStyleLbl="parChTrans1D2" presStyleIdx="2" presStyleCnt="3"/>
      <dgm:spPr/>
      <dgm:t>
        <a:bodyPr/>
        <a:lstStyle/>
        <a:p>
          <a:endParaRPr lang="ru-RU"/>
        </a:p>
      </dgm:t>
    </dgm:pt>
    <dgm:pt modelId="{017385CD-0E97-4034-A5A2-3852DF67606D}" type="pres">
      <dgm:prSet presAssocID="{963F47CD-CB21-4693-A032-8EB99CDB0E3C}" presName="node" presStyleLbl="node1" presStyleIdx="2" presStyleCnt="3">
        <dgm:presLayoutVars>
          <dgm:bulletEnabled val="1"/>
        </dgm:presLayoutVars>
      </dgm:prSet>
      <dgm:spPr/>
      <dgm:t>
        <a:bodyPr/>
        <a:lstStyle/>
        <a:p>
          <a:endParaRPr lang="ru-RU"/>
        </a:p>
      </dgm:t>
    </dgm:pt>
  </dgm:ptLst>
  <dgm:cxnLst>
    <dgm:cxn modelId="{3BC3FD1A-254C-49F3-AEC6-2EE540285B25}" type="presOf" srcId="{0F6A60B7-CB8F-4949-895E-07C6BC49C8ED}" destId="{02DE1811-86C5-44DB-BFCD-DEE83684BCDB}" srcOrd="0" destOrd="0" presId="urn:microsoft.com/office/officeart/2005/8/layout/radial1"/>
    <dgm:cxn modelId="{B78ED01A-D0C2-4566-AE03-F6C706FDE991}" srcId="{56F6799D-4010-483D-89BC-EC0618FC4E03}" destId="{400BF06D-00D3-4878-B3AE-3604A775C6EA}" srcOrd="0" destOrd="0" parTransId="{24101211-C788-4D1B-8617-195FF476FD57}" sibTransId="{4C546EA6-CBCA-481A-91F2-639B226038C7}"/>
    <dgm:cxn modelId="{FAAFADE9-2BCC-4FE9-B7BA-4C5FA781B48A}" type="presOf" srcId="{FDCF8DEF-0DD1-4DB0-8845-D16769EA0B00}" destId="{C2CDBEDB-AE9C-4461-89E4-442F90D431E0}" srcOrd="0" destOrd="0" presId="urn:microsoft.com/office/officeart/2005/8/layout/radial1"/>
    <dgm:cxn modelId="{2924C4EF-10FB-4512-B1E8-4CA4ABAA910D}" type="presOf" srcId="{941247F9-A354-497F-9C87-0550E207831A}" destId="{A39D1EF3-6B50-458C-A989-1DD54500D05D}" srcOrd="1" destOrd="0" presId="urn:microsoft.com/office/officeart/2005/8/layout/radial1"/>
    <dgm:cxn modelId="{7D97084F-7E5E-4042-A77A-4B4BF8D14AF2}" srcId="{400BF06D-00D3-4878-B3AE-3604A775C6EA}" destId="{963F47CD-CB21-4693-A032-8EB99CDB0E3C}" srcOrd="2" destOrd="0" parTransId="{941247F9-A354-497F-9C87-0550E207831A}" sibTransId="{0F32CEE1-E5CF-4444-9754-5172FBC94AE0}"/>
    <dgm:cxn modelId="{35BAD726-2AD1-4EC2-B43E-78942748B143}" type="presOf" srcId="{963F47CD-CB21-4693-A032-8EB99CDB0E3C}" destId="{017385CD-0E97-4034-A5A2-3852DF67606D}" srcOrd="0" destOrd="0" presId="urn:microsoft.com/office/officeart/2005/8/layout/radial1"/>
    <dgm:cxn modelId="{CEC8AFEC-B542-4C5E-A4ED-A86551A983DB}" srcId="{400BF06D-00D3-4878-B3AE-3604A775C6EA}" destId="{282D4AA4-AD98-435F-BEDF-08216299F04E}" srcOrd="1" destOrd="0" parTransId="{FDCF8DEF-0DD1-4DB0-8845-D16769EA0B00}" sibTransId="{B1599597-E2F6-41D7-BC7E-1EE169515ADC}"/>
    <dgm:cxn modelId="{94547D09-1313-4672-BA2C-46F6296C68AE}" type="presOf" srcId="{941247F9-A354-497F-9C87-0550E207831A}" destId="{A95DC6E6-C2FC-46ED-8A59-DB3EC82C00F7}" srcOrd="0" destOrd="0" presId="urn:microsoft.com/office/officeart/2005/8/layout/radial1"/>
    <dgm:cxn modelId="{AB17F3A0-70AE-41B4-966C-17964DFEB3A8}" type="presOf" srcId="{0F6A60B7-CB8F-4949-895E-07C6BC49C8ED}" destId="{D77C62C3-CAE2-4910-8534-BD0709C65F04}" srcOrd="1" destOrd="0" presId="urn:microsoft.com/office/officeart/2005/8/layout/radial1"/>
    <dgm:cxn modelId="{985DF6D0-2AC4-4078-B048-B63FDD3870C0}" type="presOf" srcId="{56F6799D-4010-483D-89BC-EC0618FC4E03}" destId="{948A4DB4-BCAA-424C-AE76-EBAA1E2D814A}" srcOrd="0" destOrd="0" presId="urn:microsoft.com/office/officeart/2005/8/layout/radial1"/>
    <dgm:cxn modelId="{1EDA9AE2-67C8-4C6B-BBF9-891CA991C591}" type="presOf" srcId="{DAA0484E-F974-4364-A83D-055D517E2AA2}" destId="{56689686-1A12-4C1D-9128-746EE6126F52}" srcOrd="0" destOrd="0" presId="urn:microsoft.com/office/officeart/2005/8/layout/radial1"/>
    <dgm:cxn modelId="{7DF69F19-4947-4116-ACCF-E12D71450E67}" type="presOf" srcId="{400BF06D-00D3-4878-B3AE-3604A775C6EA}" destId="{6DD56ED4-1A8A-4FAF-9CA8-CBCD5FDE72A6}" srcOrd="0" destOrd="0" presId="urn:microsoft.com/office/officeart/2005/8/layout/radial1"/>
    <dgm:cxn modelId="{C8207B77-C535-478C-A123-C54FE33DD3E3}" type="presOf" srcId="{282D4AA4-AD98-435F-BEDF-08216299F04E}" destId="{CDA81056-007C-4CB8-A915-A1EB7BD6ECCB}" srcOrd="0" destOrd="0" presId="urn:microsoft.com/office/officeart/2005/8/layout/radial1"/>
    <dgm:cxn modelId="{97C2BE77-378D-4A8A-8E30-A0CD2E8B296E}" type="presOf" srcId="{FDCF8DEF-0DD1-4DB0-8845-D16769EA0B00}" destId="{B0D5D075-A01C-4552-BEB0-717BFA5E8316}" srcOrd="1" destOrd="0" presId="urn:microsoft.com/office/officeart/2005/8/layout/radial1"/>
    <dgm:cxn modelId="{4C8506AD-2C9A-478A-BE0C-7843A8723C85}" srcId="{400BF06D-00D3-4878-B3AE-3604A775C6EA}" destId="{DAA0484E-F974-4364-A83D-055D517E2AA2}" srcOrd="0" destOrd="0" parTransId="{0F6A60B7-CB8F-4949-895E-07C6BC49C8ED}" sibTransId="{B12EFADD-BC5B-440D-869E-337DE9FE52F9}"/>
    <dgm:cxn modelId="{E0049F4A-CD71-47F7-A512-3A75B7483F69}" type="presParOf" srcId="{948A4DB4-BCAA-424C-AE76-EBAA1E2D814A}" destId="{6DD56ED4-1A8A-4FAF-9CA8-CBCD5FDE72A6}" srcOrd="0" destOrd="0" presId="urn:microsoft.com/office/officeart/2005/8/layout/radial1"/>
    <dgm:cxn modelId="{273F9071-626E-41E1-8A53-B982C1980142}" type="presParOf" srcId="{948A4DB4-BCAA-424C-AE76-EBAA1E2D814A}" destId="{02DE1811-86C5-44DB-BFCD-DEE83684BCDB}" srcOrd="1" destOrd="0" presId="urn:microsoft.com/office/officeart/2005/8/layout/radial1"/>
    <dgm:cxn modelId="{A84BFD86-665C-4469-A105-FC2C3C08EEBA}" type="presParOf" srcId="{02DE1811-86C5-44DB-BFCD-DEE83684BCDB}" destId="{D77C62C3-CAE2-4910-8534-BD0709C65F04}" srcOrd="0" destOrd="0" presId="urn:microsoft.com/office/officeart/2005/8/layout/radial1"/>
    <dgm:cxn modelId="{1154CEA2-6E42-45F6-9705-FA26D9D7A8E0}" type="presParOf" srcId="{948A4DB4-BCAA-424C-AE76-EBAA1E2D814A}" destId="{56689686-1A12-4C1D-9128-746EE6126F52}" srcOrd="2" destOrd="0" presId="urn:microsoft.com/office/officeart/2005/8/layout/radial1"/>
    <dgm:cxn modelId="{050AA26B-D42E-421E-BD91-1772C286E015}" type="presParOf" srcId="{948A4DB4-BCAA-424C-AE76-EBAA1E2D814A}" destId="{C2CDBEDB-AE9C-4461-89E4-442F90D431E0}" srcOrd="3" destOrd="0" presId="urn:microsoft.com/office/officeart/2005/8/layout/radial1"/>
    <dgm:cxn modelId="{1133EA01-81EC-4F42-84E5-DD0BF2B0C01F}" type="presParOf" srcId="{C2CDBEDB-AE9C-4461-89E4-442F90D431E0}" destId="{B0D5D075-A01C-4552-BEB0-717BFA5E8316}" srcOrd="0" destOrd="0" presId="urn:microsoft.com/office/officeart/2005/8/layout/radial1"/>
    <dgm:cxn modelId="{FA42A8B3-09BF-4458-9809-ABCEAFB51115}" type="presParOf" srcId="{948A4DB4-BCAA-424C-AE76-EBAA1E2D814A}" destId="{CDA81056-007C-4CB8-A915-A1EB7BD6ECCB}" srcOrd="4" destOrd="0" presId="urn:microsoft.com/office/officeart/2005/8/layout/radial1"/>
    <dgm:cxn modelId="{58F605E5-326C-4A55-B373-A4065452941E}" type="presParOf" srcId="{948A4DB4-BCAA-424C-AE76-EBAA1E2D814A}" destId="{A95DC6E6-C2FC-46ED-8A59-DB3EC82C00F7}" srcOrd="5" destOrd="0" presId="urn:microsoft.com/office/officeart/2005/8/layout/radial1"/>
    <dgm:cxn modelId="{617CD694-3F3F-4C13-92A7-7A18F5EFCF73}" type="presParOf" srcId="{A95DC6E6-C2FC-46ED-8A59-DB3EC82C00F7}" destId="{A39D1EF3-6B50-458C-A989-1DD54500D05D}" srcOrd="0" destOrd="0" presId="urn:microsoft.com/office/officeart/2005/8/layout/radial1"/>
    <dgm:cxn modelId="{C5046520-19AC-4FBE-BC82-637B0033A651}" type="presParOf" srcId="{948A4DB4-BCAA-424C-AE76-EBAA1E2D814A}" destId="{017385CD-0E97-4034-A5A2-3852DF67606D}" srcOrd="6"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12535F-8C41-4FB9-9BD4-FD61A801C9E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CB246EF-D9A3-467D-992E-9F3EDD8024C6}">
      <dgm:prSet phldrT="[Текст]"/>
      <dgm:spPr>
        <a:solidFill>
          <a:schemeClr val="accent4">
            <a:lumMod val="40000"/>
            <a:lumOff val="6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a:solidFill>
                <a:sysClr val="windowText" lastClr="000000"/>
              </a:solidFill>
              <a:latin typeface="Times New Roman" pitchFamily="18" charset="0"/>
              <a:cs typeface="Times New Roman" pitchFamily="18" charset="0"/>
            </a:rPr>
            <a:t>Легкая</a:t>
          </a:r>
        </a:p>
      </dgm:t>
    </dgm:pt>
    <dgm:pt modelId="{011161DD-47D7-4FF6-8326-18A9BC11D77B}" type="parTrans" cxnId="{B674A242-8864-41D0-8B70-FEEAFA4D6BB6}">
      <dgm:prSet/>
      <dgm:spPr/>
      <dgm:t>
        <a:bodyPr/>
        <a:lstStyle/>
        <a:p>
          <a:endParaRPr lang="ru-RU"/>
        </a:p>
      </dgm:t>
    </dgm:pt>
    <dgm:pt modelId="{209AADCC-4C32-48E1-97DA-D8232C272C68}" type="sibTrans" cxnId="{B674A242-8864-41D0-8B70-FEEAFA4D6BB6}">
      <dgm:prSet/>
      <dgm:spPr/>
      <dgm:t>
        <a:bodyPr/>
        <a:lstStyle/>
        <a:p>
          <a:endParaRPr lang="ru-RU"/>
        </a:p>
      </dgm:t>
    </dgm:pt>
    <dgm:pt modelId="{83C81AE6-02D2-4E0E-BF44-44D5354CC2CC}">
      <dgm:prSet phldrT="[Текст]"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Ретракция века &lt;2мм</a:t>
          </a:r>
        </a:p>
      </dgm:t>
    </dgm:pt>
    <dgm:pt modelId="{E4F4FA42-2BB5-4E19-A9B9-CA4F8470FEF2}" type="parTrans" cxnId="{255A70FA-2BCB-4E04-8E8F-D79116D933FA}">
      <dgm:prSet/>
      <dgm:spPr/>
      <dgm:t>
        <a:bodyPr/>
        <a:lstStyle/>
        <a:p>
          <a:endParaRPr lang="ru-RU"/>
        </a:p>
      </dgm:t>
    </dgm:pt>
    <dgm:pt modelId="{E8BD833C-D013-4175-8AFA-A473F182A7F0}" type="sibTrans" cxnId="{255A70FA-2BCB-4E04-8E8F-D79116D933FA}">
      <dgm:prSet/>
      <dgm:spPr/>
      <dgm:t>
        <a:bodyPr/>
        <a:lstStyle/>
        <a:p>
          <a:endParaRPr lang="ru-RU"/>
        </a:p>
      </dgm:t>
    </dgm:pt>
    <dgm:pt modelId="{DAC352B0-B4FB-497C-A41B-5D7AE5B57DB8}">
      <dgm:prSet phldrT="[Текст]"/>
      <dgm:spPr>
        <a:solidFill>
          <a:schemeClr val="accent4">
            <a:lumMod val="40000"/>
            <a:lumOff val="6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a:solidFill>
                <a:sysClr val="windowText" lastClr="000000"/>
              </a:solidFill>
              <a:latin typeface="Times New Roman" pitchFamily="18" charset="0"/>
              <a:cs typeface="Times New Roman" pitchFamily="18" charset="0"/>
            </a:rPr>
            <a:t>Умеренной тяжести</a:t>
          </a:r>
        </a:p>
      </dgm:t>
    </dgm:pt>
    <dgm:pt modelId="{5286998F-2E02-4C9A-A651-DD532E6D39C6}" type="parTrans" cxnId="{A5BF6769-BC92-49B6-82DC-123C75089FD1}">
      <dgm:prSet/>
      <dgm:spPr/>
      <dgm:t>
        <a:bodyPr/>
        <a:lstStyle/>
        <a:p>
          <a:endParaRPr lang="ru-RU"/>
        </a:p>
      </dgm:t>
    </dgm:pt>
    <dgm:pt modelId="{59EB5F09-B8D3-4DFA-B32B-266D093AD849}" type="sibTrans" cxnId="{A5BF6769-BC92-49B6-82DC-123C75089FD1}">
      <dgm:prSet/>
      <dgm:spPr/>
      <dgm:t>
        <a:bodyPr/>
        <a:lstStyle/>
        <a:p>
          <a:endParaRPr lang="ru-RU"/>
        </a:p>
      </dgm:t>
    </dgm:pt>
    <dgm:pt modelId="{6551B0E8-6EA3-4A0C-91C6-57633CFEAF6D}">
      <dgm:prSet phldrT="[Текст]"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Ретракция века ≥2мм</a:t>
          </a:r>
        </a:p>
      </dgm:t>
    </dgm:pt>
    <dgm:pt modelId="{145D2D33-BAF8-4332-84B8-01410F86EB21}" type="parTrans" cxnId="{1A402134-5D40-44B2-9876-6817ACE335BC}">
      <dgm:prSet/>
      <dgm:spPr/>
      <dgm:t>
        <a:bodyPr/>
        <a:lstStyle/>
        <a:p>
          <a:endParaRPr lang="ru-RU"/>
        </a:p>
      </dgm:t>
    </dgm:pt>
    <dgm:pt modelId="{27941033-026F-462B-A192-605634344851}" type="sibTrans" cxnId="{1A402134-5D40-44B2-9876-6817ACE335BC}">
      <dgm:prSet/>
      <dgm:spPr/>
      <dgm:t>
        <a:bodyPr/>
        <a:lstStyle/>
        <a:p>
          <a:endParaRPr lang="ru-RU"/>
        </a:p>
      </dgm:t>
    </dgm:pt>
    <dgm:pt modelId="{E0C01FFE-FE44-4342-85C3-83F9C2C3A02F}">
      <dgm:prSet/>
      <dgm:spPr>
        <a:solidFill>
          <a:schemeClr val="accent4">
            <a:lumMod val="40000"/>
            <a:lumOff val="6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a:solidFill>
                <a:sysClr val="windowText" lastClr="000000"/>
              </a:solidFill>
              <a:latin typeface="Times New Roman" pitchFamily="18" charset="0"/>
              <a:cs typeface="Times New Roman" pitchFamily="18" charset="0"/>
            </a:rPr>
            <a:t>Угрожающая потерей зрения</a:t>
          </a:r>
        </a:p>
      </dgm:t>
    </dgm:pt>
    <dgm:pt modelId="{3765F04F-507A-42E0-9508-3E5155162310}" type="parTrans" cxnId="{79D4A645-1743-459E-A992-6D1FA5814126}">
      <dgm:prSet/>
      <dgm:spPr/>
      <dgm:t>
        <a:bodyPr/>
        <a:lstStyle/>
        <a:p>
          <a:endParaRPr lang="ru-RU"/>
        </a:p>
      </dgm:t>
    </dgm:pt>
    <dgm:pt modelId="{23F5649E-D802-4F0F-913C-2AB8CAB5CDB4}" type="sibTrans" cxnId="{79D4A645-1743-459E-A992-6D1FA5814126}">
      <dgm:prSet/>
      <dgm:spPr/>
      <dgm:t>
        <a:bodyPr/>
        <a:lstStyle/>
        <a:p>
          <a:endParaRPr lang="ru-RU"/>
        </a:p>
      </dgm:t>
    </dgm:pt>
    <dgm:pt modelId="{5EA0FD88-0142-4BBD-8891-D92797D8237E}">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Незначительные изменения мягких тканей глазницы</a:t>
          </a:r>
        </a:p>
      </dgm:t>
    </dgm:pt>
    <dgm:pt modelId="{E15FA5C8-A335-4D3F-92CE-02B2EC6ACFA5}" type="parTrans" cxnId="{BDC7B9DC-D0BE-430D-9A00-A6F3948A2A09}">
      <dgm:prSet/>
      <dgm:spPr/>
      <dgm:t>
        <a:bodyPr/>
        <a:lstStyle/>
        <a:p>
          <a:endParaRPr lang="ru-RU"/>
        </a:p>
      </dgm:t>
    </dgm:pt>
    <dgm:pt modelId="{76DF48DB-8159-441E-BC9E-A4189A969DE5}" type="sibTrans" cxnId="{BDC7B9DC-D0BE-430D-9A00-A6F3948A2A09}">
      <dgm:prSet/>
      <dgm:spPr/>
      <dgm:t>
        <a:bodyPr/>
        <a:lstStyle/>
        <a:p>
          <a:endParaRPr lang="ru-RU"/>
        </a:p>
      </dgm:t>
    </dgm:pt>
    <dgm:pt modelId="{C52BE995-4322-4C43-85F5-C4AB3D9ED038}">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Экзофтальм выше нормы для пола и расы &lt;3мм</a:t>
          </a:r>
        </a:p>
      </dgm:t>
    </dgm:pt>
    <dgm:pt modelId="{CD32554A-B071-4A44-AFD6-693CC837E15E}" type="parTrans" cxnId="{1F5EB541-99BC-4E31-B01C-486F9AD81B45}">
      <dgm:prSet/>
      <dgm:spPr/>
      <dgm:t>
        <a:bodyPr/>
        <a:lstStyle/>
        <a:p>
          <a:endParaRPr lang="ru-RU"/>
        </a:p>
      </dgm:t>
    </dgm:pt>
    <dgm:pt modelId="{D33260DF-0E40-40C6-82AA-1475269D5A25}" type="sibTrans" cxnId="{1F5EB541-99BC-4E31-B01C-486F9AD81B45}">
      <dgm:prSet/>
      <dgm:spPr/>
      <dgm:t>
        <a:bodyPr/>
        <a:lstStyle/>
        <a:p>
          <a:endParaRPr lang="ru-RU"/>
        </a:p>
      </dgm:t>
    </dgm:pt>
    <dgm:pt modelId="{A4FBD970-9437-4516-AB47-C7BD6EE11871}">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Транзиторная диплопия или отсутствие диплопии</a:t>
          </a:r>
        </a:p>
      </dgm:t>
    </dgm:pt>
    <dgm:pt modelId="{31517C90-0A20-40CF-B87B-3D13126EF321}" type="parTrans" cxnId="{9C91E7E3-9F57-4BBB-AF03-7A917E2FE39A}">
      <dgm:prSet/>
      <dgm:spPr/>
      <dgm:t>
        <a:bodyPr/>
        <a:lstStyle/>
        <a:p>
          <a:endParaRPr lang="ru-RU"/>
        </a:p>
      </dgm:t>
    </dgm:pt>
    <dgm:pt modelId="{ACEF14DA-F47B-4ACE-8FA4-9510CFE60C4F}" type="sibTrans" cxnId="{9C91E7E3-9F57-4BBB-AF03-7A917E2FE39A}">
      <dgm:prSet/>
      <dgm:spPr/>
      <dgm:t>
        <a:bodyPr/>
        <a:lstStyle/>
        <a:p>
          <a:endParaRPr lang="ru-RU"/>
        </a:p>
      </dgm:t>
    </dgm:pt>
    <dgm:pt modelId="{310FCBA3-52AC-47B0-B4A9-567C448D3A1F}">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Поражение роговицы с положительным эффектом при лечении глазными мазями</a:t>
          </a:r>
        </a:p>
      </dgm:t>
    </dgm:pt>
    <dgm:pt modelId="{80CFAE98-C35F-48E7-8B2D-E211D6868478}" type="parTrans" cxnId="{8E21C2A3-A172-45C4-9ECC-9220DC8A401E}">
      <dgm:prSet/>
      <dgm:spPr/>
      <dgm:t>
        <a:bodyPr/>
        <a:lstStyle/>
        <a:p>
          <a:endParaRPr lang="ru-RU"/>
        </a:p>
      </dgm:t>
    </dgm:pt>
    <dgm:pt modelId="{23998D62-2D76-490E-ADF8-00538532E24F}" type="sibTrans" cxnId="{8E21C2A3-A172-45C4-9ECC-9220DC8A401E}">
      <dgm:prSet/>
      <dgm:spPr/>
      <dgm:t>
        <a:bodyPr/>
        <a:lstStyle/>
        <a:p>
          <a:endParaRPr lang="ru-RU"/>
        </a:p>
      </dgm:t>
    </dgm:pt>
    <dgm:pt modelId="{3AB7E2AE-71BA-44CB-B29D-A0645D546A97}">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Умеренно выраженные изменения мягких тканей орбиты</a:t>
          </a:r>
        </a:p>
      </dgm:t>
    </dgm:pt>
    <dgm:pt modelId="{AC4086B7-7B36-46F0-9093-EF5D347435D8}" type="parTrans" cxnId="{D59F4F21-0EC6-4BE3-82AB-5539944140C2}">
      <dgm:prSet/>
      <dgm:spPr/>
      <dgm:t>
        <a:bodyPr/>
        <a:lstStyle/>
        <a:p>
          <a:endParaRPr lang="ru-RU"/>
        </a:p>
      </dgm:t>
    </dgm:pt>
    <dgm:pt modelId="{C980AAB4-CDC4-4430-B3E0-8833B7F0005F}" type="sibTrans" cxnId="{D59F4F21-0EC6-4BE3-82AB-5539944140C2}">
      <dgm:prSet/>
      <dgm:spPr/>
      <dgm:t>
        <a:bodyPr/>
        <a:lstStyle/>
        <a:p>
          <a:endParaRPr lang="ru-RU"/>
        </a:p>
      </dgm:t>
    </dgm:pt>
    <dgm:pt modelId="{CE99432E-A815-4F2A-871C-D30986DD852B}">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Экзофтальм ≥3мм выше нормы для пола и расы</a:t>
          </a:r>
        </a:p>
      </dgm:t>
    </dgm:pt>
    <dgm:pt modelId="{CD4AE990-2E8C-47A9-83CC-810089021DAD}" type="parTrans" cxnId="{8C4D81BC-8A6F-40C7-8F9E-BB522995069A}">
      <dgm:prSet/>
      <dgm:spPr/>
      <dgm:t>
        <a:bodyPr/>
        <a:lstStyle/>
        <a:p>
          <a:endParaRPr lang="ru-RU"/>
        </a:p>
      </dgm:t>
    </dgm:pt>
    <dgm:pt modelId="{E613934F-08D1-49E5-A8A4-42018EFCCD49}" type="sibTrans" cxnId="{8C4D81BC-8A6F-40C7-8F9E-BB522995069A}">
      <dgm:prSet/>
      <dgm:spPr/>
      <dgm:t>
        <a:bodyPr/>
        <a:lstStyle/>
        <a:p>
          <a:endParaRPr lang="ru-RU"/>
        </a:p>
      </dgm:t>
    </dgm:pt>
    <dgm:pt modelId="{CEB4C2B2-5382-461E-B725-A0D7E35D7F10}">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Непостоянная или постоянная диплопия</a:t>
          </a:r>
        </a:p>
      </dgm:t>
    </dgm:pt>
    <dgm:pt modelId="{5868C857-F7CE-45BA-A8C0-28EE564F2219}" type="parTrans" cxnId="{6CA5CC60-1BF1-4F57-870D-65BDD03B4AE9}">
      <dgm:prSet/>
      <dgm:spPr/>
      <dgm:t>
        <a:bodyPr/>
        <a:lstStyle/>
        <a:p>
          <a:endParaRPr lang="ru-RU"/>
        </a:p>
      </dgm:t>
    </dgm:pt>
    <dgm:pt modelId="{F2C285D8-AA23-41B7-AEEC-F507E468D45E}" type="sibTrans" cxnId="{6CA5CC60-1BF1-4F57-870D-65BDD03B4AE9}">
      <dgm:prSet/>
      <dgm:spPr/>
      <dgm:t>
        <a:bodyPr/>
        <a:lstStyle/>
        <a:p>
          <a:endParaRPr lang="ru-RU"/>
        </a:p>
      </dgm:t>
    </dgm:pt>
    <dgm:pt modelId="{88EA1E77-797D-4C1C-A8F5-96DD34F1D6E0}">
      <dgm:prSet custT="1"/>
      <dgm:spPr>
        <a:solidFill>
          <a:schemeClr val="accent4">
            <a:lumMod val="20000"/>
            <a:lumOff val="80000"/>
            <a:alpha val="9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ru-RU" sz="1200">
              <a:latin typeface="Times New Roman" pitchFamily="18" charset="0"/>
              <a:cs typeface="Times New Roman" pitchFamily="18" charset="0"/>
            </a:rPr>
            <a:t>Оптическая нейропатия и/или повреждение роговицы</a:t>
          </a:r>
        </a:p>
      </dgm:t>
    </dgm:pt>
    <dgm:pt modelId="{FA3FF41A-E9F8-4B06-82DB-968944451956}" type="parTrans" cxnId="{D20579A9-6014-44A4-AAD4-ACC8D50B5CD0}">
      <dgm:prSet/>
      <dgm:spPr/>
      <dgm:t>
        <a:bodyPr/>
        <a:lstStyle/>
        <a:p>
          <a:endParaRPr lang="ru-RU"/>
        </a:p>
      </dgm:t>
    </dgm:pt>
    <dgm:pt modelId="{8E1EBF68-3054-41A2-BA8E-90AA8A9091A7}" type="sibTrans" cxnId="{D20579A9-6014-44A4-AAD4-ACC8D50B5CD0}">
      <dgm:prSet/>
      <dgm:spPr/>
      <dgm:t>
        <a:bodyPr/>
        <a:lstStyle/>
        <a:p>
          <a:endParaRPr lang="ru-RU"/>
        </a:p>
      </dgm:t>
    </dgm:pt>
    <dgm:pt modelId="{D69E93BE-4794-4396-A30B-44677DA6888A}" type="pres">
      <dgm:prSet presAssocID="{1612535F-8C41-4FB9-9BD4-FD61A801C9E0}" presName="linearFlow" presStyleCnt="0">
        <dgm:presLayoutVars>
          <dgm:dir/>
          <dgm:animLvl val="lvl"/>
          <dgm:resizeHandles val="exact"/>
        </dgm:presLayoutVars>
      </dgm:prSet>
      <dgm:spPr/>
      <dgm:t>
        <a:bodyPr/>
        <a:lstStyle/>
        <a:p>
          <a:endParaRPr lang="ru-RU"/>
        </a:p>
      </dgm:t>
    </dgm:pt>
    <dgm:pt modelId="{6ACA73C6-E9E1-44FD-A8BA-71EFD8C1BFB7}" type="pres">
      <dgm:prSet presAssocID="{ECB246EF-D9A3-467D-992E-9F3EDD8024C6}" presName="composite" presStyleCnt="0"/>
      <dgm:spPr/>
    </dgm:pt>
    <dgm:pt modelId="{190D55BB-176F-4B5B-9C51-66466F5CC874}" type="pres">
      <dgm:prSet presAssocID="{ECB246EF-D9A3-467D-992E-9F3EDD8024C6}" presName="parentText" presStyleLbl="alignNode1" presStyleIdx="0" presStyleCnt="3">
        <dgm:presLayoutVars>
          <dgm:chMax val="1"/>
          <dgm:bulletEnabled val="1"/>
        </dgm:presLayoutVars>
      </dgm:prSet>
      <dgm:spPr/>
      <dgm:t>
        <a:bodyPr/>
        <a:lstStyle/>
        <a:p>
          <a:endParaRPr lang="ru-RU"/>
        </a:p>
      </dgm:t>
    </dgm:pt>
    <dgm:pt modelId="{546E71CF-DE99-4DC3-82F2-2792F5437168}" type="pres">
      <dgm:prSet presAssocID="{ECB246EF-D9A3-467D-992E-9F3EDD8024C6}" presName="descendantText" presStyleLbl="alignAcc1" presStyleIdx="0" presStyleCnt="3">
        <dgm:presLayoutVars>
          <dgm:bulletEnabled val="1"/>
        </dgm:presLayoutVars>
      </dgm:prSet>
      <dgm:spPr/>
      <dgm:t>
        <a:bodyPr/>
        <a:lstStyle/>
        <a:p>
          <a:endParaRPr lang="ru-RU"/>
        </a:p>
      </dgm:t>
    </dgm:pt>
    <dgm:pt modelId="{5CF56BE7-FD36-4721-AC61-42AC54FF9EE6}" type="pres">
      <dgm:prSet presAssocID="{209AADCC-4C32-48E1-97DA-D8232C272C68}" presName="sp" presStyleCnt="0"/>
      <dgm:spPr/>
    </dgm:pt>
    <dgm:pt modelId="{E1D6973F-1531-427B-805C-B8DBCFB7A035}" type="pres">
      <dgm:prSet presAssocID="{DAC352B0-B4FB-497C-A41B-5D7AE5B57DB8}" presName="composite" presStyleCnt="0"/>
      <dgm:spPr/>
    </dgm:pt>
    <dgm:pt modelId="{81FBF376-E3DE-420E-82F7-ADB0C1AA7B86}" type="pres">
      <dgm:prSet presAssocID="{DAC352B0-B4FB-497C-A41B-5D7AE5B57DB8}" presName="parentText" presStyleLbl="alignNode1" presStyleIdx="1" presStyleCnt="3">
        <dgm:presLayoutVars>
          <dgm:chMax val="1"/>
          <dgm:bulletEnabled val="1"/>
        </dgm:presLayoutVars>
      </dgm:prSet>
      <dgm:spPr/>
      <dgm:t>
        <a:bodyPr/>
        <a:lstStyle/>
        <a:p>
          <a:endParaRPr lang="ru-RU"/>
        </a:p>
      </dgm:t>
    </dgm:pt>
    <dgm:pt modelId="{BD3ABE53-D7C6-4DD1-8211-D905399847B0}" type="pres">
      <dgm:prSet presAssocID="{DAC352B0-B4FB-497C-A41B-5D7AE5B57DB8}" presName="descendantText" presStyleLbl="alignAcc1" presStyleIdx="1" presStyleCnt="3">
        <dgm:presLayoutVars>
          <dgm:bulletEnabled val="1"/>
        </dgm:presLayoutVars>
      </dgm:prSet>
      <dgm:spPr/>
      <dgm:t>
        <a:bodyPr/>
        <a:lstStyle/>
        <a:p>
          <a:endParaRPr lang="ru-RU"/>
        </a:p>
      </dgm:t>
    </dgm:pt>
    <dgm:pt modelId="{5F9EBF17-1E79-4266-A6F6-95C3A0AC716D}" type="pres">
      <dgm:prSet presAssocID="{59EB5F09-B8D3-4DFA-B32B-266D093AD849}" presName="sp" presStyleCnt="0"/>
      <dgm:spPr/>
    </dgm:pt>
    <dgm:pt modelId="{F48130BB-7229-463E-B84B-5AF5596C5EBB}" type="pres">
      <dgm:prSet presAssocID="{E0C01FFE-FE44-4342-85C3-83F9C2C3A02F}" presName="composite" presStyleCnt="0"/>
      <dgm:spPr/>
    </dgm:pt>
    <dgm:pt modelId="{24C7439E-F6EE-4E9B-BD60-C622C6DA9F7D}" type="pres">
      <dgm:prSet presAssocID="{E0C01FFE-FE44-4342-85C3-83F9C2C3A02F}" presName="parentText" presStyleLbl="alignNode1" presStyleIdx="2" presStyleCnt="3">
        <dgm:presLayoutVars>
          <dgm:chMax val="1"/>
          <dgm:bulletEnabled val="1"/>
        </dgm:presLayoutVars>
      </dgm:prSet>
      <dgm:spPr/>
      <dgm:t>
        <a:bodyPr/>
        <a:lstStyle/>
        <a:p>
          <a:endParaRPr lang="ru-RU"/>
        </a:p>
      </dgm:t>
    </dgm:pt>
    <dgm:pt modelId="{7D6852D7-8C9A-450E-8338-A061EDCE8269}" type="pres">
      <dgm:prSet presAssocID="{E0C01FFE-FE44-4342-85C3-83F9C2C3A02F}" presName="descendantText" presStyleLbl="alignAcc1" presStyleIdx="2" presStyleCnt="3">
        <dgm:presLayoutVars>
          <dgm:bulletEnabled val="1"/>
        </dgm:presLayoutVars>
      </dgm:prSet>
      <dgm:spPr/>
      <dgm:t>
        <a:bodyPr/>
        <a:lstStyle/>
        <a:p>
          <a:endParaRPr lang="ru-RU"/>
        </a:p>
      </dgm:t>
    </dgm:pt>
  </dgm:ptLst>
  <dgm:cxnLst>
    <dgm:cxn modelId="{9C91E7E3-9F57-4BBB-AF03-7A917E2FE39A}" srcId="{ECB246EF-D9A3-467D-992E-9F3EDD8024C6}" destId="{A4FBD970-9437-4516-AB47-C7BD6EE11871}" srcOrd="3" destOrd="0" parTransId="{31517C90-0A20-40CF-B87B-3D13126EF321}" sibTransId="{ACEF14DA-F47B-4ACE-8FA4-9510CFE60C4F}"/>
    <dgm:cxn modelId="{6CA5CC60-1BF1-4F57-870D-65BDD03B4AE9}" srcId="{DAC352B0-B4FB-497C-A41B-5D7AE5B57DB8}" destId="{CEB4C2B2-5382-461E-B725-A0D7E35D7F10}" srcOrd="3" destOrd="0" parTransId="{5868C857-F7CE-45BA-A8C0-28EE564F2219}" sibTransId="{F2C285D8-AA23-41B7-AEEC-F507E468D45E}"/>
    <dgm:cxn modelId="{1F5EB541-99BC-4E31-B01C-486F9AD81B45}" srcId="{ECB246EF-D9A3-467D-992E-9F3EDD8024C6}" destId="{C52BE995-4322-4C43-85F5-C4AB3D9ED038}" srcOrd="2" destOrd="0" parTransId="{CD32554A-B071-4A44-AFD6-693CC837E15E}" sibTransId="{D33260DF-0E40-40C6-82AA-1475269D5A25}"/>
    <dgm:cxn modelId="{635F85FB-9385-4CCB-9F7B-FA4D107E7F84}" type="presOf" srcId="{C52BE995-4322-4C43-85F5-C4AB3D9ED038}" destId="{546E71CF-DE99-4DC3-82F2-2792F5437168}" srcOrd="0" destOrd="2" presId="urn:microsoft.com/office/officeart/2005/8/layout/chevron2"/>
    <dgm:cxn modelId="{255A70FA-2BCB-4E04-8E8F-D79116D933FA}" srcId="{ECB246EF-D9A3-467D-992E-9F3EDD8024C6}" destId="{83C81AE6-02D2-4E0E-BF44-44D5354CC2CC}" srcOrd="0" destOrd="0" parTransId="{E4F4FA42-2BB5-4E19-A9B9-CA4F8470FEF2}" sibTransId="{E8BD833C-D013-4175-8AFA-A473F182A7F0}"/>
    <dgm:cxn modelId="{79D4A645-1743-459E-A992-6D1FA5814126}" srcId="{1612535F-8C41-4FB9-9BD4-FD61A801C9E0}" destId="{E0C01FFE-FE44-4342-85C3-83F9C2C3A02F}" srcOrd="2" destOrd="0" parTransId="{3765F04F-507A-42E0-9508-3E5155162310}" sibTransId="{23F5649E-D802-4F0F-913C-2AB8CAB5CDB4}"/>
    <dgm:cxn modelId="{C6E88C52-0DB5-4E41-9DD7-A2799743EA92}" type="presOf" srcId="{6551B0E8-6EA3-4A0C-91C6-57633CFEAF6D}" destId="{BD3ABE53-D7C6-4DD1-8211-D905399847B0}" srcOrd="0" destOrd="0" presId="urn:microsoft.com/office/officeart/2005/8/layout/chevron2"/>
    <dgm:cxn modelId="{E4B826B7-1DD1-438B-8E34-927511F6291D}" type="presOf" srcId="{ECB246EF-D9A3-467D-992E-9F3EDD8024C6}" destId="{190D55BB-176F-4B5B-9C51-66466F5CC874}" srcOrd="0" destOrd="0" presId="urn:microsoft.com/office/officeart/2005/8/layout/chevron2"/>
    <dgm:cxn modelId="{D59F4F21-0EC6-4BE3-82AB-5539944140C2}" srcId="{DAC352B0-B4FB-497C-A41B-5D7AE5B57DB8}" destId="{3AB7E2AE-71BA-44CB-B29D-A0645D546A97}" srcOrd="1" destOrd="0" parTransId="{AC4086B7-7B36-46F0-9093-EF5D347435D8}" sibTransId="{C980AAB4-CDC4-4430-B3E0-8833B7F0005F}"/>
    <dgm:cxn modelId="{D11CFBE2-E411-4748-A63C-DA364B15F566}" type="presOf" srcId="{83C81AE6-02D2-4E0E-BF44-44D5354CC2CC}" destId="{546E71CF-DE99-4DC3-82F2-2792F5437168}" srcOrd="0" destOrd="0" presId="urn:microsoft.com/office/officeart/2005/8/layout/chevron2"/>
    <dgm:cxn modelId="{C4332449-DD74-4C1F-85EA-E97F452BB34F}" type="presOf" srcId="{CE99432E-A815-4F2A-871C-D30986DD852B}" destId="{BD3ABE53-D7C6-4DD1-8211-D905399847B0}" srcOrd="0" destOrd="2" presId="urn:microsoft.com/office/officeart/2005/8/layout/chevron2"/>
    <dgm:cxn modelId="{F4F6F4B4-9D4A-4778-AE3C-F825DD413728}" type="presOf" srcId="{88EA1E77-797D-4C1C-A8F5-96DD34F1D6E0}" destId="{7D6852D7-8C9A-450E-8338-A061EDCE8269}" srcOrd="0" destOrd="0" presId="urn:microsoft.com/office/officeart/2005/8/layout/chevron2"/>
    <dgm:cxn modelId="{8E21C2A3-A172-45C4-9ECC-9220DC8A401E}" srcId="{ECB246EF-D9A3-467D-992E-9F3EDD8024C6}" destId="{310FCBA3-52AC-47B0-B4A9-567C448D3A1F}" srcOrd="4" destOrd="0" parTransId="{80CFAE98-C35F-48E7-8B2D-E211D6868478}" sibTransId="{23998D62-2D76-490E-ADF8-00538532E24F}"/>
    <dgm:cxn modelId="{6BC34BF5-C94D-495F-9728-67B891A077EB}" type="presOf" srcId="{CEB4C2B2-5382-461E-B725-A0D7E35D7F10}" destId="{BD3ABE53-D7C6-4DD1-8211-D905399847B0}" srcOrd="0" destOrd="3" presId="urn:microsoft.com/office/officeart/2005/8/layout/chevron2"/>
    <dgm:cxn modelId="{8C4D81BC-8A6F-40C7-8F9E-BB522995069A}" srcId="{DAC352B0-B4FB-497C-A41B-5D7AE5B57DB8}" destId="{CE99432E-A815-4F2A-871C-D30986DD852B}" srcOrd="2" destOrd="0" parTransId="{CD4AE990-2E8C-47A9-83CC-810089021DAD}" sibTransId="{E613934F-08D1-49E5-A8A4-42018EFCCD49}"/>
    <dgm:cxn modelId="{3F39F233-592F-45E4-B8D1-FAFF4D98DDA8}" type="presOf" srcId="{DAC352B0-B4FB-497C-A41B-5D7AE5B57DB8}" destId="{81FBF376-E3DE-420E-82F7-ADB0C1AA7B86}" srcOrd="0" destOrd="0" presId="urn:microsoft.com/office/officeart/2005/8/layout/chevron2"/>
    <dgm:cxn modelId="{239F0A22-8C5F-452F-A82B-08B958E7BE6A}" type="presOf" srcId="{310FCBA3-52AC-47B0-B4A9-567C448D3A1F}" destId="{546E71CF-DE99-4DC3-82F2-2792F5437168}" srcOrd="0" destOrd="4" presId="urn:microsoft.com/office/officeart/2005/8/layout/chevron2"/>
    <dgm:cxn modelId="{E254BDC7-340B-4AA9-BE60-A8535DF88FB4}" type="presOf" srcId="{1612535F-8C41-4FB9-9BD4-FD61A801C9E0}" destId="{D69E93BE-4794-4396-A30B-44677DA6888A}" srcOrd="0" destOrd="0" presId="urn:microsoft.com/office/officeart/2005/8/layout/chevron2"/>
    <dgm:cxn modelId="{D20579A9-6014-44A4-AAD4-ACC8D50B5CD0}" srcId="{E0C01FFE-FE44-4342-85C3-83F9C2C3A02F}" destId="{88EA1E77-797D-4C1C-A8F5-96DD34F1D6E0}" srcOrd="0" destOrd="0" parTransId="{FA3FF41A-E9F8-4B06-82DB-968944451956}" sibTransId="{8E1EBF68-3054-41A2-BA8E-90AA8A9091A7}"/>
    <dgm:cxn modelId="{D87747B1-313B-4F65-AEE3-756C82700134}" type="presOf" srcId="{A4FBD970-9437-4516-AB47-C7BD6EE11871}" destId="{546E71CF-DE99-4DC3-82F2-2792F5437168}" srcOrd="0" destOrd="3" presId="urn:microsoft.com/office/officeart/2005/8/layout/chevron2"/>
    <dgm:cxn modelId="{A5BF6769-BC92-49B6-82DC-123C75089FD1}" srcId="{1612535F-8C41-4FB9-9BD4-FD61A801C9E0}" destId="{DAC352B0-B4FB-497C-A41B-5D7AE5B57DB8}" srcOrd="1" destOrd="0" parTransId="{5286998F-2E02-4C9A-A651-DD532E6D39C6}" sibTransId="{59EB5F09-B8D3-4DFA-B32B-266D093AD849}"/>
    <dgm:cxn modelId="{6A2CE832-B36F-4E16-8289-4B23A0D17E6D}" type="presOf" srcId="{3AB7E2AE-71BA-44CB-B29D-A0645D546A97}" destId="{BD3ABE53-D7C6-4DD1-8211-D905399847B0}" srcOrd="0" destOrd="1" presId="urn:microsoft.com/office/officeart/2005/8/layout/chevron2"/>
    <dgm:cxn modelId="{1A402134-5D40-44B2-9876-6817ACE335BC}" srcId="{DAC352B0-B4FB-497C-A41B-5D7AE5B57DB8}" destId="{6551B0E8-6EA3-4A0C-91C6-57633CFEAF6D}" srcOrd="0" destOrd="0" parTransId="{145D2D33-BAF8-4332-84B8-01410F86EB21}" sibTransId="{27941033-026F-462B-A192-605634344851}"/>
    <dgm:cxn modelId="{BDC7B9DC-D0BE-430D-9A00-A6F3948A2A09}" srcId="{ECB246EF-D9A3-467D-992E-9F3EDD8024C6}" destId="{5EA0FD88-0142-4BBD-8891-D92797D8237E}" srcOrd="1" destOrd="0" parTransId="{E15FA5C8-A335-4D3F-92CE-02B2EC6ACFA5}" sibTransId="{76DF48DB-8159-441E-BC9E-A4189A969DE5}"/>
    <dgm:cxn modelId="{B674A242-8864-41D0-8B70-FEEAFA4D6BB6}" srcId="{1612535F-8C41-4FB9-9BD4-FD61A801C9E0}" destId="{ECB246EF-D9A3-467D-992E-9F3EDD8024C6}" srcOrd="0" destOrd="0" parTransId="{011161DD-47D7-4FF6-8326-18A9BC11D77B}" sibTransId="{209AADCC-4C32-48E1-97DA-D8232C272C68}"/>
    <dgm:cxn modelId="{FE36224D-CA3A-48FD-A725-5B06583BA6EF}" type="presOf" srcId="{5EA0FD88-0142-4BBD-8891-D92797D8237E}" destId="{546E71CF-DE99-4DC3-82F2-2792F5437168}" srcOrd="0" destOrd="1" presId="urn:microsoft.com/office/officeart/2005/8/layout/chevron2"/>
    <dgm:cxn modelId="{B9B087B9-2232-4B55-A2B7-C646995B21D9}" type="presOf" srcId="{E0C01FFE-FE44-4342-85C3-83F9C2C3A02F}" destId="{24C7439E-F6EE-4E9B-BD60-C622C6DA9F7D}" srcOrd="0" destOrd="0" presId="urn:microsoft.com/office/officeart/2005/8/layout/chevron2"/>
    <dgm:cxn modelId="{677AAAB7-1C14-40D1-9092-5EC6259D6E33}" type="presParOf" srcId="{D69E93BE-4794-4396-A30B-44677DA6888A}" destId="{6ACA73C6-E9E1-44FD-A8BA-71EFD8C1BFB7}" srcOrd="0" destOrd="0" presId="urn:microsoft.com/office/officeart/2005/8/layout/chevron2"/>
    <dgm:cxn modelId="{B7FB0FF8-80B4-4196-8A95-5415DB165936}" type="presParOf" srcId="{6ACA73C6-E9E1-44FD-A8BA-71EFD8C1BFB7}" destId="{190D55BB-176F-4B5B-9C51-66466F5CC874}" srcOrd="0" destOrd="0" presId="urn:microsoft.com/office/officeart/2005/8/layout/chevron2"/>
    <dgm:cxn modelId="{8F0A293B-82CE-4F9E-8A4F-861FA0E75279}" type="presParOf" srcId="{6ACA73C6-E9E1-44FD-A8BA-71EFD8C1BFB7}" destId="{546E71CF-DE99-4DC3-82F2-2792F5437168}" srcOrd="1" destOrd="0" presId="urn:microsoft.com/office/officeart/2005/8/layout/chevron2"/>
    <dgm:cxn modelId="{7F97FF9D-B3AF-4161-A68C-753FEBD13E3C}" type="presParOf" srcId="{D69E93BE-4794-4396-A30B-44677DA6888A}" destId="{5CF56BE7-FD36-4721-AC61-42AC54FF9EE6}" srcOrd="1" destOrd="0" presId="urn:microsoft.com/office/officeart/2005/8/layout/chevron2"/>
    <dgm:cxn modelId="{67650E5E-7A13-42B9-B73E-5E2A3BE4A270}" type="presParOf" srcId="{D69E93BE-4794-4396-A30B-44677DA6888A}" destId="{E1D6973F-1531-427B-805C-B8DBCFB7A035}" srcOrd="2" destOrd="0" presId="urn:microsoft.com/office/officeart/2005/8/layout/chevron2"/>
    <dgm:cxn modelId="{6040BE3B-DE5F-481E-BB68-90C03411A35A}" type="presParOf" srcId="{E1D6973F-1531-427B-805C-B8DBCFB7A035}" destId="{81FBF376-E3DE-420E-82F7-ADB0C1AA7B86}" srcOrd="0" destOrd="0" presId="urn:microsoft.com/office/officeart/2005/8/layout/chevron2"/>
    <dgm:cxn modelId="{E24776C0-5B32-4400-B212-FBC9104A2FC9}" type="presParOf" srcId="{E1D6973F-1531-427B-805C-B8DBCFB7A035}" destId="{BD3ABE53-D7C6-4DD1-8211-D905399847B0}" srcOrd="1" destOrd="0" presId="urn:microsoft.com/office/officeart/2005/8/layout/chevron2"/>
    <dgm:cxn modelId="{97663DE6-EE62-40A6-8965-64F770CDC875}" type="presParOf" srcId="{D69E93BE-4794-4396-A30B-44677DA6888A}" destId="{5F9EBF17-1E79-4266-A6F6-95C3A0AC716D}" srcOrd="3" destOrd="0" presId="urn:microsoft.com/office/officeart/2005/8/layout/chevron2"/>
    <dgm:cxn modelId="{E4385C2F-4D2F-48F4-8102-9896130DC07B}" type="presParOf" srcId="{D69E93BE-4794-4396-A30B-44677DA6888A}" destId="{F48130BB-7229-463E-B84B-5AF5596C5EBB}" srcOrd="4" destOrd="0" presId="urn:microsoft.com/office/officeart/2005/8/layout/chevron2"/>
    <dgm:cxn modelId="{DF8B387D-295F-4DC3-BA18-27163DD2758A}" type="presParOf" srcId="{F48130BB-7229-463E-B84B-5AF5596C5EBB}" destId="{24C7439E-F6EE-4E9B-BD60-C622C6DA9F7D}" srcOrd="0" destOrd="0" presId="urn:microsoft.com/office/officeart/2005/8/layout/chevron2"/>
    <dgm:cxn modelId="{0DA7DC67-753D-45C0-A41C-7EC247FE84BF}" type="presParOf" srcId="{F48130BB-7229-463E-B84B-5AF5596C5EBB}" destId="{7D6852D7-8C9A-450E-8338-A061EDCE8269}"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C82919-C150-4116-BEA0-BACB733A40F6}"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ru-RU"/>
        </a:p>
      </dgm:t>
    </dgm:pt>
    <dgm:pt modelId="{0F66B608-1734-44A2-B2C3-E7C30E7E193B}">
      <dgm:prSet phldrT="[Текст]" custT="1"/>
      <dgm:spPr/>
      <dgm:t>
        <a:bodyPr/>
        <a:lstStyle/>
        <a:p>
          <a:r>
            <a:rPr lang="ru-RU" sz="1200">
              <a:latin typeface="Times New Roman" pitchFamily="18" charset="0"/>
              <a:cs typeface="Times New Roman" pitchFamily="18" charset="0"/>
            </a:rPr>
            <a:t>Пациенты с активной ЭОП (</a:t>
          </a:r>
          <a:r>
            <a:rPr lang="en-US" sz="1200">
              <a:latin typeface="Times New Roman" pitchFamily="18" charset="0"/>
              <a:cs typeface="Times New Roman" pitchFamily="18" charset="0"/>
            </a:rPr>
            <a:t>n=43</a:t>
          </a:r>
          <a:r>
            <a:rPr lang="ru-RU" sz="1200">
              <a:latin typeface="Times New Roman" pitchFamily="18" charset="0"/>
              <a:cs typeface="Times New Roman" pitchFamily="18" charset="0"/>
            </a:rPr>
            <a:t>)</a:t>
          </a:r>
        </a:p>
      </dgm:t>
    </dgm:pt>
    <dgm:pt modelId="{4AD0B8C2-F9C0-4B57-A26D-A69A92457B1B}" type="parTrans" cxnId="{6F6ACD1C-E3B1-4F85-83D7-58EA61E9B1F8}">
      <dgm:prSet/>
      <dgm:spPr/>
      <dgm:t>
        <a:bodyPr/>
        <a:lstStyle/>
        <a:p>
          <a:endParaRPr lang="ru-RU"/>
        </a:p>
      </dgm:t>
    </dgm:pt>
    <dgm:pt modelId="{8BE16AC7-319F-4EA4-984E-801E38F22151}" type="sibTrans" cxnId="{6F6ACD1C-E3B1-4F85-83D7-58EA61E9B1F8}">
      <dgm:prSet/>
      <dgm:spPr/>
      <dgm:t>
        <a:bodyPr/>
        <a:lstStyle/>
        <a:p>
          <a:endParaRPr lang="ru-RU"/>
        </a:p>
      </dgm:t>
    </dgm:pt>
    <dgm:pt modelId="{3564F58A-B00E-4A33-86FC-02B27BC4CFDD}">
      <dgm:prSet phldrT="[Текст]" custT="1"/>
      <dgm:spPr/>
      <dgm:t>
        <a:bodyPr/>
        <a:lstStyle/>
        <a:p>
          <a:r>
            <a:rPr lang="ru-RU" sz="1200">
              <a:latin typeface="Times New Roman" pitchFamily="18" charset="0"/>
              <a:cs typeface="Times New Roman" pitchFamily="18" charset="0"/>
            </a:rPr>
            <a:t>Пациенты с неактивной ЭОП </a:t>
          </a:r>
          <a:r>
            <a:rPr lang="en-US" sz="1200">
              <a:latin typeface="Times New Roman" pitchFamily="18" charset="0"/>
              <a:cs typeface="Times New Roman" pitchFamily="18" charset="0"/>
            </a:rPr>
            <a:t>(n=27)</a:t>
          </a:r>
          <a:endParaRPr lang="ru-RU" sz="1200">
            <a:latin typeface="Times New Roman" pitchFamily="18" charset="0"/>
            <a:cs typeface="Times New Roman" pitchFamily="18" charset="0"/>
          </a:endParaRPr>
        </a:p>
      </dgm:t>
    </dgm:pt>
    <dgm:pt modelId="{DAFBAA57-0953-44AB-9601-CDECF5AB158E}" type="parTrans" cxnId="{DAB37D0E-915C-4151-A1AE-7FB7F786EECE}">
      <dgm:prSet/>
      <dgm:spPr/>
      <dgm:t>
        <a:bodyPr/>
        <a:lstStyle/>
        <a:p>
          <a:endParaRPr lang="ru-RU"/>
        </a:p>
      </dgm:t>
    </dgm:pt>
    <dgm:pt modelId="{ACCEC723-1078-499A-8ABC-8F39524248FD}" type="sibTrans" cxnId="{DAB37D0E-915C-4151-A1AE-7FB7F786EECE}">
      <dgm:prSet/>
      <dgm:spPr/>
      <dgm:t>
        <a:bodyPr/>
        <a:lstStyle/>
        <a:p>
          <a:endParaRPr lang="ru-RU"/>
        </a:p>
      </dgm:t>
    </dgm:pt>
    <dgm:pt modelId="{0A277965-C312-4239-8E92-EE684B367203}">
      <dgm:prSet phldrT="[Текст]" custT="1"/>
      <dgm:spPr/>
      <dgm:t>
        <a:bodyPr/>
        <a:lstStyle/>
        <a:p>
          <a:r>
            <a:rPr lang="ru-RU" sz="1200">
              <a:latin typeface="Times New Roman" pitchFamily="18" charset="0"/>
              <a:cs typeface="Times New Roman" pitchFamily="18" charset="0"/>
            </a:rPr>
            <a:t>Контрольная группа (</a:t>
          </a:r>
          <a:r>
            <a:rPr lang="en-US" sz="1200">
              <a:latin typeface="Times New Roman" pitchFamily="18" charset="0"/>
              <a:cs typeface="Times New Roman" pitchFamily="18" charset="0"/>
            </a:rPr>
            <a:t>n=17</a:t>
          </a:r>
          <a:r>
            <a:rPr lang="ru-RU" sz="1200">
              <a:latin typeface="Times New Roman" pitchFamily="18" charset="0"/>
              <a:cs typeface="Times New Roman" pitchFamily="18" charset="0"/>
            </a:rPr>
            <a:t>)</a:t>
          </a:r>
        </a:p>
      </dgm:t>
    </dgm:pt>
    <dgm:pt modelId="{142E6B86-17F2-47E6-BF08-0DF310027528}" type="parTrans" cxnId="{28A952CF-4DF4-44E6-99DF-BBD4CD782023}">
      <dgm:prSet/>
      <dgm:spPr/>
      <dgm:t>
        <a:bodyPr/>
        <a:lstStyle/>
        <a:p>
          <a:endParaRPr lang="ru-RU"/>
        </a:p>
      </dgm:t>
    </dgm:pt>
    <dgm:pt modelId="{2118484E-8667-4F8C-A873-08EECC61EF48}" type="sibTrans" cxnId="{28A952CF-4DF4-44E6-99DF-BBD4CD782023}">
      <dgm:prSet/>
      <dgm:spPr/>
      <dgm:t>
        <a:bodyPr/>
        <a:lstStyle/>
        <a:p>
          <a:endParaRPr lang="ru-RU"/>
        </a:p>
      </dgm:t>
    </dgm:pt>
    <dgm:pt modelId="{0E0D66D3-C569-48A5-BC06-08A5968691D8}">
      <dgm:prSet phldrT="[Текст]" custT="1"/>
      <dgm:spPr/>
      <dgm:t>
        <a:bodyPr/>
        <a:lstStyle/>
        <a:p>
          <a:r>
            <a:rPr lang="ru-RU" sz="1200">
              <a:latin typeface="Times New Roman" pitchFamily="18" charset="0"/>
              <a:cs typeface="Times New Roman" pitchFamily="18" charset="0"/>
            </a:rPr>
            <a:t>Иммунологическое исследование </a:t>
          </a:r>
          <a:r>
            <a:rPr lang="en-US" sz="1200">
              <a:latin typeface="Times New Roman" pitchFamily="18" charset="0"/>
              <a:cs typeface="Times New Roman" pitchFamily="18" charset="0"/>
            </a:rPr>
            <a:t>(n=87)</a:t>
          </a:r>
          <a:r>
            <a:rPr lang="ru-RU" sz="1200">
              <a:latin typeface="Times New Roman" pitchFamily="18" charset="0"/>
              <a:cs typeface="Times New Roman" pitchFamily="18" charset="0"/>
            </a:rPr>
            <a:t> "кросс-секционное" </a:t>
          </a:r>
        </a:p>
      </dgm:t>
    </dgm:pt>
    <dgm:pt modelId="{0DF4EB90-2CDB-40A5-8B0F-95FF6FF983D2}" type="sibTrans" cxnId="{035E9558-4362-4384-8C86-D23B352C1C10}">
      <dgm:prSet/>
      <dgm:spPr/>
      <dgm:t>
        <a:bodyPr/>
        <a:lstStyle/>
        <a:p>
          <a:endParaRPr lang="ru-RU"/>
        </a:p>
      </dgm:t>
    </dgm:pt>
    <dgm:pt modelId="{40DF7234-9A09-4950-93F9-CD959A885E0C}" type="parTrans" cxnId="{035E9558-4362-4384-8C86-D23B352C1C10}">
      <dgm:prSet/>
      <dgm:spPr/>
      <dgm:t>
        <a:bodyPr/>
        <a:lstStyle/>
        <a:p>
          <a:endParaRPr lang="ru-RU"/>
        </a:p>
      </dgm:t>
    </dgm:pt>
    <dgm:pt modelId="{5CF7E166-D11C-417C-8F5C-2D4B84069C48}">
      <dgm:prSet custT="1"/>
      <dgm:spPr/>
      <dgm:t>
        <a:bodyPr/>
        <a:lstStyle/>
        <a:p>
          <a:r>
            <a:rPr lang="kk-KZ" sz="1200">
              <a:latin typeface="Times New Roman" pitchFamily="18" charset="0"/>
              <a:cs typeface="Times New Roman" pitchFamily="18" charset="0"/>
            </a:rPr>
            <a:t>1</a:t>
          </a:r>
          <a:r>
            <a:rPr lang="ru-RU" sz="1200">
              <a:latin typeface="Times New Roman" pitchFamily="18" charset="0"/>
              <a:cs typeface="Times New Roman" pitchFamily="18" charset="0"/>
            </a:rPr>
            <a:t>. Забор венозной крови</a:t>
          </a:r>
        </a:p>
        <a:p>
          <a:r>
            <a:rPr lang="ru-RU" sz="1200">
              <a:latin typeface="Times New Roman" pitchFamily="18" charset="0"/>
              <a:cs typeface="Times New Roman" pitchFamily="18" charset="0"/>
            </a:rPr>
            <a:t>2. Забор нестимулированной слезы</a:t>
          </a:r>
        </a:p>
        <a:p>
          <a:r>
            <a:rPr lang="ru-RU" sz="1200">
              <a:latin typeface="Times New Roman" pitchFamily="18" charset="0"/>
              <a:cs typeface="Times New Roman" pitchFamily="18" charset="0"/>
            </a:rPr>
            <a:t>3. Забор орбитальной жировой ткани</a:t>
          </a:r>
        </a:p>
      </dgm:t>
    </dgm:pt>
    <dgm:pt modelId="{870730BE-9199-4776-8187-5C8246C65F83}" type="parTrans" cxnId="{E37C436A-39ED-4C44-BC6D-115834DCAF9C}">
      <dgm:prSet/>
      <dgm:spPr/>
      <dgm:t>
        <a:bodyPr/>
        <a:lstStyle/>
        <a:p>
          <a:endParaRPr lang="ru-RU"/>
        </a:p>
      </dgm:t>
    </dgm:pt>
    <dgm:pt modelId="{AD5AD973-9EFA-44C9-84DE-570CDEA63345}" type="sibTrans" cxnId="{E37C436A-39ED-4C44-BC6D-115834DCAF9C}">
      <dgm:prSet/>
      <dgm:spPr/>
      <dgm:t>
        <a:bodyPr/>
        <a:lstStyle/>
        <a:p>
          <a:endParaRPr lang="ru-RU"/>
        </a:p>
      </dgm:t>
    </dgm:pt>
    <dgm:pt modelId="{452A27DD-2B96-4054-BB8A-8FB8456F0DDE}">
      <dgm:prSet custT="1"/>
      <dgm:spPr/>
      <dgm:t>
        <a:bodyPr/>
        <a:lstStyle/>
        <a:p>
          <a:r>
            <a:rPr lang="ru-RU" sz="1200">
              <a:latin typeface="Times New Roman" pitchFamily="18" charset="0"/>
              <a:cs typeface="Times New Roman" pitchFamily="18" charset="0"/>
            </a:rPr>
            <a:t>Определение уровней ИЛ-17 и ИЛ-38</a:t>
          </a:r>
        </a:p>
      </dgm:t>
    </dgm:pt>
    <dgm:pt modelId="{190A4B77-286A-4911-9EAE-53BD033DEFFC}" type="parTrans" cxnId="{7DB97B07-5761-46B4-A2AB-186962F7CDA0}">
      <dgm:prSet/>
      <dgm:spPr/>
      <dgm:t>
        <a:bodyPr/>
        <a:lstStyle/>
        <a:p>
          <a:endParaRPr lang="ru-RU"/>
        </a:p>
      </dgm:t>
    </dgm:pt>
    <dgm:pt modelId="{2044701C-4E5D-4EF8-AD71-A2BAAED8322B}" type="sibTrans" cxnId="{7DB97B07-5761-46B4-A2AB-186962F7CDA0}">
      <dgm:prSet/>
      <dgm:spPr/>
      <dgm:t>
        <a:bodyPr/>
        <a:lstStyle/>
        <a:p>
          <a:endParaRPr lang="ru-RU"/>
        </a:p>
      </dgm:t>
    </dgm:pt>
    <dgm:pt modelId="{95250489-406E-4FA9-9291-D271C14639D5}">
      <dgm:prSet custT="1"/>
      <dgm:spPr/>
      <dgm:t>
        <a:bodyPr/>
        <a:lstStyle/>
        <a:p>
          <a:r>
            <a:rPr lang="ru-RU" sz="1200">
              <a:latin typeface="Times New Roman" pitchFamily="18" charset="0"/>
              <a:cs typeface="Times New Roman" pitchFamily="18" charset="0"/>
            </a:rPr>
            <a:t>Статистическая  обработка данных</a:t>
          </a:r>
        </a:p>
      </dgm:t>
    </dgm:pt>
    <dgm:pt modelId="{EF7042DD-2360-47B0-A928-A2C01092CA44}" type="parTrans" cxnId="{612C407E-2D73-4A08-9E7D-861C96DE59F3}">
      <dgm:prSet/>
      <dgm:spPr/>
      <dgm:t>
        <a:bodyPr/>
        <a:lstStyle/>
        <a:p>
          <a:endParaRPr lang="ru-RU"/>
        </a:p>
      </dgm:t>
    </dgm:pt>
    <dgm:pt modelId="{97904EC7-5435-4E06-8105-D0B2DFEA9502}" type="sibTrans" cxnId="{612C407E-2D73-4A08-9E7D-861C96DE59F3}">
      <dgm:prSet/>
      <dgm:spPr/>
      <dgm:t>
        <a:bodyPr/>
        <a:lstStyle/>
        <a:p>
          <a:endParaRPr lang="ru-RU"/>
        </a:p>
      </dgm:t>
    </dgm:pt>
    <dgm:pt modelId="{A7512F3F-A808-4622-A72C-009AAA6E02D3}" type="pres">
      <dgm:prSet presAssocID="{A8C82919-C150-4116-BEA0-BACB733A40F6}" presName="hierChild1" presStyleCnt="0">
        <dgm:presLayoutVars>
          <dgm:orgChart val="1"/>
          <dgm:chPref val="1"/>
          <dgm:dir/>
          <dgm:animOne val="branch"/>
          <dgm:animLvl val="lvl"/>
          <dgm:resizeHandles/>
        </dgm:presLayoutVars>
      </dgm:prSet>
      <dgm:spPr/>
      <dgm:t>
        <a:bodyPr/>
        <a:lstStyle/>
        <a:p>
          <a:endParaRPr lang="ru-RU"/>
        </a:p>
      </dgm:t>
    </dgm:pt>
    <dgm:pt modelId="{2163E852-3EC6-4B73-8513-98E425357645}" type="pres">
      <dgm:prSet presAssocID="{0E0D66D3-C569-48A5-BC06-08A5968691D8}" presName="hierRoot1" presStyleCnt="0">
        <dgm:presLayoutVars>
          <dgm:hierBranch val="init"/>
        </dgm:presLayoutVars>
      </dgm:prSet>
      <dgm:spPr/>
    </dgm:pt>
    <dgm:pt modelId="{E291A5B0-676A-45AA-B86F-2CFD5BFB977E}" type="pres">
      <dgm:prSet presAssocID="{0E0D66D3-C569-48A5-BC06-08A5968691D8}" presName="rootComposite1" presStyleCnt="0"/>
      <dgm:spPr/>
    </dgm:pt>
    <dgm:pt modelId="{D6E343DE-C0B0-45B8-BC7B-CE2976872833}" type="pres">
      <dgm:prSet presAssocID="{0E0D66D3-C569-48A5-BC06-08A5968691D8}" presName="rootText1" presStyleLbl="node0" presStyleIdx="0" presStyleCnt="1" custLinFactNeighborX="5394" custLinFactNeighborY="-79108">
        <dgm:presLayoutVars>
          <dgm:chPref val="3"/>
        </dgm:presLayoutVars>
      </dgm:prSet>
      <dgm:spPr/>
      <dgm:t>
        <a:bodyPr/>
        <a:lstStyle/>
        <a:p>
          <a:endParaRPr lang="ru-RU"/>
        </a:p>
      </dgm:t>
    </dgm:pt>
    <dgm:pt modelId="{4FF0F712-942B-462C-A7A5-6057E85C654E}" type="pres">
      <dgm:prSet presAssocID="{0E0D66D3-C569-48A5-BC06-08A5968691D8}" presName="rootConnector1" presStyleLbl="node1" presStyleIdx="0" presStyleCnt="0"/>
      <dgm:spPr/>
      <dgm:t>
        <a:bodyPr/>
        <a:lstStyle/>
        <a:p>
          <a:endParaRPr lang="ru-RU"/>
        </a:p>
      </dgm:t>
    </dgm:pt>
    <dgm:pt modelId="{D098D938-9958-4769-808A-078AAA654C57}" type="pres">
      <dgm:prSet presAssocID="{0E0D66D3-C569-48A5-BC06-08A5968691D8}" presName="hierChild2" presStyleCnt="0"/>
      <dgm:spPr/>
    </dgm:pt>
    <dgm:pt modelId="{EF784ADD-4C43-43D5-AC5A-5F06B9BE0E82}" type="pres">
      <dgm:prSet presAssocID="{4AD0B8C2-F9C0-4B57-A26D-A69A92457B1B}" presName="Name37" presStyleLbl="parChTrans1D2" presStyleIdx="0" presStyleCnt="3"/>
      <dgm:spPr/>
      <dgm:t>
        <a:bodyPr/>
        <a:lstStyle/>
        <a:p>
          <a:endParaRPr lang="ru-RU"/>
        </a:p>
      </dgm:t>
    </dgm:pt>
    <dgm:pt modelId="{261555F3-68F4-47CD-89DB-7285A9298564}" type="pres">
      <dgm:prSet presAssocID="{0F66B608-1734-44A2-B2C3-E7C30E7E193B}" presName="hierRoot2" presStyleCnt="0">
        <dgm:presLayoutVars>
          <dgm:hierBranch val="init"/>
        </dgm:presLayoutVars>
      </dgm:prSet>
      <dgm:spPr/>
    </dgm:pt>
    <dgm:pt modelId="{BA4A9ABB-9330-4EA0-8726-741096498887}" type="pres">
      <dgm:prSet presAssocID="{0F66B608-1734-44A2-B2C3-E7C30E7E193B}" presName="rootComposite" presStyleCnt="0"/>
      <dgm:spPr/>
    </dgm:pt>
    <dgm:pt modelId="{54B8BDE3-3265-45BD-B274-7946D23E591C}" type="pres">
      <dgm:prSet presAssocID="{0F66B608-1734-44A2-B2C3-E7C30E7E193B}" presName="rootText" presStyleLbl="node2" presStyleIdx="0" presStyleCnt="3" custLinFactNeighborX="5984" custLinFactNeighborY="-36825">
        <dgm:presLayoutVars>
          <dgm:chPref val="3"/>
        </dgm:presLayoutVars>
      </dgm:prSet>
      <dgm:spPr/>
      <dgm:t>
        <a:bodyPr/>
        <a:lstStyle/>
        <a:p>
          <a:endParaRPr lang="ru-RU"/>
        </a:p>
      </dgm:t>
    </dgm:pt>
    <dgm:pt modelId="{1039DE5A-005B-4B08-A6C0-DDB1A32EFDCD}" type="pres">
      <dgm:prSet presAssocID="{0F66B608-1734-44A2-B2C3-E7C30E7E193B}" presName="rootConnector" presStyleLbl="node2" presStyleIdx="0" presStyleCnt="3"/>
      <dgm:spPr/>
      <dgm:t>
        <a:bodyPr/>
        <a:lstStyle/>
        <a:p>
          <a:endParaRPr lang="ru-RU"/>
        </a:p>
      </dgm:t>
    </dgm:pt>
    <dgm:pt modelId="{9A4952D0-8BFA-475E-B988-7B80FC1B71A1}" type="pres">
      <dgm:prSet presAssocID="{0F66B608-1734-44A2-B2C3-E7C30E7E193B}" presName="hierChild4" presStyleCnt="0"/>
      <dgm:spPr/>
    </dgm:pt>
    <dgm:pt modelId="{A6AD52E8-EFBB-4676-90B6-D83C973177D6}" type="pres">
      <dgm:prSet presAssocID="{0F66B608-1734-44A2-B2C3-E7C30E7E193B}" presName="hierChild5" presStyleCnt="0"/>
      <dgm:spPr/>
    </dgm:pt>
    <dgm:pt modelId="{F7045D27-BF4F-46B9-9446-DCAD43F3E13D}" type="pres">
      <dgm:prSet presAssocID="{DAFBAA57-0953-44AB-9601-CDECF5AB158E}" presName="Name37" presStyleLbl="parChTrans1D2" presStyleIdx="1" presStyleCnt="3"/>
      <dgm:spPr/>
      <dgm:t>
        <a:bodyPr/>
        <a:lstStyle/>
        <a:p>
          <a:endParaRPr lang="ru-RU"/>
        </a:p>
      </dgm:t>
    </dgm:pt>
    <dgm:pt modelId="{2D288E0B-7FBE-41C3-B05C-6214E690A2C5}" type="pres">
      <dgm:prSet presAssocID="{3564F58A-B00E-4A33-86FC-02B27BC4CFDD}" presName="hierRoot2" presStyleCnt="0">
        <dgm:presLayoutVars>
          <dgm:hierBranch val="init"/>
        </dgm:presLayoutVars>
      </dgm:prSet>
      <dgm:spPr/>
    </dgm:pt>
    <dgm:pt modelId="{87696222-8E51-44FF-A6B5-2231B77B2242}" type="pres">
      <dgm:prSet presAssocID="{3564F58A-B00E-4A33-86FC-02B27BC4CFDD}" presName="rootComposite" presStyleCnt="0"/>
      <dgm:spPr/>
    </dgm:pt>
    <dgm:pt modelId="{1C96D90C-B622-4210-979F-C69830CC5304}" type="pres">
      <dgm:prSet presAssocID="{3564F58A-B00E-4A33-86FC-02B27BC4CFDD}" presName="rootText" presStyleLbl="node2" presStyleIdx="1" presStyleCnt="3" custScaleY="91559" custLinFactNeighborX="20822" custLinFactNeighborY="-37433">
        <dgm:presLayoutVars>
          <dgm:chPref val="3"/>
        </dgm:presLayoutVars>
      </dgm:prSet>
      <dgm:spPr/>
      <dgm:t>
        <a:bodyPr/>
        <a:lstStyle/>
        <a:p>
          <a:endParaRPr lang="ru-RU"/>
        </a:p>
      </dgm:t>
    </dgm:pt>
    <dgm:pt modelId="{B93A17A3-9D23-466A-BD30-7D7A4412C960}" type="pres">
      <dgm:prSet presAssocID="{3564F58A-B00E-4A33-86FC-02B27BC4CFDD}" presName="rootConnector" presStyleLbl="node2" presStyleIdx="1" presStyleCnt="3"/>
      <dgm:spPr/>
      <dgm:t>
        <a:bodyPr/>
        <a:lstStyle/>
        <a:p>
          <a:endParaRPr lang="ru-RU"/>
        </a:p>
      </dgm:t>
    </dgm:pt>
    <dgm:pt modelId="{4E734083-BE10-4E46-939F-99AF810EB2BF}" type="pres">
      <dgm:prSet presAssocID="{3564F58A-B00E-4A33-86FC-02B27BC4CFDD}" presName="hierChild4" presStyleCnt="0"/>
      <dgm:spPr/>
    </dgm:pt>
    <dgm:pt modelId="{84D0ABFA-17A9-4FB7-8F4B-8FCB4182F045}" type="pres">
      <dgm:prSet presAssocID="{870730BE-9199-4776-8187-5C8246C65F83}" presName="Name37" presStyleLbl="parChTrans1D3" presStyleIdx="0" presStyleCnt="1"/>
      <dgm:spPr/>
      <dgm:t>
        <a:bodyPr/>
        <a:lstStyle/>
        <a:p>
          <a:endParaRPr lang="ru-RU"/>
        </a:p>
      </dgm:t>
    </dgm:pt>
    <dgm:pt modelId="{2047DCB6-FDAB-4C3A-942C-76774AE63640}" type="pres">
      <dgm:prSet presAssocID="{5CF7E166-D11C-417C-8F5C-2D4B84069C48}" presName="hierRoot2" presStyleCnt="0">
        <dgm:presLayoutVars>
          <dgm:hierBranch val="init"/>
        </dgm:presLayoutVars>
      </dgm:prSet>
      <dgm:spPr/>
    </dgm:pt>
    <dgm:pt modelId="{59464C2E-CF80-49D8-B3E4-5BE3DC4E5704}" type="pres">
      <dgm:prSet presAssocID="{5CF7E166-D11C-417C-8F5C-2D4B84069C48}" presName="rootComposite" presStyleCnt="0"/>
      <dgm:spPr/>
    </dgm:pt>
    <dgm:pt modelId="{97CBB28C-9945-4119-9D70-8EB1D93D82E6}" type="pres">
      <dgm:prSet presAssocID="{5CF7E166-D11C-417C-8F5C-2D4B84069C48}" presName="rootText" presStyleLbl="node3" presStyleIdx="0" presStyleCnt="1" custScaleX="359867" custScaleY="111283" custLinFactNeighborX="28082" custLinFactNeighborY="-60513">
        <dgm:presLayoutVars>
          <dgm:chPref val="3"/>
        </dgm:presLayoutVars>
      </dgm:prSet>
      <dgm:spPr/>
      <dgm:t>
        <a:bodyPr/>
        <a:lstStyle/>
        <a:p>
          <a:endParaRPr lang="ru-RU"/>
        </a:p>
      </dgm:t>
    </dgm:pt>
    <dgm:pt modelId="{7F3A20F1-D638-42CF-B36A-7FC6C3AE50D4}" type="pres">
      <dgm:prSet presAssocID="{5CF7E166-D11C-417C-8F5C-2D4B84069C48}" presName="rootConnector" presStyleLbl="node3" presStyleIdx="0" presStyleCnt="1"/>
      <dgm:spPr/>
      <dgm:t>
        <a:bodyPr/>
        <a:lstStyle/>
        <a:p>
          <a:endParaRPr lang="ru-RU"/>
        </a:p>
      </dgm:t>
    </dgm:pt>
    <dgm:pt modelId="{E65A4240-8811-49F1-A62D-D114E192E6AF}" type="pres">
      <dgm:prSet presAssocID="{5CF7E166-D11C-417C-8F5C-2D4B84069C48}" presName="hierChild4" presStyleCnt="0"/>
      <dgm:spPr/>
    </dgm:pt>
    <dgm:pt modelId="{48F5E855-5D2C-4D77-9057-AEA392737F16}" type="pres">
      <dgm:prSet presAssocID="{190A4B77-286A-4911-9EAE-53BD033DEFFC}" presName="Name37" presStyleLbl="parChTrans1D4" presStyleIdx="0" presStyleCnt="2"/>
      <dgm:spPr/>
      <dgm:t>
        <a:bodyPr/>
        <a:lstStyle/>
        <a:p>
          <a:endParaRPr lang="ru-RU"/>
        </a:p>
      </dgm:t>
    </dgm:pt>
    <dgm:pt modelId="{6D8E10D0-DAB7-4872-8195-ACA317FA65CE}" type="pres">
      <dgm:prSet presAssocID="{452A27DD-2B96-4054-BB8A-8FB8456F0DDE}" presName="hierRoot2" presStyleCnt="0">
        <dgm:presLayoutVars>
          <dgm:hierBranch val="init"/>
        </dgm:presLayoutVars>
      </dgm:prSet>
      <dgm:spPr/>
    </dgm:pt>
    <dgm:pt modelId="{20EF1B1C-342C-41FC-BFF7-3900F098B881}" type="pres">
      <dgm:prSet presAssocID="{452A27DD-2B96-4054-BB8A-8FB8456F0DDE}" presName="rootComposite" presStyleCnt="0"/>
      <dgm:spPr/>
    </dgm:pt>
    <dgm:pt modelId="{A1EB3343-875F-4207-AEC9-ABAADDB6069B}" type="pres">
      <dgm:prSet presAssocID="{452A27DD-2B96-4054-BB8A-8FB8456F0DDE}" presName="rootText" presStyleLbl="node4" presStyleIdx="0" presStyleCnt="2" custAng="0" custScaleX="287011" custScaleY="56736" custLinFactNeighborX="24252" custLinFactNeighborY="-81348">
        <dgm:presLayoutVars>
          <dgm:chPref val="3"/>
        </dgm:presLayoutVars>
      </dgm:prSet>
      <dgm:spPr/>
      <dgm:t>
        <a:bodyPr/>
        <a:lstStyle/>
        <a:p>
          <a:endParaRPr lang="ru-RU"/>
        </a:p>
      </dgm:t>
    </dgm:pt>
    <dgm:pt modelId="{921D822E-A7D1-40AE-9C32-FE8F55FDAB86}" type="pres">
      <dgm:prSet presAssocID="{452A27DD-2B96-4054-BB8A-8FB8456F0DDE}" presName="rootConnector" presStyleLbl="node4" presStyleIdx="0" presStyleCnt="2"/>
      <dgm:spPr/>
      <dgm:t>
        <a:bodyPr/>
        <a:lstStyle/>
        <a:p>
          <a:endParaRPr lang="ru-RU"/>
        </a:p>
      </dgm:t>
    </dgm:pt>
    <dgm:pt modelId="{261158B9-4520-4F82-9E24-9CED1B7801B0}" type="pres">
      <dgm:prSet presAssocID="{452A27DD-2B96-4054-BB8A-8FB8456F0DDE}" presName="hierChild4" presStyleCnt="0"/>
      <dgm:spPr/>
    </dgm:pt>
    <dgm:pt modelId="{0E1CE0C0-77FE-479D-980A-BCCDE04A0B1D}" type="pres">
      <dgm:prSet presAssocID="{EF7042DD-2360-47B0-A928-A2C01092CA44}" presName="Name37" presStyleLbl="parChTrans1D4" presStyleIdx="1" presStyleCnt="2"/>
      <dgm:spPr/>
      <dgm:t>
        <a:bodyPr/>
        <a:lstStyle/>
        <a:p>
          <a:endParaRPr lang="ru-RU"/>
        </a:p>
      </dgm:t>
    </dgm:pt>
    <dgm:pt modelId="{A95DC4C8-30A4-4AC9-A127-C50E06AA4F3D}" type="pres">
      <dgm:prSet presAssocID="{95250489-406E-4FA9-9291-D271C14639D5}" presName="hierRoot2" presStyleCnt="0">
        <dgm:presLayoutVars>
          <dgm:hierBranch val="init"/>
        </dgm:presLayoutVars>
      </dgm:prSet>
      <dgm:spPr/>
    </dgm:pt>
    <dgm:pt modelId="{EFB5BD13-0050-41ED-B27B-49A2CC3BEA7C}" type="pres">
      <dgm:prSet presAssocID="{95250489-406E-4FA9-9291-D271C14639D5}" presName="rootComposite" presStyleCnt="0"/>
      <dgm:spPr/>
    </dgm:pt>
    <dgm:pt modelId="{8D4CB2CB-754F-433D-B860-635C31AC1FC4}" type="pres">
      <dgm:prSet presAssocID="{95250489-406E-4FA9-9291-D271C14639D5}" presName="rootText" presStyleLbl="node4" presStyleIdx="1" presStyleCnt="2" custScaleX="304912" custScaleY="52163" custLinFactNeighborX="-14879" custLinFactNeighborY="-96197">
        <dgm:presLayoutVars>
          <dgm:chPref val="3"/>
        </dgm:presLayoutVars>
      </dgm:prSet>
      <dgm:spPr/>
      <dgm:t>
        <a:bodyPr/>
        <a:lstStyle/>
        <a:p>
          <a:endParaRPr lang="ru-RU"/>
        </a:p>
      </dgm:t>
    </dgm:pt>
    <dgm:pt modelId="{08A732BA-DF24-44D7-8993-EF2DE2B55857}" type="pres">
      <dgm:prSet presAssocID="{95250489-406E-4FA9-9291-D271C14639D5}" presName="rootConnector" presStyleLbl="node4" presStyleIdx="1" presStyleCnt="2"/>
      <dgm:spPr/>
      <dgm:t>
        <a:bodyPr/>
        <a:lstStyle/>
        <a:p>
          <a:endParaRPr lang="ru-RU"/>
        </a:p>
      </dgm:t>
    </dgm:pt>
    <dgm:pt modelId="{37321F50-B388-4BD1-8DB9-D1F772E79B6D}" type="pres">
      <dgm:prSet presAssocID="{95250489-406E-4FA9-9291-D271C14639D5}" presName="hierChild4" presStyleCnt="0"/>
      <dgm:spPr/>
    </dgm:pt>
    <dgm:pt modelId="{EB8ED7C2-BA36-4AEE-AF5F-3B7C3DA20116}" type="pres">
      <dgm:prSet presAssocID="{95250489-406E-4FA9-9291-D271C14639D5}" presName="hierChild5" presStyleCnt="0"/>
      <dgm:spPr/>
    </dgm:pt>
    <dgm:pt modelId="{7FB88575-34F6-428D-B5BC-55785F39582E}" type="pres">
      <dgm:prSet presAssocID="{452A27DD-2B96-4054-BB8A-8FB8456F0DDE}" presName="hierChild5" presStyleCnt="0"/>
      <dgm:spPr/>
    </dgm:pt>
    <dgm:pt modelId="{5C21A124-E306-450F-B62E-F73B71868C04}" type="pres">
      <dgm:prSet presAssocID="{5CF7E166-D11C-417C-8F5C-2D4B84069C48}" presName="hierChild5" presStyleCnt="0"/>
      <dgm:spPr/>
    </dgm:pt>
    <dgm:pt modelId="{08C6687D-79D0-4ABB-A9D4-B541BE8432FF}" type="pres">
      <dgm:prSet presAssocID="{3564F58A-B00E-4A33-86FC-02B27BC4CFDD}" presName="hierChild5" presStyleCnt="0"/>
      <dgm:spPr/>
    </dgm:pt>
    <dgm:pt modelId="{024B4A9C-998B-43AF-985B-CB91FE22E5CE}" type="pres">
      <dgm:prSet presAssocID="{142E6B86-17F2-47E6-BF08-0DF310027528}" presName="Name37" presStyleLbl="parChTrans1D2" presStyleIdx="2" presStyleCnt="3"/>
      <dgm:spPr/>
      <dgm:t>
        <a:bodyPr/>
        <a:lstStyle/>
        <a:p>
          <a:endParaRPr lang="ru-RU"/>
        </a:p>
      </dgm:t>
    </dgm:pt>
    <dgm:pt modelId="{480AF505-DA76-459B-9A9E-19DF39F9C067}" type="pres">
      <dgm:prSet presAssocID="{0A277965-C312-4239-8E92-EE684B367203}" presName="hierRoot2" presStyleCnt="0">
        <dgm:presLayoutVars>
          <dgm:hierBranch val="init"/>
        </dgm:presLayoutVars>
      </dgm:prSet>
      <dgm:spPr/>
    </dgm:pt>
    <dgm:pt modelId="{EC615434-A54E-48B5-BDBC-3A7947D207B6}" type="pres">
      <dgm:prSet presAssocID="{0A277965-C312-4239-8E92-EE684B367203}" presName="rootComposite" presStyleCnt="0"/>
      <dgm:spPr/>
    </dgm:pt>
    <dgm:pt modelId="{B6F1283A-13E2-4272-BC81-F5CE85918F70}" type="pres">
      <dgm:prSet presAssocID="{0A277965-C312-4239-8E92-EE684B367203}" presName="rootText" presStyleLbl="node2" presStyleIdx="2" presStyleCnt="3" custLinFactNeighborX="45133" custLinFactNeighborY="-39830">
        <dgm:presLayoutVars>
          <dgm:chPref val="3"/>
        </dgm:presLayoutVars>
      </dgm:prSet>
      <dgm:spPr/>
      <dgm:t>
        <a:bodyPr/>
        <a:lstStyle/>
        <a:p>
          <a:endParaRPr lang="ru-RU"/>
        </a:p>
      </dgm:t>
    </dgm:pt>
    <dgm:pt modelId="{A931239F-0E5C-498A-A39B-A5A06CE0AD20}" type="pres">
      <dgm:prSet presAssocID="{0A277965-C312-4239-8E92-EE684B367203}" presName="rootConnector" presStyleLbl="node2" presStyleIdx="2" presStyleCnt="3"/>
      <dgm:spPr/>
      <dgm:t>
        <a:bodyPr/>
        <a:lstStyle/>
        <a:p>
          <a:endParaRPr lang="ru-RU"/>
        </a:p>
      </dgm:t>
    </dgm:pt>
    <dgm:pt modelId="{E2B8E897-44CD-472B-AE8E-4EDCA1F4DE84}" type="pres">
      <dgm:prSet presAssocID="{0A277965-C312-4239-8E92-EE684B367203}" presName="hierChild4" presStyleCnt="0"/>
      <dgm:spPr/>
    </dgm:pt>
    <dgm:pt modelId="{3900F640-5C0C-4EEF-873B-3FE2A851BBC1}" type="pres">
      <dgm:prSet presAssocID="{0A277965-C312-4239-8E92-EE684B367203}" presName="hierChild5" presStyleCnt="0"/>
      <dgm:spPr/>
    </dgm:pt>
    <dgm:pt modelId="{8499276F-B6C0-468A-8990-FE9934530006}" type="pres">
      <dgm:prSet presAssocID="{0E0D66D3-C569-48A5-BC06-08A5968691D8}" presName="hierChild3" presStyleCnt="0"/>
      <dgm:spPr/>
    </dgm:pt>
  </dgm:ptLst>
  <dgm:cxnLst>
    <dgm:cxn modelId="{AC84B93A-9717-4B39-AEC8-B5DCCDED9B4A}" type="presOf" srcId="{870730BE-9199-4776-8187-5C8246C65F83}" destId="{84D0ABFA-17A9-4FB7-8F4B-8FCB4182F045}" srcOrd="0" destOrd="0" presId="urn:microsoft.com/office/officeart/2005/8/layout/orgChart1"/>
    <dgm:cxn modelId="{DBADE0D5-140C-487F-959F-AC0DE09EEFBD}" type="presOf" srcId="{142E6B86-17F2-47E6-BF08-0DF310027528}" destId="{024B4A9C-998B-43AF-985B-CB91FE22E5CE}" srcOrd="0" destOrd="0" presId="urn:microsoft.com/office/officeart/2005/8/layout/orgChart1"/>
    <dgm:cxn modelId="{8C98C80D-10EC-4220-AFFE-1CA35C6AF1B2}" type="presOf" srcId="{5CF7E166-D11C-417C-8F5C-2D4B84069C48}" destId="{97CBB28C-9945-4119-9D70-8EB1D93D82E6}" srcOrd="0" destOrd="0" presId="urn:microsoft.com/office/officeart/2005/8/layout/orgChart1"/>
    <dgm:cxn modelId="{E2CA05D8-23E9-4A0D-BD67-FA43F0336400}" type="presOf" srcId="{0F66B608-1734-44A2-B2C3-E7C30E7E193B}" destId="{54B8BDE3-3265-45BD-B274-7946D23E591C}" srcOrd="0" destOrd="0" presId="urn:microsoft.com/office/officeart/2005/8/layout/orgChart1"/>
    <dgm:cxn modelId="{73F742CF-53DC-411C-B8F4-3F0C88BB7D96}" type="presOf" srcId="{0E0D66D3-C569-48A5-BC06-08A5968691D8}" destId="{D6E343DE-C0B0-45B8-BC7B-CE2976872833}" srcOrd="0" destOrd="0" presId="urn:microsoft.com/office/officeart/2005/8/layout/orgChart1"/>
    <dgm:cxn modelId="{035E9558-4362-4384-8C86-D23B352C1C10}" srcId="{A8C82919-C150-4116-BEA0-BACB733A40F6}" destId="{0E0D66D3-C569-48A5-BC06-08A5968691D8}" srcOrd="0" destOrd="0" parTransId="{40DF7234-9A09-4950-93F9-CD959A885E0C}" sibTransId="{0DF4EB90-2CDB-40A5-8B0F-95FF6FF983D2}"/>
    <dgm:cxn modelId="{39EB221A-0D40-4A2A-BAE3-E0868C399189}" type="presOf" srcId="{0F66B608-1734-44A2-B2C3-E7C30E7E193B}" destId="{1039DE5A-005B-4B08-A6C0-DDB1A32EFDCD}" srcOrd="1" destOrd="0" presId="urn:microsoft.com/office/officeart/2005/8/layout/orgChart1"/>
    <dgm:cxn modelId="{6C7985C6-A18E-4555-9283-060AD13CE131}" type="presOf" srcId="{0A277965-C312-4239-8E92-EE684B367203}" destId="{A931239F-0E5C-498A-A39B-A5A06CE0AD20}" srcOrd="1" destOrd="0" presId="urn:microsoft.com/office/officeart/2005/8/layout/orgChart1"/>
    <dgm:cxn modelId="{52845A78-32A4-4041-83A9-576C8C8BA06B}" type="presOf" srcId="{190A4B77-286A-4911-9EAE-53BD033DEFFC}" destId="{48F5E855-5D2C-4D77-9057-AEA392737F16}" srcOrd="0" destOrd="0" presId="urn:microsoft.com/office/officeart/2005/8/layout/orgChart1"/>
    <dgm:cxn modelId="{6C5195DE-4210-4C8E-B741-F5E7452E47B6}" type="presOf" srcId="{0E0D66D3-C569-48A5-BC06-08A5968691D8}" destId="{4FF0F712-942B-462C-A7A5-6057E85C654E}" srcOrd="1" destOrd="0" presId="urn:microsoft.com/office/officeart/2005/8/layout/orgChart1"/>
    <dgm:cxn modelId="{A644162F-21D7-4278-8325-785208792CCA}" type="presOf" srcId="{3564F58A-B00E-4A33-86FC-02B27BC4CFDD}" destId="{B93A17A3-9D23-466A-BD30-7D7A4412C960}" srcOrd="1" destOrd="0" presId="urn:microsoft.com/office/officeart/2005/8/layout/orgChart1"/>
    <dgm:cxn modelId="{0C9A6C90-49CE-420F-8C11-4FAC80A10FB5}" type="presOf" srcId="{95250489-406E-4FA9-9291-D271C14639D5}" destId="{08A732BA-DF24-44D7-8993-EF2DE2B55857}" srcOrd="1" destOrd="0" presId="urn:microsoft.com/office/officeart/2005/8/layout/orgChart1"/>
    <dgm:cxn modelId="{612C407E-2D73-4A08-9E7D-861C96DE59F3}" srcId="{452A27DD-2B96-4054-BB8A-8FB8456F0DDE}" destId="{95250489-406E-4FA9-9291-D271C14639D5}" srcOrd="0" destOrd="0" parTransId="{EF7042DD-2360-47B0-A928-A2C01092CA44}" sibTransId="{97904EC7-5435-4E06-8105-D0B2DFEA9502}"/>
    <dgm:cxn modelId="{3B03EE2F-F75A-46B2-B89E-221933DB6144}" type="presOf" srcId="{A8C82919-C150-4116-BEA0-BACB733A40F6}" destId="{A7512F3F-A808-4622-A72C-009AAA6E02D3}" srcOrd="0" destOrd="0" presId="urn:microsoft.com/office/officeart/2005/8/layout/orgChart1"/>
    <dgm:cxn modelId="{3C4F3C6B-A2CA-42B6-A738-D1AF1C72C81D}" type="presOf" srcId="{5CF7E166-D11C-417C-8F5C-2D4B84069C48}" destId="{7F3A20F1-D638-42CF-B36A-7FC6C3AE50D4}" srcOrd="1" destOrd="0" presId="urn:microsoft.com/office/officeart/2005/8/layout/orgChart1"/>
    <dgm:cxn modelId="{F761FE82-EDF1-43AE-8CFF-C12F6DFEF458}" type="presOf" srcId="{452A27DD-2B96-4054-BB8A-8FB8456F0DDE}" destId="{A1EB3343-875F-4207-AEC9-ABAADDB6069B}" srcOrd="0" destOrd="0" presId="urn:microsoft.com/office/officeart/2005/8/layout/orgChart1"/>
    <dgm:cxn modelId="{7DB97B07-5761-46B4-A2AB-186962F7CDA0}" srcId="{5CF7E166-D11C-417C-8F5C-2D4B84069C48}" destId="{452A27DD-2B96-4054-BB8A-8FB8456F0DDE}" srcOrd="0" destOrd="0" parTransId="{190A4B77-286A-4911-9EAE-53BD033DEFFC}" sibTransId="{2044701C-4E5D-4EF8-AD71-A2BAAED8322B}"/>
    <dgm:cxn modelId="{0462C0D9-7005-441E-AF6F-1CF83B6B77F5}" type="presOf" srcId="{4AD0B8C2-F9C0-4B57-A26D-A69A92457B1B}" destId="{EF784ADD-4C43-43D5-AC5A-5F06B9BE0E82}" srcOrd="0" destOrd="0" presId="urn:microsoft.com/office/officeart/2005/8/layout/orgChart1"/>
    <dgm:cxn modelId="{28A952CF-4DF4-44E6-99DF-BBD4CD782023}" srcId="{0E0D66D3-C569-48A5-BC06-08A5968691D8}" destId="{0A277965-C312-4239-8E92-EE684B367203}" srcOrd="2" destOrd="0" parTransId="{142E6B86-17F2-47E6-BF08-0DF310027528}" sibTransId="{2118484E-8667-4F8C-A873-08EECC61EF48}"/>
    <dgm:cxn modelId="{0ECB74BE-B662-4706-9488-F7249A4B6264}" type="presOf" srcId="{EF7042DD-2360-47B0-A928-A2C01092CA44}" destId="{0E1CE0C0-77FE-479D-980A-BCCDE04A0B1D}" srcOrd="0" destOrd="0" presId="urn:microsoft.com/office/officeart/2005/8/layout/orgChart1"/>
    <dgm:cxn modelId="{D0BCDD7A-1D8E-40DD-89B6-D99EA63A9415}" type="presOf" srcId="{95250489-406E-4FA9-9291-D271C14639D5}" destId="{8D4CB2CB-754F-433D-B860-635C31AC1FC4}" srcOrd="0" destOrd="0" presId="urn:microsoft.com/office/officeart/2005/8/layout/orgChart1"/>
    <dgm:cxn modelId="{DAB37D0E-915C-4151-A1AE-7FB7F786EECE}" srcId="{0E0D66D3-C569-48A5-BC06-08A5968691D8}" destId="{3564F58A-B00E-4A33-86FC-02B27BC4CFDD}" srcOrd="1" destOrd="0" parTransId="{DAFBAA57-0953-44AB-9601-CDECF5AB158E}" sibTransId="{ACCEC723-1078-499A-8ABC-8F39524248FD}"/>
    <dgm:cxn modelId="{3CFF4D07-F8ED-449E-B55A-C30768B170B3}" type="presOf" srcId="{DAFBAA57-0953-44AB-9601-CDECF5AB158E}" destId="{F7045D27-BF4F-46B9-9446-DCAD43F3E13D}" srcOrd="0" destOrd="0" presId="urn:microsoft.com/office/officeart/2005/8/layout/orgChart1"/>
    <dgm:cxn modelId="{89B5A7DA-656D-4014-9B21-3B63FF60476E}" type="presOf" srcId="{3564F58A-B00E-4A33-86FC-02B27BC4CFDD}" destId="{1C96D90C-B622-4210-979F-C69830CC5304}" srcOrd="0" destOrd="0" presId="urn:microsoft.com/office/officeart/2005/8/layout/orgChart1"/>
    <dgm:cxn modelId="{6F6ACD1C-E3B1-4F85-83D7-58EA61E9B1F8}" srcId="{0E0D66D3-C569-48A5-BC06-08A5968691D8}" destId="{0F66B608-1734-44A2-B2C3-E7C30E7E193B}" srcOrd="0" destOrd="0" parTransId="{4AD0B8C2-F9C0-4B57-A26D-A69A92457B1B}" sibTransId="{8BE16AC7-319F-4EA4-984E-801E38F22151}"/>
    <dgm:cxn modelId="{E37C436A-39ED-4C44-BC6D-115834DCAF9C}" srcId="{3564F58A-B00E-4A33-86FC-02B27BC4CFDD}" destId="{5CF7E166-D11C-417C-8F5C-2D4B84069C48}" srcOrd="0" destOrd="0" parTransId="{870730BE-9199-4776-8187-5C8246C65F83}" sibTransId="{AD5AD973-9EFA-44C9-84DE-570CDEA63345}"/>
    <dgm:cxn modelId="{DAD27236-D3A3-49C7-93C8-4FD5CAFF3C6E}" type="presOf" srcId="{452A27DD-2B96-4054-BB8A-8FB8456F0DDE}" destId="{921D822E-A7D1-40AE-9C32-FE8F55FDAB86}" srcOrd="1" destOrd="0" presId="urn:microsoft.com/office/officeart/2005/8/layout/orgChart1"/>
    <dgm:cxn modelId="{B143579F-8CFA-467F-BA91-A42543D17E32}" type="presOf" srcId="{0A277965-C312-4239-8E92-EE684B367203}" destId="{B6F1283A-13E2-4272-BC81-F5CE85918F70}" srcOrd="0" destOrd="0" presId="urn:microsoft.com/office/officeart/2005/8/layout/orgChart1"/>
    <dgm:cxn modelId="{9E62DECD-07B6-4A84-9511-6FAB70AFD307}" type="presParOf" srcId="{A7512F3F-A808-4622-A72C-009AAA6E02D3}" destId="{2163E852-3EC6-4B73-8513-98E425357645}" srcOrd="0" destOrd="0" presId="urn:microsoft.com/office/officeart/2005/8/layout/orgChart1"/>
    <dgm:cxn modelId="{38DB6182-8ECD-421D-B994-EEFA96503733}" type="presParOf" srcId="{2163E852-3EC6-4B73-8513-98E425357645}" destId="{E291A5B0-676A-45AA-B86F-2CFD5BFB977E}" srcOrd="0" destOrd="0" presId="urn:microsoft.com/office/officeart/2005/8/layout/orgChart1"/>
    <dgm:cxn modelId="{2A4F2B26-3340-461B-B1B0-82842A9DED88}" type="presParOf" srcId="{E291A5B0-676A-45AA-B86F-2CFD5BFB977E}" destId="{D6E343DE-C0B0-45B8-BC7B-CE2976872833}" srcOrd="0" destOrd="0" presId="urn:microsoft.com/office/officeart/2005/8/layout/orgChart1"/>
    <dgm:cxn modelId="{6038693E-568F-4336-BB55-328BDE01048B}" type="presParOf" srcId="{E291A5B0-676A-45AA-B86F-2CFD5BFB977E}" destId="{4FF0F712-942B-462C-A7A5-6057E85C654E}" srcOrd="1" destOrd="0" presId="urn:microsoft.com/office/officeart/2005/8/layout/orgChart1"/>
    <dgm:cxn modelId="{6F2130CA-B53C-4E01-A056-486CE8510535}" type="presParOf" srcId="{2163E852-3EC6-4B73-8513-98E425357645}" destId="{D098D938-9958-4769-808A-078AAA654C57}" srcOrd="1" destOrd="0" presId="urn:microsoft.com/office/officeart/2005/8/layout/orgChart1"/>
    <dgm:cxn modelId="{4DD23528-8C79-43B2-B394-87C1C1C0C769}" type="presParOf" srcId="{D098D938-9958-4769-808A-078AAA654C57}" destId="{EF784ADD-4C43-43D5-AC5A-5F06B9BE0E82}" srcOrd="0" destOrd="0" presId="urn:microsoft.com/office/officeart/2005/8/layout/orgChart1"/>
    <dgm:cxn modelId="{9C28B430-787D-46B2-BC54-0350B9E47E08}" type="presParOf" srcId="{D098D938-9958-4769-808A-078AAA654C57}" destId="{261555F3-68F4-47CD-89DB-7285A9298564}" srcOrd="1" destOrd="0" presId="urn:microsoft.com/office/officeart/2005/8/layout/orgChart1"/>
    <dgm:cxn modelId="{99916EFC-8FC5-49EF-BC09-8FA844BA8486}" type="presParOf" srcId="{261555F3-68F4-47CD-89DB-7285A9298564}" destId="{BA4A9ABB-9330-4EA0-8726-741096498887}" srcOrd="0" destOrd="0" presId="urn:microsoft.com/office/officeart/2005/8/layout/orgChart1"/>
    <dgm:cxn modelId="{CD4F2D6F-4546-4605-80E7-8A67F9AD02DD}" type="presParOf" srcId="{BA4A9ABB-9330-4EA0-8726-741096498887}" destId="{54B8BDE3-3265-45BD-B274-7946D23E591C}" srcOrd="0" destOrd="0" presId="urn:microsoft.com/office/officeart/2005/8/layout/orgChart1"/>
    <dgm:cxn modelId="{041AF5FD-8359-43B3-B900-32717BD9B62C}" type="presParOf" srcId="{BA4A9ABB-9330-4EA0-8726-741096498887}" destId="{1039DE5A-005B-4B08-A6C0-DDB1A32EFDCD}" srcOrd="1" destOrd="0" presId="urn:microsoft.com/office/officeart/2005/8/layout/orgChart1"/>
    <dgm:cxn modelId="{FF3C0528-4A59-4731-9915-14B7C68D4FEF}" type="presParOf" srcId="{261555F3-68F4-47CD-89DB-7285A9298564}" destId="{9A4952D0-8BFA-475E-B988-7B80FC1B71A1}" srcOrd="1" destOrd="0" presId="urn:microsoft.com/office/officeart/2005/8/layout/orgChart1"/>
    <dgm:cxn modelId="{84F695A0-986B-4265-A42E-90B649E2DF38}" type="presParOf" srcId="{261555F3-68F4-47CD-89DB-7285A9298564}" destId="{A6AD52E8-EFBB-4676-90B6-D83C973177D6}" srcOrd="2" destOrd="0" presId="urn:microsoft.com/office/officeart/2005/8/layout/orgChart1"/>
    <dgm:cxn modelId="{9939CB5B-16C7-4277-9349-C63EBE388244}" type="presParOf" srcId="{D098D938-9958-4769-808A-078AAA654C57}" destId="{F7045D27-BF4F-46B9-9446-DCAD43F3E13D}" srcOrd="2" destOrd="0" presId="urn:microsoft.com/office/officeart/2005/8/layout/orgChart1"/>
    <dgm:cxn modelId="{E09BD7D4-C221-4336-B00B-D46E10DC2C22}" type="presParOf" srcId="{D098D938-9958-4769-808A-078AAA654C57}" destId="{2D288E0B-7FBE-41C3-B05C-6214E690A2C5}" srcOrd="3" destOrd="0" presId="urn:microsoft.com/office/officeart/2005/8/layout/orgChart1"/>
    <dgm:cxn modelId="{88E944C7-DDC6-49DE-AB3B-E7A369EBCFFD}" type="presParOf" srcId="{2D288E0B-7FBE-41C3-B05C-6214E690A2C5}" destId="{87696222-8E51-44FF-A6B5-2231B77B2242}" srcOrd="0" destOrd="0" presId="urn:microsoft.com/office/officeart/2005/8/layout/orgChart1"/>
    <dgm:cxn modelId="{855A48A5-C038-4FAF-BA52-5B80115A65F2}" type="presParOf" srcId="{87696222-8E51-44FF-A6B5-2231B77B2242}" destId="{1C96D90C-B622-4210-979F-C69830CC5304}" srcOrd="0" destOrd="0" presId="urn:microsoft.com/office/officeart/2005/8/layout/orgChart1"/>
    <dgm:cxn modelId="{077E3B8E-211F-466E-B8F8-9CB0F8AEF0A3}" type="presParOf" srcId="{87696222-8E51-44FF-A6B5-2231B77B2242}" destId="{B93A17A3-9D23-466A-BD30-7D7A4412C960}" srcOrd="1" destOrd="0" presId="urn:microsoft.com/office/officeart/2005/8/layout/orgChart1"/>
    <dgm:cxn modelId="{E8CED749-B576-45C6-A3F3-6C9FB65CD7CD}" type="presParOf" srcId="{2D288E0B-7FBE-41C3-B05C-6214E690A2C5}" destId="{4E734083-BE10-4E46-939F-99AF810EB2BF}" srcOrd="1" destOrd="0" presId="urn:microsoft.com/office/officeart/2005/8/layout/orgChart1"/>
    <dgm:cxn modelId="{09116516-5C63-471E-9876-E2F591809CA1}" type="presParOf" srcId="{4E734083-BE10-4E46-939F-99AF810EB2BF}" destId="{84D0ABFA-17A9-4FB7-8F4B-8FCB4182F045}" srcOrd="0" destOrd="0" presId="urn:microsoft.com/office/officeart/2005/8/layout/orgChart1"/>
    <dgm:cxn modelId="{CEBCDF63-B700-4B93-8FB9-349580C89CE3}" type="presParOf" srcId="{4E734083-BE10-4E46-939F-99AF810EB2BF}" destId="{2047DCB6-FDAB-4C3A-942C-76774AE63640}" srcOrd="1" destOrd="0" presId="urn:microsoft.com/office/officeart/2005/8/layout/orgChart1"/>
    <dgm:cxn modelId="{2CE4D6F2-1E2E-44CF-8B6B-858DD5A474E5}" type="presParOf" srcId="{2047DCB6-FDAB-4C3A-942C-76774AE63640}" destId="{59464C2E-CF80-49D8-B3E4-5BE3DC4E5704}" srcOrd="0" destOrd="0" presId="urn:microsoft.com/office/officeart/2005/8/layout/orgChart1"/>
    <dgm:cxn modelId="{E5AEA837-C541-4D02-B8AB-204E346CE2AF}" type="presParOf" srcId="{59464C2E-CF80-49D8-B3E4-5BE3DC4E5704}" destId="{97CBB28C-9945-4119-9D70-8EB1D93D82E6}" srcOrd="0" destOrd="0" presId="urn:microsoft.com/office/officeart/2005/8/layout/orgChart1"/>
    <dgm:cxn modelId="{AFF60D65-EE61-4FD6-B556-119024AE5D72}" type="presParOf" srcId="{59464C2E-CF80-49D8-B3E4-5BE3DC4E5704}" destId="{7F3A20F1-D638-42CF-B36A-7FC6C3AE50D4}" srcOrd="1" destOrd="0" presId="urn:microsoft.com/office/officeart/2005/8/layout/orgChart1"/>
    <dgm:cxn modelId="{820D2A7C-1967-49AA-A6A5-C3D7C347E510}" type="presParOf" srcId="{2047DCB6-FDAB-4C3A-942C-76774AE63640}" destId="{E65A4240-8811-49F1-A62D-D114E192E6AF}" srcOrd="1" destOrd="0" presId="urn:microsoft.com/office/officeart/2005/8/layout/orgChart1"/>
    <dgm:cxn modelId="{9B377065-B72A-4386-8A58-5065E6B7DF0D}" type="presParOf" srcId="{E65A4240-8811-49F1-A62D-D114E192E6AF}" destId="{48F5E855-5D2C-4D77-9057-AEA392737F16}" srcOrd="0" destOrd="0" presId="urn:microsoft.com/office/officeart/2005/8/layout/orgChart1"/>
    <dgm:cxn modelId="{79817AAF-A39A-47AA-B94B-5F97B306AAB0}" type="presParOf" srcId="{E65A4240-8811-49F1-A62D-D114E192E6AF}" destId="{6D8E10D0-DAB7-4872-8195-ACA317FA65CE}" srcOrd="1" destOrd="0" presId="urn:microsoft.com/office/officeart/2005/8/layout/orgChart1"/>
    <dgm:cxn modelId="{F8EBFDED-0945-4DBA-96BE-86460E2A50FC}" type="presParOf" srcId="{6D8E10D0-DAB7-4872-8195-ACA317FA65CE}" destId="{20EF1B1C-342C-41FC-BFF7-3900F098B881}" srcOrd="0" destOrd="0" presId="urn:microsoft.com/office/officeart/2005/8/layout/orgChart1"/>
    <dgm:cxn modelId="{8BDEBCB3-FF40-4131-B7E7-65F1C23AAC3F}" type="presParOf" srcId="{20EF1B1C-342C-41FC-BFF7-3900F098B881}" destId="{A1EB3343-875F-4207-AEC9-ABAADDB6069B}" srcOrd="0" destOrd="0" presId="urn:microsoft.com/office/officeart/2005/8/layout/orgChart1"/>
    <dgm:cxn modelId="{C0EAD3BF-86AC-44CD-A587-ACE549EE1E4C}" type="presParOf" srcId="{20EF1B1C-342C-41FC-BFF7-3900F098B881}" destId="{921D822E-A7D1-40AE-9C32-FE8F55FDAB86}" srcOrd="1" destOrd="0" presId="urn:microsoft.com/office/officeart/2005/8/layout/orgChart1"/>
    <dgm:cxn modelId="{BCC944C1-D6A5-4555-8467-8A131253D94E}" type="presParOf" srcId="{6D8E10D0-DAB7-4872-8195-ACA317FA65CE}" destId="{261158B9-4520-4F82-9E24-9CED1B7801B0}" srcOrd="1" destOrd="0" presId="urn:microsoft.com/office/officeart/2005/8/layout/orgChart1"/>
    <dgm:cxn modelId="{D67DEEA7-15F5-4468-9B48-5DBBA96CC9F3}" type="presParOf" srcId="{261158B9-4520-4F82-9E24-9CED1B7801B0}" destId="{0E1CE0C0-77FE-479D-980A-BCCDE04A0B1D}" srcOrd="0" destOrd="0" presId="urn:microsoft.com/office/officeart/2005/8/layout/orgChart1"/>
    <dgm:cxn modelId="{E0CB7820-0C1E-4609-ADCB-BDABFCBAA06B}" type="presParOf" srcId="{261158B9-4520-4F82-9E24-9CED1B7801B0}" destId="{A95DC4C8-30A4-4AC9-A127-C50E06AA4F3D}" srcOrd="1" destOrd="0" presId="urn:microsoft.com/office/officeart/2005/8/layout/orgChart1"/>
    <dgm:cxn modelId="{B5E26557-0088-4985-BF0E-5A31A8E17FE6}" type="presParOf" srcId="{A95DC4C8-30A4-4AC9-A127-C50E06AA4F3D}" destId="{EFB5BD13-0050-41ED-B27B-49A2CC3BEA7C}" srcOrd="0" destOrd="0" presId="urn:microsoft.com/office/officeart/2005/8/layout/orgChart1"/>
    <dgm:cxn modelId="{C5BBBF3D-8906-4F1B-B9C1-688E0C63CF2F}" type="presParOf" srcId="{EFB5BD13-0050-41ED-B27B-49A2CC3BEA7C}" destId="{8D4CB2CB-754F-433D-B860-635C31AC1FC4}" srcOrd="0" destOrd="0" presId="urn:microsoft.com/office/officeart/2005/8/layout/orgChart1"/>
    <dgm:cxn modelId="{743C79BC-C138-4950-8A69-89789C32B828}" type="presParOf" srcId="{EFB5BD13-0050-41ED-B27B-49A2CC3BEA7C}" destId="{08A732BA-DF24-44D7-8993-EF2DE2B55857}" srcOrd="1" destOrd="0" presId="urn:microsoft.com/office/officeart/2005/8/layout/orgChart1"/>
    <dgm:cxn modelId="{5C6BF162-C8DC-409C-A989-2B60F3EB2082}" type="presParOf" srcId="{A95DC4C8-30A4-4AC9-A127-C50E06AA4F3D}" destId="{37321F50-B388-4BD1-8DB9-D1F772E79B6D}" srcOrd="1" destOrd="0" presId="urn:microsoft.com/office/officeart/2005/8/layout/orgChart1"/>
    <dgm:cxn modelId="{8B9B6D4F-4301-4015-B7C3-4A15E6E30AC2}" type="presParOf" srcId="{A95DC4C8-30A4-4AC9-A127-C50E06AA4F3D}" destId="{EB8ED7C2-BA36-4AEE-AF5F-3B7C3DA20116}" srcOrd="2" destOrd="0" presId="urn:microsoft.com/office/officeart/2005/8/layout/orgChart1"/>
    <dgm:cxn modelId="{5C243418-8115-489E-8DA7-AC8152E2890C}" type="presParOf" srcId="{6D8E10D0-DAB7-4872-8195-ACA317FA65CE}" destId="{7FB88575-34F6-428D-B5BC-55785F39582E}" srcOrd="2" destOrd="0" presId="urn:microsoft.com/office/officeart/2005/8/layout/orgChart1"/>
    <dgm:cxn modelId="{746A7BC3-F84D-42AF-9A25-5FCCF28F24BB}" type="presParOf" srcId="{2047DCB6-FDAB-4C3A-942C-76774AE63640}" destId="{5C21A124-E306-450F-B62E-F73B71868C04}" srcOrd="2" destOrd="0" presId="urn:microsoft.com/office/officeart/2005/8/layout/orgChart1"/>
    <dgm:cxn modelId="{444668A7-8B7E-4FF8-89B1-9153A07D96B0}" type="presParOf" srcId="{2D288E0B-7FBE-41C3-B05C-6214E690A2C5}" destId="{08C6687D-79D0-4ABB-A9D4-B541BE8432FF}" srcOrd="2" destOrd="0" presId="urn:microsoft.com/office/officeart/2005/8/layout/orgChart1"/>
    <dgm:cxn modelId="{78B41535-0B2D-4B77-B935-6494946EE5F9}" type="presParOf" srcId="{D098D938-9958-4769-808A-078AAA654C57}" destId="{024B4A9C-998B-43AF-985B-CB91FE22E5CE}" srcOrd="4" destOrd="0" presId="urn:microsoft.com/office/officeart/2005/8/layout/orgChart1"/>
    <dgm:cxn modelId="{E2A37F0E-5677-4398-A6A5-33AD7FB9905D}" type="presParOf" srcId="{D098D938-9958-4769-808A-078AAA654C57}" destId="{480AF505-DA76-459B-9A9E-19DF39F9C067}" srcOrd="5" destOrd="0" presId="urn:microsoft.com/office/officeart/2005/8/layout/orgChart1"/>
    <dgm:cxn modelId="{61A7567A-ABD1-49BC-9117-11B8B2BDA800}" type="presParOf" srcId="{480AF505-DA76-459B-9A9E-19DF39F9C067}" destId="{EC615434-A54E-48B5-BDBC-3A7947D207B6}" srcOrd="0" destOrd="0" presId="urn:microsoft.com/office/officeart/2005/8/layout/orgChart1"/>
    <dgm:cxn modelId="{A216C8E0-B822-42F5-934E-E796CA5CD773}" type="presParOf" srcId="{EC615434-A54E-48B5-BDBC-3A7947D207B6}" destId="{B6F1283A-13E2-4272-BC81-F5CE85918F70}" srcOrd="0" destOrd="0" presId="urn:microsoft.com/office/officeart/2005/8/layout/orgChart1"/>
    <dgm:cxn modelId="{BF9BEC3D-B48A-440F-82DD-91225CBE3A25}" type="presParOf" srcId="{EC615434-A54E-48B5-BDBC-3A7947D207B6}" destId="{A931239F-0E5C-498A-A39B-A5A06CE0AD20}" srcOrd="1" destOrd="0" presId="urn:microsoft.com/office/officeart/2005/8/layout/orgChart1"/>
    <dgm:cxn modelId="{2A3A194A-17F3-4AE7-9048-1788B7494569}" type="presParOf" srcId="{480AF505-DA76-459B-9A9E-19DF39F9C067}" destId="{E2B8E897-44CD-472B-AE8E-4EDCA1F4DE84}" srcOrd="1" destOrd="0" presId="urn:microsoft.com/office/officeart/2005/8/layout/orgChart1"/>
    <dgm:cxn modelId="{3F7E9F94-1157-4EA7-AFF3-06A2AB674DD3}" type="presParOf" srcId="{480AF505-DA76-459B-9A9E-19DF39F9C067}" destId="{3900F640-5C0C-4EEF-873B-3FE2A851BBC1}" srcOrd="2" destOrd="0" presId="urn:microsoft.com/office/officeart/2005/8/layout/orgChart1"/>
    <dgm:cxn modelId="{D32DE8C4-BB02-4A0C-BC3D-5FA0F3AC344C}" type="presParOf" srcId="{2163E852-3EC6-4B73-8513-98E425357645}" destId="{8499276F-B6C0-468A-8990-FE9934530006}"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56ED4-1A8A-4FAF-9CA8-CBCD5FDE72A6}">
      <dsp:nvSpPr>
        <dsp:cNvPr id="0" name=""/>
        <dsp:cNvSpPr/>
      </dsp:nvSpPr>
      <dsp:spPr>
        <a:xfrm>
          <a:off x="1747895" y="1115017"/>
          <a:ext cx="1130638" cy="940691"/>
        </a:xfrm>
        <a:prstGeom prst="ellipse">
          <a:avLst/>
        </a:prstGeom>
        <a:gradFill rotWithShape="0">
          <a:gsLst>
            <a:gs pos="0">
              <a:schemeClr val="accent6">
                <a:lumMod val="60000"/>
                <a:lumOff val="40000"/>
              </a:schemeClr>
            </a:gs>
            <a:gs pos="49000">
              <a:schemeClr val="accent4">
                <a:shade val="60000"/>
                <a:hueOff val="0"/>
                <a:satOff val="0"/>
                <a:lumOff val="0"/>
                <a:alphaOff val="0"/>
                <a:tint val="37000"/>
                <a:satMod val="300000"/>
              </a:schemeClr>
            </a:gs>
            <a:gs pos="100000">
              <a:schemeClr val="accent4">
                <a:lumMod val="75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Сигнальные пути </a:t>
          </a:r>
          <a:r>
            <a:rPr lang="en-US" sz="1200" kern="1200">
              <a:latin typeface="Times New Roman" pitchFamily="18" charset="0"/>
              <a:cs typeface="Times New Roman" pitchFamily="18" charset="0"/>
            </a:rPr>
            <a:t>IL</a:t>
          </a:r>
          <a:r>
            <a:rPr lang="ru-RU" sz="1200" kern="1200">
              <a:latin typeface="Times New Roman" pitchFamily="18" charset="0"/>
              <a:cs typeface="Times New Roman" pitchFamily="18" charset="0"/>
            </a:rPr>
            <a:t>38</a:t>
          </a:r>
        </a:p>
      </dsp:txBody>
      <dsp:txXfrm>
        <a:off x="1913473" y="1252778"/>
        <a:ext cx="799482" cy="665169"/>
      </dsp:txXfrm>
    </dsp:sp>
    <dsp:sp modelId="{02DE1811-86C5-44DB-BFCD-DEE83684BCDB}">
      <dsp:nvSpPr>
        <dsp:cNvPr id="0" name=""/>
        <dsp:cNvSpPr/>
      </dsp:nvSpPr>
      <dsp:spPr>
        <a:xfrm rot="16200000">
          <a:off x="2197879" y="982677"/>
          <a:ext cx="230670" cy="34009"/>
        </a:xfrm>
        <a:custGeom>
          <a:avLst/>
          <a:gdLst/>
          <a:ahLst/>
          <a:cxnLst/>
          <a:rect l="0" t="0" r="0" b="0"/>
          <a:pathLst>
            <a:path>
              <a:moveTo>
                <a:pt x="0" y="17004"/>
              </a:moveTo>
              <a:lnTo>
                <a:pt x="230670" y="17004"/>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2307447" y="993915"/>
        <a:ext cx="11533" cy="11533"/>
      </dsp:txXfrm>
    </dsp:sp>
    <dsp:sp modelId="{56689686-1A12-4C1D-9128-746EE6126F52}">
      <dsp:nvSpPr>
        <dsp:cNvPr id="0" name=""/>
        <dsp:cNvSpPr/>
      </dsp:nvSpPr>
      <dsp:spPr>
        <a:xfrm>
          <a:off x="1876151" y="10220"/>
          <a:ext cx="874126" cy="874126"/>
        </a:xfrm>
        <a:prstGeom prst="ellipse">
          <a:avLst/>
        </a:prstGeom>
        <a:gradFill rotWithShape="0">
          <a:gsLst>
            <a:gs pos="0">
              <a:schemeClr val="accent4">
                <a:shade val="50000"/>
                <a:hueOff val="0"/>
                <a:satOff val="0"/>
                <a:lumOff val="0"/>
                <a:alphaOff val="0"/>
                <a:tint val="50000"/>
                <a:satMod val="300000"/>
              </a:schemeClr>
            </a:gs>
            <a:gs pos="35000">
              <a:schemeClr val="accent4">
                <a:shade val="50000"/>
                <a:hueOff val="0"/>
                <a:satOff val="0"/>
                <a:lumOff val="0"/>
                <a:alphaOff val="0"/>
                <a:tint val="37000"/>
                <a:satMod val="300000"/>
              </a:schemeClr>
            </a:gs>
            <a:gs pos="100000">
              <a:schemeClr val="accent4">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IL-38/IL-36R</a:t>
          </a:r>
          <a:endParaRPr lang="ru-RU" sz="1400" kern="1200">
            <a:latin typeface="Times New Roman" pitchFamily="18" charset="0"/>
            <a:cs typeface="Times New Roman" pitchFamily="18" charset="0"/>
          </a:endParaRPr>
        </a:p>
      </dsp:txBody>
      <dsp:txXfrm>
        <a:off x="2004164" y="138233"/>
        <a:ext cx="618100" cy="618100"/>
      </dsp:txXfrm>
    </dsp:sp>
    <dsp:sp modelId="{C2CDBEDB-AE9C-4461-89E4-442F90D431E0}">
      <dsp:nvSpPr>
        <dsp:cNvPr id="0" name=""/>
        <dsp:cNvSpPr/>
      </dsp:nvSpPr>
      <dsp:spPr>
        <a:xfrm rot="1800000">
          <a:off x="2766628" y="1877686"/>
          <a:ext cx="164717" cy="34009"/>
        </a:xfrm>
        <a:custGeom>
          <a:avLst/>
          <a:gdLst/>
          <a:ahLst/>
          <a:cxnLst/>
          <a:rect l="0" t="0" r="0" b="0"/>
          <a:pathLst>
            <a:path>
              <a:moveTo>
                <a:pt x="0" y="17004"/>
              </a:moveTo>
              <a:lnTo>
                <a:pt x="164717" y="17004"/>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2844869" y="1890573"/>
        <a:ext cx="8235" cy="8235"/>
      </dsp:txXfrm>
    </dsp:sp>
    <dsp:sp modelId="{CDA81056-007C-4CB8-A915-A1EB7BD6ECCB}">
      <dsp:nvSpPr>
        <dsp:cNvPr id="0" name=""/>
        <dsp:cNvSpPr/>
      </dsp:nvSpPr>
      <dsp:spPr>
        <a:xfrm>
          <a:off x="2861756" y="1717339"/>
          <a:ext cx="874126" cy="874126"/>
        </a:xfrm>
        <a:prstGeom prst="ellipse">
          <a:avLst/>
        </a:prstGeom>
        <a:gradFill rotWithShape="0">
          <a:gsLst>
            <a:gs pos="0">
              <a:schemeClr val="accent4">
                <a:shade val="50000"/>
                <a:hueOff val="-139622"/>
                <a:satOff val="-4225"/>
                <a:lumOff val="27741"/>
                <a:alphaOff val="0"/>
                <a:tint val="50000"/>
                <a:satMod val="300000"/>
              </a:schemeClr>
            </a:gs>
            <a:gs pos="35000">
              <a:schemeClr val="accent4">
                <a:shade val="50000"/>
                <a:hueOff val="-139622"/>
                <a:satOff val="-4225"/>
                <a:lumOff val="27741"/>
                <a:alphaOff val="0"/>
                <a:tint val="37000"/>
                <a:satMod val="300000"/>
              </a:schemeClr>
            </a:gs>
            <a:gs pos="100000">
              <a:schemeClr val="accent4">
                <a:shade val="50000"/>
                <a:hueOff val="-139622"/>
                <a:satOff val="-4225"/>
                <a:lumOff val="277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IL-38/IL1RAPL1</a:t>
          </a:r>
          <a:endParaRPr lang="ru-RU" sz="1400" kern="1200">
            <a:latin typeface="Times New Roman" pitchFamily="18" charset="0"/>
            <a:cs typeface="Times New Roman" pitchFamily="18" charset="0"/>
          </a:endParaRPr>
        </a:p>
      </dsp:txBody>
      <dsp:txXfrm>
        <a:off x="2989769" y="1845352"/>
        <a:ext cx="618100" cy="618100"/>
      </dsp:txXfrm>
    </dsp:sp>
    <dsp:sp modelId="{A95DC6E6-C2FC-46ED-8A59-DB3EC82C00F7}">
      <dsp:nvSpPr>
        <dsp:cNvPr id="0" name=""/>
        <dsp:cNvSpPr/>
      </dsp:nvSpPr>
      <dsp:spPr>
        <a:xfrm rot="9000000">
          <a:off x="1695082" y="1877686"/>
          <a:ext cx="164717" cy="34009"/>
        </a:xfrm>
        <a:custGeom>
          <a:avLst/>
          <a:gdLst/>
          <a:ahLst/>
          <a:cxnLst/>
          <a:rect l="0" t="0" r="0" b="0"/>
          <a:pathLst>
            <a:path>
              <a:moveTo>
                <a:pt x="0" y="17004"/>
              </a:moveTo>
              <a:lnTo>
                <a:pt x="164717" y="17004"/>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10800000">
        <a:off x="1773323" y="1890573"/>
        <a:ext cx="8235" cy="8235"/>
      </dsp:txXfrm>
    </dsp:sp>
    <dsp:sp modelId="{017385CD-0E97-4034-A5A2-3852DF67606D}">
      <dsp:nvSpPr>
        <dsp:cNvPr id="0" name=""/>
        <dsp:cNvSpPr/>
      </dsp:nvSpPr>
      <dsp:spPr>
        <a:xfrm>
          <a:off x="890545" y="1717339"/>
          <a:ext cx="874126" cy="874126"/>
        </a:xfrm>
        <a:prstGeom prst="ellipse">
          <a:avLst/>
        </a:prstGeom>
        <a:gradFill rotWithShape="0">
          <a:gsLst>
            <a:gs pos="0">
              <a:schemeClr val="accent4">
                <a:shade val="50000"/>
                <a:hueOff val="-139622"/>
                <a:satOff val="-4225"/>
                <a:lumOff val="27741"/>
                <a:alphaOff val="0"/>
                <a:tint val="50000"/>
                <a:satMod val="300000"/>
              </a:schemeClr>
            </a:gs>
            <a:gs pos="35000">
              <a:schemeClr val="accent4">
                <a:shade val="50000"/>
                <a:hueOff val="-139622"/>
                <a:satOff val="-4225"/>
                <a:lumOff val="27741"/>
                <a:alphaOff val="0"/>
                <a:tint val="37000"/>
                <a:satMod val="300000"/>
              </a:schemeClr>
            </a:gs>
            <a:gs pos="100000">
              <a:schemeClr val="accent4">
                <a:shade val="50000"/>
                <a:hueOff val="-139622"/>
                <a:satOff val="-4225"/>
                <a:lumOff val="277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IL-38/IL1R1</a:t>
          </a:r>
          <a:endParaRPr lang="ru-RU" sz="1400" kern="1200">
            <a:latin typeface="Times New Roman" pitchFamily="18" charset="0"/>
            <a:cs typeface="Times New Roman" pitchFamily="18" charset="0"/>
          </a:endParaRPr>
        </a:p>
      </dsp:txBody>
      <dsp:txXfrm>
        <a:off x="1018558" y="1845352"/>
        <a:ext cx="618100" cy="618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D55BB-176F-4B5B-9C51-66466F5CC874}">
      <dsp:nvSpPr>
        <dsp:cNvPr id="0" name=""/>
        <dsp:cNvSpPr/>
      </dsp:nvSpPr>
      <dsp:spPr>
        <a:xfrm rot="5400000">
          <a:off x="-256351" y="259308"/>
          <a:ext cx="1709011" cy="1196308"/>
        </a:xfrm>
        <a:prstGeom prst="chevron">
          <a:avLst/>
        </a:prstGeom>
        <a:solidFill>
          <a:schemeClr val="accent4">
            <a:lumMod val="40000"/>
            <a:lumOff val="60000"/>
          </a:schemeClr>
        </a:solid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Легкая</a:t>
          </a:r>
        </a:p>
      </dsp:txBody>
      <dsp:txXfrm rot="-5400000">
        <a:off x="1" y="601110"/>
        <a:ext cx="1196308" cy="512703"/>
      </dsp:txXfrm>
    </dsp:sp>
    <dsp:sp modelId="{546E71CF-DE99-4DC3-82F2-2792F5437168}">
      <dsp:nvSpPr>
        <dsp:cNvPr id="0" name=""/>
        <dsp:cNvSpPr/>
      </dsp:nvSpPr>
      <dsp:spPr>
        <a:xfrm rot="5400000">
          <a:off x="2900225" y="-1700960"/>
          <a:ext cx="1110857" cy="4518691"/>
        </a:xfrm>
        <a:prstGeom prst="round2SameRect">
          <a:avLst/>
        </a:prstGeom>
        <a:solidFill>
          <a:schemeClr val="accent4">
            <a:lumMod val="20000"/>
            <a:lumOff val="80000"/>
            <a:alpha val="90000"/>
          </a:schemeClr>
        </a:solid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Ретракция века &lt;2мм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Незначительные изменения мягких тканей глазницы</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Экзофтальм выше нормы для пола и расы &lt;3мм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Транзиторная диплопия или отсутствие диплопии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Поражение роговицы с положительным эффектом при лечении глазными мазями</a:t>
          </a:r>
        </a:p>
      </dsp:txBody>
      <dsp:txXfrm rot="-5400000">
        <a:off x="1196308" y="57185"/>
        <a:ext cx="4464463" cy="1002401"/>
      </dsp:txXfrm>
    </dsp:sp>
    <dsp:sp modelId="{81FBF376-E3DE-420E-82F7-ADB0C1AA7B86}">
      <dsp:nvSpPr>
        <dsp:cNvPr id="0" name=""/>
        <dsp:cNvSpPr/>
      </dsp:nvSpPr>
      <dsp:spPr>
        <a:xfrm rot="5400000">
          <a:off x="-256351" y="1775475"/>
          <a:ext cx="1709011" cy="1196308"/>
        </a:xfrm>
        <a:prstGeom prst="chevron">
          <a:avLst/>
        </a:prstGeom>
        <a:solidFill>
          <a:schemeClr val="accent4">
            <a:lumMod val="40000"/>
            <a:lumOff val="60000"/>
          </a:schemeClr>
        </a:solid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Умеренной тяжести</a:t>
          </a:r>
        </a:p>
      </dsp:txBody>
      <dsp:txXfrm rot="-5400000">
        <a:off x="1" y="2117277"/>
        <a:ext cx="1196308" cy="512703"/>
      </dsp:txXfrm>
    </dsp:sp>
    <dsp:sp modelId="{BD3ABE53-D7C6-4DD1-8211-D905399847B0}">
      <dsp:nvSpPr>
        <dsp:cNvPr id="0" name=""/>
        <dsp:cNvSpPr/>
      </dsp:nvSpPr>
      <dsp:spPr>
        <a:xfrm rot="5400000">
          <a:off x="2900225" y="-184792"/>
          <a:ext cx="1110857" cy="4518691"/>
        </a:xfrm>
        <a:prstGeom prst="round2SameRect">
          <a:avLst/>
        </a:prstGeom>
        <a:solidFill>
          <a:schemeClr val="accent4">
            <a:lumMod val="20000"/>
            <a:lumOff val="80000"/>
            <a:alpha val="90000"/>
          </a:schemeClr>
        </a:solid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Ретракция века ≥2мм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Умеренно выраженные изменения мягких тканей орбиты</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Экзофтальм ≥3мм выше нормы для пола и расы</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Непостоянная или постоянная диплопия</a:t>
          </a:r>
        </a:p>
      </dsp:txBody>
      <dsp:txXfrm rot="-5400000">
        <a:off x="1196308" y="1573353"/>
        <a:ext cx="4464463" cy="1002401"/>
      </dsp:txXfrm>
    </dsp:sp>
    <dsp:sp modelId="{24C7439E-F6EE-4E9B-BD60-C622C6DA9F7D}">
      <dsp:nvSpPr>
        <dsp:cNvPr id="0" name=""/>
        <dsp:cNvSpPr/>
      </dsp:nvSpPr>
      <dsp:spPr>
        <a:xfrm rot="5400000">
          <a:off x="-256351" y="3291643"/>
          <a:ext cx="1709011" cy="1196308"/>
        </a:xfrm>
        <a:prstGeom prst="chevron">
          <a:avLst/>
        </a:prstGeom>
        <a:solidFill>
          <a:schemeClr val="accent4">
            <a:lumMod val="40000"/>
            <a:lumOff val="60000"/>
          </a:schemeClr>
        </a:solid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Угрожающая потерей зрения</a:t>
          </a:r>
        </a:p>
      </dsp:txBody>
      <dsp:txXfrm rot="-5400000">
        <a:off x="1" y="3633445"/>
        <a:ext cx="1196308" cy="512703"/>
      </dsp:txXfrm>
    </dsp:sp>
    <dsp:sp modelId="{7D6852D7-8C9A-450E-8338-A061EDCE8269}">
      <dsp:nvSpPr>
        <dsp:cNvPr id="0" name=""/>
        <dsp:cNvSpPr/>
      </dsp:nvSpPr>
      <dsp:spPr>
        <a:xfrm rot="5400000">
          <a:off x="2900225" y="1331374"/>
          <a:ext cx="1110857" cy="4518691"/>
        </a:xfrm>
        <a:prstGeom prst="round2SameRect">
          <a:avLst/>
        </a:prstGeom>
        <a:solidFill>
          <a:schemeClr val="accent4">
            <a:lumMod val="20000"/>
            <a:lumOff val="80000"/>
            <a:alpha val="90000"/>
          </a:schemeClr>
        </a:solid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Оптическая нейропатия и/или повреждение роговицы</a:t>
          </a:r>
        </a:p>
      </dsp:txBody>
      <dsp:txXfrm rot="-5400000">
        <a:off x="1196308" y="3089519"/>
        <a:ext cx="4464463" cy="10024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B4A9C-998B-43AF-985B-CB91FE22E5CE}">
      <dsp:nvSpPr>
        <dsp:cNvPr id="0" name=""/>
        <dsp:cNvSpPr/>
      </dsp:nvSpPr>
      <dsp:spPr>
        <a:xfrm>
          <a:off x="2615418" y="636941"/>
          <a:ext cx="2194607" cy="91440"/>
        </a:xfrm>
        <a:custGeom>
          <a:avLst/>
          <a:gdLst/>
          <a:ahLst/>
          <a:cxnLst/>
          <a:rect l="0" t="0" r="0" b="0"/>
          <a:pathLst>
            <a:path>
              <a:moveTo>
                <a:pt x="0" y="45720"/>
              </a:moveTo>
              <a:lnTo>
                <a:pt x="2194607" y="45720"/>
              </a:lnTo>
              <a:lnTo>
                <a:pt x="2194607" y="62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1CE0C0-77FE-479D-980A-BCCDE04A0B1D}">
      <dsp:nvSpPr>
        <dsp:cNvPr id="0" name=""/>
        <dsp:cNvSpPr/>
      </dsp:nvSpPr>
      <dsp:spPr>
        <a:xfrm>
          <a:off x="1259719" y="2761888"/>
          <a:ext cx="91440" cy="363397"/>
        </a:xfrm>
        <a:custGeom>
          <a:avLst/>
          <a:gdLst/>
          <a:ahLst/>
          <a:cxnLst/>
          <a:rect l="0" t="0" r="0" b="0"/>
          <a:pathLst>
            <a:path>
              <a:moveTo>
                <a:pt x="45720" y="0"/>
              </a:moveTo>
              <a:lnTo>
                <a:pt x="45720" y="363397"/>
              </a:lnTo>
              <a:lnTo>
                <a:pt x="99249" y="3633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F5E855-5D2C-4D77-9057-AEA392737F16}">
      <dsp:nvSpPr>
        <dsp:cNvPr id="0" name=""/>
        <dsp:cNvSpPr/>
      </dsp:nvSpPr>
      <dsp:spPr>
        <a:xfrm>
          <a:off x="2827171" y="2230088"/>
          <a:ext cx="91440" cy="144485"/>
        </a:xfrm>
        <a:custGeom>
          <a:avLst/>
          <a:gdLst/>
          <a:ahLst/>
          <a:cxnLst/>
          <a:rect l="0" t="0" r="0" b="0"/>
          <a:pathLst>
            <a:path>
              <a:moveTo>
                <a:pt x="98011" y="0"/>
              </a:moveTo>
              <a:lnTo>
                <a:pt x="98011" y="1126"/>
              </a:lnTo>
              <a:lnTo>
                <a:pt x="45720" y="1126"/>
              </a:lnTo>
              <a:lnTo>
                <a:pt x="45720" y="144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D0ABFA-17A9-4FB7-8F4B-8FCB4182F045}">
      <dsp:nvSpPr>
        <dsp:cNvPr id="0" name=""/>
        <dsp:cNvSpPr/>
      </dsp:nvSpPr>
      <dsp:spPr>
        <a:xfrm>
          <a:off x="2826060" y="1341242"/>
          <a:ext cx="99122" cy="129159"/>
        </a:xfrm>
        <a:custGeom>
          <a:avLst/>
          <a:gdLst/>
          <a:ahLst/>
          <a:cxnLst/>
          <a:rect l="0" t="0" r="0" b="0"/>
          <a:pathLst>
            <a:path>
              <a:moveTo>
                <a:pt x="0" y="0"/>
              </a:moveTo>
              <a:lnTo>
                <a:pt x="99122" y="0"/>
              </a:lnTo>
              <a:lnTo>
                <a:pt x="99122" y="1291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045D27-BF4F-46B9-9446-DCAD43F3E13D}">
      <dsp:nvSpPr>
        <dsp:cNvPr id="0" name=""/>
        <dsp:cNvSpPr/>
      </dsp:nvSpPr>
      <dsp:spPr>
        <a:xfrm>
          <a:off x="2615418" y="636941"/>
          <a:ext cx="210642" cy="91440"/>
        </a:xfrm>
        <a:custGeom>
          <a:avLst/>
          <a:gdLst/>
          <a:ahLst/>
          <a:cxnLst/>
          <a:rect l="0" t="0" r="0" b="0"/>
          <a:pathLst>
            <a:path>
              <a:moveTo>
                <a:pt x="0" y="45720"/>
              </a:moveTo>
              <a:lnTo>
                <a:pt x="210642" y="45720"/>
              </a:lnTo>
              <a:lnTo>
                <a:pt x="210642" y="792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84ADD-4C43-43D5-AC5A-5F06B9BE0E82}">
      <dsp:nvSpPr>
        <dsp:cNvPr id="0" name=""/>
        <dsp:cNvSpPr/>
      </dsp:nvSpPr>
      <dsp:spPr>
        <a:xfrm>
          <a:off x="971432" y="636941"/>
          <a:ext cx="1643986" cy="91440"/>
        </a:xfrm>
        <a:custGeom>
          <a:avLst/>
          <a:gdLst/>
          <a:ahLst/>
          <a:cxnLst/>
          <a:rect l="0" t="0" r="0" b="0"/>
          <a:pathLst>
            <a:path>
              <a:moveTo>
                <a:pt x="1643986" y="45720"/>
              </a:moveTo>
              <a:lnTo>
                <a:pt x="0" y="45720"/>
              </a:lnTo>
              <a:lnTo>
                <a:pt x="0" y="83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E343DE-C0B0-45B8-BC7B-CE2976872833}">
      <dsp:nvSpPr>
        <dsp:cNvPr id="0" name=""/>
        <dsp:cNvSpPr/>
      </dsp:nvSpPr>
      <dsp:spPr>
        <a:xfrm>
          <a:off x="1932756" y="0"/>
          <a:ext cx="1365323" cy="68266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Иммунологическое исследование </a:t>
          </a:r>
          <a:r>
            <a:rPr lang="en-US" sz="1200" kern="1200">
              <a:latin typeface="Times New Roman" pitchFamily="18" charset="0"/>
              <a:cs typeface="Times New Roman" pitchFamily="18" charset="0"/>
            </a:rPr>
            <a:t>(n=87)</a:t>
          </a:r>
          <a:r>
            <a:rPr lang="ru-RU" sz="1200" kern="1200">
              <a:latin typeface="Times New Roman" pitchFamily="18" charset="0"/>
              <a:cs typeface="Times New Roman" pitchFamily="18" charset="0"/>
            </a:rPr>
            <a:t> "кросс-секционное" </a:t>
          </a:r>
        </a:p>
      </dsp:txBody>
      <dsp:txXfrm>
        <a:off x="1932756" y="0"/>
        <a:ext cx="1365323" cy="682661"/>
      </dsp:txXfrm>
    </dsp:sp>
    <dsp:sp modelId="{54B8BDE3-3265-45BD-B274-7946D23E591C}">
      <dsp:nvSpPr>
        <dsp:cNvPr id="0" name=""/>
        <dsp:cNvSpPr/>
      </dsp:nvSpPr>
      <dsp:spPr>
        <a:xfrm>
          <a:off x="288770" y="720354"/>
          <a:ext cx="1365323" cy="68266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Пациенты с активной ЭОП (</a:t>
          </a:r>
          <a:r>
            <a:rPr lang="en-US" sz="1200" kern="1200">
              <a:latin typeface="Times New Roman" pitchFamily="18" charset="0"/>
              <a:cs typeface="Times New Roman" pitchFamily="18" charset="0"/>
            </a:rPr>
            <a:t>n=43</a:t>
          </a:r>
          <a:r>
            <a:rPr lang="ru-RU" sz="1200" kern="1200">
              <a:latin typeface="Times New Roman" pitchFamily="18" charset="0"/>
              <a:cs typeface="Times New Roman" pitchFamily="18" charset="0"/>
            </a:rPr>
            <a:t>)</a:t>
          </a:r>
        </a:p>
      </dsp:txBody>
      <dsp:txXfrm>
        <a:off x="288770" y="720354"/>
        <a:ext cx="1365323" cy="682661"/>
      </dsp:txXfrm>
    </dsp:sp>
    <dsp:sp modelId="{1C96D90C-B622-4210-979F-C69830CC5304}">
      <dsp:nvSpPr>
        <dsp:cNvPr id="0" name=""/>
        <dsp:cNvSpPr/>
      </dsp:nvSpPr>
      <dsp:spPr>
        <a:xfrm>
          <a:off x="2143398" y="716203"/>
          <a:ext cx="1365323" cy="62503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Пациенты с неактивной ЭОП </a:t>
          </a:r>
          <a:r>
            <a:rPr lang="en-US" sz="1200" kern="1200">
              <a:latin typeface="Times New Roman" pitchFamily="18" charset="0"/>
              <a:cs typeface="Times New Roman" pitchFamily="18" charset="0"/>
            </a:rPr>
            <a:t>(n=27)</a:t>
          </a:r>
          <a:endParaRPr lang="ru-RU" sz="1200" kern="1200">
            <a:latin typeface="Times New Roman" pitchFamily="18" charset="0"/>
            <a:cs typeface="Times New Roman" pitchFamily="18" charset="0"/>
          </a:endParaRPr>
        </a:p>
      </dsp:txBody>
      <dsp:txXfrm>
        <a:off x="2143398" y="716203"/>
        <a:ext cx="1365323" cy="625038"/>
      </dsp:txXfrm>
    </dsp:sp>
    <dsp:sp modelId="{97CBB28C-9945-4119-9D70-8EB1D93D82E6}">
      <dsp:nvSpPr>
        <dsp:cNvPr id="0" name=""/>
        <dsp:cNvSpPr/>
      </dsp:nvSpPr>
      <dsp:spPr>
        <a:xfrm>
          <a:off x="468508" y="1470401"/>
          <a:ext cx="4913349" cy="75968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1</a:t>
          </a:r>
          <a:r>
            <a:rPr lang="ru-RU" sz="1200" kern="1200">
              <a:latin typeface="Times New Roman" pitchFamily="18" charset="0"/>
              <a:cs typeface="Times New Roman" pitchFamily="18" charset="0"/>
            </a:rPr>
            <a:t>. Забор венозной крови</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 Забор нестимулированной слезы</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 Забор орбитальной жировой ткани</a:t>
          </a:r>
        </a:p>
      </dsp:txBody>
      <dsp:txXfrm>
        <a:off x="468508" y="1470401"/>
        <a:ext cx="4913349" cy="759686"/>
      </dsp:txXfrm>
    </dsp:sp>
    <dsp:sp modelId="{A1EB3343-875F-4207-AEC9-ABAADDB6069B}">
      <dsp:nvSpPr>
        <dsp:cNvPr id="0" name=""/>
        <dsp:cNvSpPr/>
      </dsp:nvSpPr>
      <dsp:spPr>
        <a:xfrm>
          <a:off x="913576" y="2374573"/>
          <a:ext cx="3918629" cy="38731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Определение уровней ИЛ-17 и ИЛ-38</a:t>
          </a:r>
        </a:p>
      </dsp:txBody>
      <dsp:txXfrm>
        <a:off x="913576" y="2374573"/>
        <a:ext cx="3918629" cy="387315"/>
      </dsp:txXfrm>
    </dsp:sp>
    <dsp:sp modelId="{8D4CB2CB-754F-433D-B860-635C31AC1FC4}">
      <dsp:nvSpPr>
        <dsp:cNvPr id="0" name=""/>
        <dsp:cNvSpPr/>
      </dsp:nvSpPr>
      <dsp:spPr>
        <a:xfrm>
          <a:off x="1358969" y="2947238"/>
          <a:ext cx="4163035" cy="35609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Статистическая  обработка данных</a:t>
          </a:r>
        </a:p>
      </dsp:txBody>
      <dsp:txXfrm>
        <a:off x="1358969" y="2947238"/>
        <a:ext cx="4163035" cy="356096"/>
      </dsp:txXfrm>
    </dsp:sp>
    <dsp:sp modelId="{B6F1283A-13E2-4272-BC81-F5CE85918F70}">
      <dsp:nvSpPr>
        <dsp:cNvPr id="0" name=""/>
        <dsp:cNvSpPr/>
      </dsp:nvSpPr>
      <dsp:spPr>
        <a:xfrm>
          <a:off x="4127364" y="699840"/>
          <a:ext cx="1365323" cy="68266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Контрольная группа (</a:t>
          </a:r>
          <a:r>
            <a:rPr lang="en-US" sz="1200" kern="1200">
              <a:latin typeface="Times New Roman" pitchFamily="18" charset="0"/>
              <a:cs typeface="Times New Roman" pitchFamily="18" charset="0"/>
            </a:rPr>
            <a:t>n=17</a:t>
          </a:r>
          <a:r>
            <a:rPr lang="ru-RU" sz="1200" kern="1200">
              <a:latin typeface="Times New Roman" pitchFamily="18" charset="0"/>
              <a:cs typeface="Times New Roman" pitchFamily="18" charset="0"/>
            </a:rPr>
            <a:t>)</a:t>
          </a:r>
        </a:p>
      </dsp:txBody>
      <dsp:txXfrm>
        <a:off x="4127364" y="699840"/>
        <a:ext cx="1365323" cy="6826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30B60-2231-4F7B-9C2C-D78A20F5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122</Pages>
  <Words>59503</Words>
  <Characters>339169</Characters>
  <Application>Microsoft Office Word</Application>
  <DocSecurity>0</DocSecurity>
  <Lines>2826</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51</cp:revision>
  <cp:lastPrinted>2025-02-20T05:48:00Z</cp:lastPrinted>
  <dcterms:created xsi:type="dcterms:W3CDTF">2025-03-30T13:58:00Z</dcterms:created>
  <dcterms:modified xsi:type="dcterms:W3CDTF">2025-04-23T07:41:00Z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id="kqW2UW5m"/&gt;&lt;style id="http://www.zotero.org/styles/gost-r-7-0-5-2008-numeric"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